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283"/>
        <w:jc w:val="start"/>
        <w:rPr>
          <w:sz w:val="24"/>
          <w:szCs w:val="24"/>
        </w:rPr>
      </w:pPr>
      <w:r>
        <w:rPr>
          <w:sz w:val="24"/>
          <w:szCs w:val="24"/>
        </w:rPr>
        <w:t>HOLIDAY HOUSE “MIRNA ZAGORKA”</w:t>
      </w:r>
    </w:p>
    <w:p>
      <w:pPr>
        <w:pStyle w:val="BodyText"/>
        <w:spacing w:before="0" w:after="283"/>
        <w:rPr/>
      </w:pPr>
      <w:r>
        <w:rPr>
          <w:rStyle w:val="Strong"/>
        </w:rPr>
        <w:t>Ulica Matije Gupca 4, Igrišće, Croatia</w:t>
      </w:r>
    </w:p>
    <w:p>
      <w:pPr>
        <w:pStyle w:val="Heading2"/>
        <w:spacing w:lineRule="auto" w:line="276" w:before="0" w:after="283"/>
        <w:rPr>
          <w:sz w:val="24"/>
          <w:szCs w:val="24"/>
        </w:rPr>
      </w:pPr>
      <w:r>
        <w:rPr>
          <w:sz w:val="24"/>
          <w:szCs w:val="24"/>
        </w:rPr>
        <w:t>ACCOMMODATION PRICE LIST FOR 2026</w:t>
      </w:r>
    </w:p>
    <w:tbl>
      <w:tblPr>
        <w:tblW w:w="3955" w:type="dxa"/>
        <w:jc w:val="start"/>
        <w:tblInd w:w="0" w:type="dxa"/>
        <w:tblLayout w:type="fixed"/>
        <w:tblCellMar>
          <w:top w:w="28" w:type="dxa"/>
          <w:start w:w="28" w:type="dxa"/>
          <w:bottom w:w="28" w:type="dxa"/>
          <w:end w:w="28" w:type="dxa"/>
        </w:tblCellMar>
      </w:tblPr>
      <w:tblGrid>
        <w:gridCol w:w="2272"/>
        <w:gridCol w:w="1682"/>
      </w:tblGrid>
      <w:tr>
        <w:trPr/>
        <w:tc>
          <w:tcPr>
            <w:tcW w:w="2272" w:type="dxa"/>
            <w:tcBorders/>
            <w:vAlign w:val="center"/>
          </w:tcPr>
          <w:p>
            <w:pPr>
              <w:pStyle w:val="Naslovtabliceuser"/>
              <w:rPr/>
            </w:pPr>
            <w:r>
              <w:rPr/>
              <w:t>Period</w:t>
            </w:r>
          </w:p>
        </w:tc>
        <w:tc>
          <w:tcPr>
            <w:tcW w:w="1682" w:type="dxa"/>
            <w:tcBorders/>
            <w:vAlign w:val="center"/>
          </w:tcPr>
          <w:p>
            <w:pPr>
              <w:pStyle w:val="Naslovtabliceuser"/>
              <w:rPr/>
            </w:pPr>
            <w:r>
              <w:rPr/>
              <w:t>Price per night</w:t>
            </w:r>
          </w:p>
        </w:tc>
      </w:tr>
      <w:tr>
        <w:trPr/>
        <w:tc>
          <w:tcPr>
            <w:tcW w:w="2272" w:type="dxa"/>
            <w:tcBorders/>
            <w:vAlign w:val="center"/>
          </w:tcPr>
          <w:p>
            <w:pPr>
              <w:pStyle w:val="Sadrajitabliceuser"/>
              <w:rPr/>
            </w:pPr>
            <w:r>
              <w:rPr/>
              <w:t>01 Jan – 30 Apr 2026</w:t>
            </w:r>
          </w:p>
        </w:tc>
        <w:tc>
          <w:tcPr>
            <w:tcW w:w="1682" w:type="dxa"/>
            <w:tcBorders/>
            <w:vAlign w:val="center"/>
          </w:tcPr>
          <w:p>
            <w:pPr>
              <w:pStyle w:val="Sadrajitabliceuser"/>
              <w:rPr/>
            </w:pPr>
            <w:r>
              <w:rPr>
                <w:rStyle w:val="Strong"/>
              </w:rPr>
              <w:t>€</w:t>
            </w:r>
            <w:r>
              <w:rPr>
                <w:rStyle w:val="Strong"/>
              </w:rPr>
              <w:t>160.00</w:t>
            </w:r>
          </w:p>
        </w:tc>
      </w:tr>
      <w:tr>
        <w:trPr/>
        <w:tc>
          <w:tcPr>
            <w:tcW w:w="2272" w:type="dxa"/>
            <w:tcBorders/>
            <w:vAlign w:val="center"/>
          </w:tcPr>
          <w:p>
            <w:pPr>
              <w:pStyle w:val="Sadrajitabliceuser"/>
              <w:rPr/>
            </w:pPr>
            <w:r>
              <w:rPr/>
              <w:t>01 May – 09 Jun 2026</w:t>
            </w:r>
          </w:p>
        </w:tc>
        <w:tc>
          <w:tcPr>
            <w:tcW w:w="1682" w:type="dxa"/>
            <w:tcBorders/>
            <w:vAlign w:val="center"/>
          </w:tcPr>
          <w:p>
            <w:pPr>
              <w:pStyle w:val="Sadrajitabliceuser"/>
              <w:rPr/>
            </w:pPr>
            <w:r>
              <w:rPr>
                <w:rStyle w:val="Strong"/>
              </w:rPr>
              <w:t>€</w:t>
            </w:r>
            <w:r>
              <w:rPr>
                <w:rStyle w:val="Strong"/>
              </w:rPr>
              <w:t>169.00</w:t>
            </w:r>
          </w:p>
        </w:tc>
      </w:tr>
      <w:tr>
        <w:trPr/>
        <w:tc>
          <w:tcPr>
            <w:tcW w:w="2272" w:type="dxa"/>
            <w:tcBorders/>
            <w:vAlign w:val="center"/>
          </w:tcPr>
          <w:p>
            <w:pPr>
              <w:pStyle w:val="Sadrajitabliceuser"/>
              <w:rPr/>
            </w:pPr>
            <w:r>
              <w:rPr/>
              <w:t>10 Jun – 30 Jun 2026</w:t>
            </w:r>
          </w:p>
        </w:tc>
        <w:tc>
          <w:tcPr>
            <w:tcW w:w="1682" w:type="dxa"/>
            <w:tcBorders/>
            <w:vAlign w:val="center"/>
          </w:tcPr>
          <w:p>
            <w:pPr>
              <w:pStyle w:val="Sadrajitabliceuser"/>
              <w:rPr/>
            </w:pPr>
            <w:r>
              <w:rPr>
                <w:rStyle w:val="Strong"/>
              </w:rPr>
              <w:t>€</w:t>
            </w:r>
            <w:r>
              <w:rPr>
                <w:rStyle w:val="Strong"/>
              </w:rPr>
              <w:t>181.00</w:t>
            </w:r>
          </w:p>
        </w:tc>
      </w:tr>
      <w:tr>
        <w:trPr/>
        <w:tc>
          <w:tcPr>
            <w:tcW w:w="2272" w:type="dxa"/>
            <w:tcBorders/>
            <w:vAlign w:val="center"/>
          </w:tcPr>
          <w:p>
            <w:pPr>
              <w:pStyle w:val="Sadrajitabliceuser"/>
              <w:rPr/>
            </w:pPr>
            <w:r>
              <w:rPr/>
              <w:t>01 Jul – 31 Aug 2026</w:t>
            </w:r>
          </w:p>
        </w:tc>
        <w:tc>
          <w:tcPr>
            <w:tcW w:w="1682" w:type="dxa"/>
            <w:tcBorders/>
            <w:vAlign w:val="center"/>
          </w:tcPr>
          <w:p>
            <w:pPr>
              <w:pStyle w:val="Sadrajitabliceuser"/>
              <w:rPr/>
            </w:pPr>
            <w:r>
              <w:rPr>
                <w:rStyle w:val="Strong"/>
              </w:rPr>
              <w:t>€</w:t>
            </w:r>
            <w:r>
              <w:rPr>
                <w:rStyle w:val="Strong"/>
              </w:rPr>
              <w:t>193.00</w:t>
            </w:r>
          </w:p>
        </w:tc>
      </w:tr>
      <w:tr>
        <w:trPr/>
        <w:tc>
          <w:tcPr>
            <w:tcW w:w="2272" w:type="dxa"/>
            <w:tcBorders/>
            <w:vAlign w:val="center"/>
          </w:tcPr>
          <w:p>
            <w:pPr>
              <w:pStyle w:val="Sadrajitabliceuser"/>
              <w:rPr/>
            </w:pPr>
            <w:r>
              <w:rPr/>
              <w:t>01 Sep – 30 Sep 2026</w:t>
            </w:r>
          </w:p>
        </w:tc>
        <w:tc>
          <w:tcPr>
            <w:tcW w:w="1682" w:type="dxa"/>
            <w:tcBorders/>
            <w:vAlign w:val="center"/>
          </w:tcPr>
          <w:p>
            <w:pPr>
              <w:pStyle w:val="Sadrajitabliceuser"/>
              <w:rPr/>
            </w:pPr>
            <w:r>
              <w:rPr>
                <w:rStyle w:val="Strong"/>
              </w:rPr>
              <w:t>€</w:t>
            </w:r>
            <w:r>
              <w:rPr>
                <w:rStyle w:val="Strong"/>
              </w:rPr>
              <w:t>169.00</w:t>
            </w:r>
          </w:p>
        </w:tc>
      </w:tr>
      <w:tr>
        <w:trPr/>
        <w:tc>
          <w:tcPr>
            <w:tcW w:w="2272" w:type="dxa"/>
            <w:tcBorders/>
            <w:vAlign w:val="center"/>
          </w:tcPr>
          <w:p>
            <w:pPr>
              <w:pStyle w:val="Sadrajitabliceuser"/>
              <w:rPr/>
            </w:pPr>
            <w:r>
              <w:rPr/>
              <w:t>01 Oct – 31 Dec 2026</w:t>
            </w:r>
          </w:p>
        </w:tc>
        <w:tc>
          <w:tcPr>
            <w:tcW w:w="1682" w:type="dxa"/>
            <w:tcBorders/>
            <w:vAlign w:val="center"/>
          </w:tcPr>
          <w:p>
            <w:pPr>
              <w:pStyle w:val="Sadrajitabliceuser"/>
              <w:rPr/>
            </w:pPr>
            <w:r>
              <w:rPr>
                <w:rStyle w:val="Strong"/>
              </w:rPr>
              <w:t>€</w:t>
            </w:r>
            <w:r>
              <w:rPr>
                <w:rStyle w:val="Strong"/>
              </w:rPr>
              <w:t>160.00</w:t>
            </w:r>
          </w:p>
        </w:tc>
      </w:tr>
    </w:tbl>
    <w:p>
      <w:pPr>
        <w:pStyle w:val="Heading3"/>
        <w:spacing w:lineRule="auto" w:line="276" w:before="0" w:after="283"/>
        <w:rPr>
          <w:sz w:val="24"/>
          <w:szCs w:val="24"/>
        </w:rPr>
      </w:pPr>
      <w:r>
        <w:rPr>
          <w:sz w:val="24"/>
          <w:szCs w:val="24"/>
        </w:rPr>
      </w:r>
    </w:p>
    <w:p>
      <w:pPr>
        <w:pStyle w:val="Heading3"/>
        <w:spacing w:lineRule="auto" w:line="276" w:before="0" w:after="283"/>
        <w:rPr>
          <w:sz w:val="24"/>
          <w:szCs w:val="24"/>
        </w:rPr>
      </w:pPr>
      <w:r>
        <w:rPr>
          <w:sz w:val="24"/>
          <w:szCs w:val="24"/>
        </w:rPr>
        <w:t>DIRECT BOOKING DISCOUNT</w:t>
      </w:r>
    </w:p>
    <w:p>
      <w:pPr>
        <w:pStyle w:val="BodyText"/>
        <w:spacing w:before="0" w:after="283"/>
        <w:rPr/>
      </w:pPr>
      <w:r>
        <w:rPr/>
        <w:t xml:space="preserve">A </w:t>
      </w:r>
      <w:r>
        <w:rPr>
          <w:rStyle w:val="Strong"/>
        </w:rPr>
        <w:t>22% discount</w:t>
      </w:r>
      <w:r>
        <w:rPr/>
        <w:t xml:space="preserve"> is granted on the above prices for direct bookings.</w:t>
      </w:r>
    </w:p>
    <w:tbl>
      <w:tblPr>
        <w:tblW w:w="7008" w:type="dxa"/>
        <w:jc w:val="start"/>
        <w:tblInd w:w="0" w:type="dxa"/>
        <w:tblLayout w:type="fixed"/>
        <w:tblCellMar>
          <w:top w:w="28" w:type="dxa"/>
          <w:start w:w="28" w:type="dxa"/>
          <w:bottom w:w="28" w:type="dxa"/>
          <w:end w:w="28" w:type="dxa"/>
        </w:tblCellMar>
      </w:tblPr>
      <w:tblGrid>
        <w:gridCol w:w="1733"/>
        <w:gridCol w:w="1511"/>
        <w:gridCol w:w="1512"/>
        <w:gridCol w:w="2251"/>
      </w:tblGrid>
      <w:tr>
        <w:trPr/>
        <w:tc>
          <w:tcPr>
            <w:tcW w:w="1733" w:type="dxa"/>
            <w:tcBorders/>
            <w:vAlign w:val="center"/>
          </w:tcPr>
          <w:p>
            <w:pPr>
              <w:pStyle w:val="Naslovtabliceuser"/>
              <w:rPr/>
            </w:pPr>
            <w:r>
              <w:rPr/>
              <w:t>Period</w:t>
            </w:r>
          </w:p>
        </w:tc>
        <w:tc>
          <w:tcPr>
            <w:tcW w:w="1511" w:type="dxa"/>
            <w:tcBorders/>
            <w:vAlign w:val="center"/>
          </w:tcPr>
          <w:p>
            <w:pPr>
              <w:pStyle w:val="Naslovtabliceuser"/>
              <w:rPr/>
            </w:pPr>
            <w:r>
              <w:rPr/>
              <w:t>Regular price</w:t>
            </w:r>
          </w:p>
        </w:tc>
        <w:tc>
          <w:tcPr>
            <w:tcW w:w="1512" w:type="dxa"/>
            <w:tcBorders/>
            <w:vAlign w:val="center"/>
          </w:tcPr>
          <w:p>
            <w:pPr>
              <w:pStyle w:val="Naslovtabliceuser"/>
              <w:rPr/>
            </w:pPr>
            <w:r>
              <w:rPr/>
              <w:t>22% discount</w:t>
            </w:r>
          </w:p>
        </w:tc>
        <w:tc>
          <w:tcPr>
            <w:tcW w:w="2251" w:type="dxa"/>
            <w:tcBorders/>
            <w:vAlign w:val="center"/>
          </w:tcPr>
          <w:p>
            <w:pPr>
              <w:pStyle w:val="Naslovtabliceuser"/>
              <w:rPr/>
            </w:pPr>
            <w:r>
              <w:rPr/>
              <w:t>Direct booking price</w:t>
            </w:r>
          </w:p>
        </w:tc>
      </w:tr>
      <w:tr>
        <w:trPr/>
        <w:tc>
          <w:tcPr>
            <w:tcW w:w="1733" w:type="dxa"/>
            <w:tcBorders/>
            <w:vAlign w:val="center"/>
          </w:tcPr>
          <w:p>
            <w:pPr>
              <w:pStyle w:val="Sadrajitabliceuser"/>
              <w:rPr/>
            </w:pPr>
            <w:r>
              <w:rPr/>
              <w:t>01 Jan – 30 Apr</w:t>
            </w:r>
          </w:p>
        </w:tc>
        <w:tc>
          <w:tcPr>
            <w:tcW w:w="1511" w:type="dxa"/>
            <w:tcBorders/>
            <w:vAlign w:val="center"/>
          </w:tcPr>
          <w:p>
            <w:pPr>
              <w:pStyle w:val="Sadrajitabliceuser"/>
              <w:rPr/>
            </w:pPr>
            <w:r>
              <w:rPr/>
              <w:t>€</w:t>
            </w:r>
            <w:r>
              <w:rPr/>
              <w:t>160.00</w:t>
            </w:r>
          </w:p>
        </w:tc>
        <w:tc>
          <w:tcPr>
            <w:tcW w:w="1512" w:type="dxa"/>
            <w:tcBorders/>
            <w:vAlign w:val="center"/>
          </w:tcPr>
          <w:p>
            <w:pPr>
              <w:pStyle w:val="Sadrajitabliceuser"/>
              <w:rPr/>
            </w:pPr>
            <w:r>
              <w:rPr/>
              <w:t>€</w:t>
            </w:r>
            <w:r>
              <w:rPr/>
              <w:t>35.20</w:t>
            </w:r>
          </w:p>
        </w:tc>
        <w:tc>
          <w:tcPr>
            <w:tcW w:w="2251" w:type="dxa"/>
            <w:tcBorders/>
            <w:vAlign w:val="center"/>
          </w:tcPr>
          <w:p>
            <w:pPr>
              <w:pStyle w:val="Sadrajitabliceuser"/>
              <w:rPr/>
            </w:pPr>
            <w:r>
              <w:rPr>
                <w:rStyle w:val="Strong"/>
              </w:rPr>
              <w:t>€</w:t>
            </w:r>
            <w:r>
              <w:rPr>
                <w:rStyle w:val="Strong"/>
              </w:rPr>
              <w:t>124.80</w:t>
            </w:r>
          </w:p>
        </w:tc>
      </w:tr>
      <w:tr>
        <w:trPr/>
        <w:tc>
          <w:tcPr>
            <w:tcW w:w="1733" w:type="dxa"/>
            <w:tcBorders/>
            <w:vAlign w:val="center"/>
          </w:tcPr>
          <w:p>
            <w:pPr>
              <w:pStyle w:val="Sadrajitabliceuser"/>
              <w:rPr/>
            </w:pPr>
            <w:r>
              <w:rPr/>
              <w:t>01 May – 09 Jun</w:t>
            </w:r>
          </w:p>
        </w:tc>
        <w:tc>
          <w:tcPr>
            <w:tcW w:w="1511" w:type="dxa"/>
            <w:tcBorders/>
            <w:vAlign w:val="center"/>
          </w:tcPr>
          <w:p>
            <w:pPr>
              <w:pStyle w:val="Sadrajitabliceuser"/>
              <w:rPr/>
            </w:pPr>
            <w:r>
              <w:rPr/>
              <w:t>€</w:t>
            </w:r>
            <w:r>
              <w:rPr/>
              <w:t>169.00</w:t>
            </w:r>
          </w:p>
        </w:tc>
        <w:tc>
          <w:tcPr>
            <w:tcW w:w="1512" w:type="dxa"/>
            <w:tcBorders/>
            <w:vAlign w:val="center"/>
          </w:tcPr>
          <w:p>
            <w:pPr>
              <w:pStyle w:val="Sadrajitabliceuser"/>
              <w:rPr/>
            </w:pPr>
            <w:r>
              <w:rPr/>
              <w:t>€</w:t>
            </w:r>
            <w:r>
              <w:rPr/>
              <w:t>37.18</w:t>
            </w:r>
          </w:p>
        </w:tc>
        <w:tc>
          <w:tcPr>
            <w:tcW w:w="2251" w:type="dxa"/>
            <w:tcBorders/>
            <w:vAlign w:val="center"/>
          </w:tcPr>
          <w:p>
            <w:pPr>
              <w:pStyle w:val="Sadrajitabliceuser"/>
              <w:rPr/>
            </w:pPr>
            <w:r>
              <w:rPr>
                <w:rStyle w:val="Strong"/>
              </w:rPr>
              <w:t>€</w:t>
            </w:r>
            <w:r>
              <w:rPr>
                <w:rStyle w:val="Strong"/>
              </w:rPr>
              <w:t>131.82</w:t>
            </w:r>
          </w:p>
        </w:tc>
      </w:tr>
      <w:tr>
        <w:trPr/>
        <w:tc>
          <w:tcPr>
            <w:tcW w:w="1733" w:type="dxa"/>
            <w:tcBorders/>
            <w:vAlign w:val="center"/>
          </w:tcPr>
          <w:p>
            <w:pPr>
              <w:pStyle w:val="Sadrajitabliceuser"/>
              <w:rPr/>
            </w:pPr>
            <w:r>
              <w:rPr/>
              <w:t>10 Jun – 30 Jun</w:t>
            </w:r>
          </w:p>
        </w:tc>
        <w:tc>
          <w:tcPr>
            <w:tcW w:w="1511" w:type="dxa"/>
            <w:tcBorders/>
            <w:vAlign w:val="center"/>
          </w:tcPr>
          <w:p>
            <w:pPr>
              <w:pStyle w:val="Sadrajitabliceuser"/>
              <w:rPr/>
            </w:pPr>
            <w:r>
              <w:rPr/>
              <w:t>€</w:t>
            </w:r>
            <w:r>
              <w:rPr/>
              <w:t>181.00</w:t>
            </w:r>
          </w:p>
        </w:tc>
        <w:tc>
          <w:tcPr>
            <w:tcW w:w="1512" w:type="dxa"/>
            <w:tcBorders/>
            <w:vAlign w:val="center"/>
          </w:tcPr>
          <w:p>
            <w:pPr>
              <w:pStyle w:val="Sadrajitabliceuser"/>
              <w:rPr/>
            </w:pPr>
            <w:r>
              <w:rPr/>
              <w:t>€</w:t>
            </w:r>
            <w:r>
              <w:rPr/>
              <w:t>39.82</w:t>
            </w:r>
          </w:p>
        </w:tc>
        <w:tc>
          <w:tcPr>
            <w:tcW w:w="2251" w:type="dxa"/>
            <w:tcBorders/>
            <w:vAlign w:val="center"/>
          </w:tcPr>
          <w:p>
            <w:pPr>
              <w:pStyle w:val="Sadrajitabliceuser"/>
              <w:rPr/>
            </w:pPr>
            <w:r>
              <w:rPr>
                <w:rStyle w:val="Strong"/>
              </w:rPr>
              <w:t>€</w:t>
            </w:r>
            <w:r>
              <w:rPr>
                <w:rStyle w:val="Strong"/>
              </w:rPr>
              <w:t>141.18</w:t>
            </w:r>
          </w:p>
        </w:tc>
      </w:tr>
      <w:tr>
        <w:trPr/>
        <w:tc>
          <w:tcPr>
            <w:tcW w:w="1733" w:type="dxa"/>
            <w:tcBorders/>
            <w:vAlign w:val="center"/>
          </w:tcPr>
          <w:p>
            <w:pPr>
              <w:pStyle w:val="Sadrajitabliceuser"/>
              <w:rPr/>
            </w:pPr>
            <w:r>
              <w:rPr/>
              <w:t>01 Jul – 31 Aug</w:t>
            </w:r>
          </w:p>
        </w:tc>
        <w:tc>
          <w:tcPr>
            <w:tcW w:w="1511" w:type="dxa"/>
            <w:tcBorders/>
            <w:vAlign w:val="center"/>
          </w:tcPr>
          <w:p>
            <w:pPr>
              <w:pStyle w:val="Sadrajitabliceuser"/>
              <w:rPr/>
            </w:pPr>
            <w:r>
              <w:rPr/>
              <w:t>€</w:t>
            </w:r>
            <w:r>
              <w:rPr/>
              <w:t>193.00</w:t>
            </w:r>
          </w:p>
        </w:tc>
        <w:tc>
          <w:tcPr>
            <w:tcW w:w="1512" w:type="dxa"/>
            <w:tcBorders/>
            <w:vAlign w:val="center"/>
          </w:tcPr>
          <w:p>
            <w:pPr>
              <w:pStyle w:val="Sadrajitabliceuser"/>
              <w:rPr/>
            </w:pPr>
            <w:r>
              <w:rPr/>
              <w:t>€</w:t>
            </w:r>
            <w:r>
              <w:rPr/>
              <w:t>42.46</w:t>
            </w:r>
          </w:p>
        </w:tc>
        <w:tc>
          <w:tcPr>
            <w:tcW w:w="2251" w:type="dxa"/>
            <w:tcBorders/>
            <w:vAlign w:val="center"/>
          </w:tcPr>
          <w:p>
            <w:pPr>
              <w:pStyle w:val="Sadrajitabliceuser"/>
              <w:rPr/>
            </w:pPr>
            <w:r>
              <w:rPr>
                <w:rStyle w:val="Strong"/>
              </w:rPr>
              <w:t>€</w:t>
            </w:r>
            <w:r>
              <w:rPr>
                <w:rStyle w:val="Strong"/>
              </w:rPr>
              <w:t>150.54</w:t>
            </w:r>
          </w:p>
        </w:tc>
      </w:tr>
      <w:tr>
        <w:trPr/>
        <w:tc>
          <w:tcPr>
            <w:tcW w:w="1733" w:type="dxa"/>
            <w:tcBorders/>
            <w:vAlign w:val="center"/>
          </w:tcPr>
          <w:p>
            <w:pPr>
              <w:pStyle w:val="Sadrajitabliceuser"/>
              <w:rPr/>
            </w:pPr>
            <w:r>
              <w:rPr/>
              <w:t>01 Sep – 30 Sep</w:t>
            </w:r>
          </w:p>
        </w:tc>
        <w:tc>
          <w:tcPr>
            <w:tcW w:w="1511" w:type="dxa"/>
            <w:tcBorders/>
            <w:vAlign w:val="center"/>
          </w:tcPr>
          <w:p>
            <w:pPr>
              <w:pStyle w:val="Sadrajitabliceuser"/>
              <w:rPr/>
            </w:pPr>
            <w:r>
              <w:rPr/>
              <w:t>€</w:t>
            </w:r>
            <w:r>
              <w:rPr/>
              <w:t>169.00</w:t>
            </w:r>
          </w:p>
        </w:tc>
        <w:tc>
          <w:tcPr>
            <w:tcW w:w="1512" w:type="dxa"/>
            <w:tcBorders/>
            <w:vAlign w:val="center"/>
          </w:tcPr>
          <w:p>
            <w:pPr>
              <w:pStyle w:val="Sadrajitabliceuser"/>
              <w:rPr/>
            </w:pPr>
            <w:r>
              <w:rPr/>
              <w:t>€</w:t>
            </w:r>
            <w:r>
              <w:rPr/>
              <w:t>37.18</w:t>
            </w:r>
          </w:p>
        </w:tc>
        <w:tc>
          <w:tcPr>
            <w:tcW w:w="2251" w:type="dxa"/>
            <w:tcBorders/>
            <w:vAlign w:val="center"/>
          </w:tcPr>
          <w:p>
            <w:pPr>
              <w:pStyle w:val="Sadrajitabliceuser"/>
              <w:rPr/>
            </w:pPr>
            <w:r>
              <w:rPr>
                <w:rStyle w:val="Strong"/>
              </w:rPr>
              <w:t>€</w:t>
            </w:r>
            <w:r>
              <w:rPr>
                <w:rStyle w:val="Strong"/>
              </w:rPr>
              <w:t>131.82</w:t>
            </w:r>
          </w:p>
        </w:tc>
      </w:tr>
      <w:tr>
        <w:trPr/>
        <w:tc>
          <w:tcPr>
            <w:tcW w:w="1733" w:type="dxa"/>
            <w:tcBorders/>
            <w:vAlign w:val="center"/>
          </w:tcPr>
          <w:p>
            <w:pPr>
              <w:pStyle w:val="Sadrajitabliceuser"/>
              <w:rPr/>
            </w:pPr>
            <w:r>
              <w:rPr/>
              <w:t>01 Oct – 31 Dec</w:t>
            </w:r>
          </w:p>
        </w:tc>
        <w:tc>
          <w:tcPr>
            <w:tcW w:w="1511" w:type="dxa"/>
            <w:tcBorders/>
            <w:vAlign w:val="center"/>
          </w:tcPr>
          <w:p>
            <w:pPr>
              <w:pStyle w:val="Sadrajitabliceuser"/>
              <w:rPr/>
            </w:pPr>
            <w:r>
              <w:rPr/>
              <w:t>€</w:t>
            </w:r>
            <w:r>
              <w:rPr/>
              <w:t>160.00</w:t>
            </w:r>
          </w:p>
        </w:tc>
        <w:tc>
          <w:tcPr>
            <w:tcW w:w="1512" w:type="dxa"/>
            <w:tcBorders/>
            <w:vAlign w:val="center"/>
          </w:tcPr>
          <w:p>
            <w:pPr>
              <w:pStyle w:val="Sadrajitabliceuser"/>
              <w:rPr/>
            </w:pPr>
            <w:r>
              <w:rPr/>
              <w:t>€</w:t>
            </w:r>
            <w:r>
              <w:rPr/>
              <w:t>35.20</w:t>
            </w:r>
          </w:p>
        </w:tc>
        <w:tc>
          <w:tcPr>
            <w:tcW w:w="2251" w:type="dxa"/>
            <w:tcBorders/>
            <w:vAlign w:val="center"/>
          </w:tcPr>
          <w:p>
            <w:pPr>
              <w:pStyle w:val="Sadrajitabliceuser"/>
              <w:rPr/>
            </w:pPr>
            <w:r>
              <w:rPr>
                <w:rStyle w:val="Strong"/>
              </w:rPr>
              <w:t>€</w:t>
            </w:r>
            <w:r>
              <w:rPr>
                <w:rStyle w:val="Strong"/>
              </w:rPr>
              <w:t>124.80</w:t>
            </w:r>
          </w:p>
        </w:tc>
      </w:tr>
    </w:tbl>
    <w:p>
      <w:pPr>
        <w:pStyle w:val="BodyText"/>
        <w:spacing w:before="0" w:after="283"/>
        <w:rPr>
          <w:rStyle w:val="Strong"/>
        </w:rPr>
      </w:pPr>
      <w:r>
        <w:rPr/>
      </w:r>
    </w:p>
    <w:p>
      <w:pPr>
        <w:pStyle w:val="BodyText"/>
        <w:spacing w:before="0" w:after="283"/>
        <w:rPr/>
      </w:pPr>
      <w:r>
        <w:rPr>
          <w:rStyle w:val="Strong"/>
        </w:rPr>
        <w:t>Note:</w:t>
      </w:r>
      <w:r>
        <w:rPr/>
        <w:t xml:space="preserve"> Prices for bookings made through online booking platforms and other intermediary channels may differ from prices for direct bookings. For bookings made through intermediary channels, the price displayed on the respective sales channel at the time of booking applies.</w:t>
      </w:r>
    </w:p>
    <w:p>
      <w:pPr>
        <w:pStyle w:val="BodyText"/>
        <w:spacing w:before="0" w:after="283"/>
        <w:rPr/>
      </w:pPr>
      <w:r>
        <w:rPr>
          <w:rStyle w:val="Strong"/>
        </w:rPr>
        <w:t xml:space="preserve">Discounts: </w:t>
      </w:r>
      <w:r>
        <w:rPr/>
        <w:t>An additional discount may be available for longer stays and for returning guests. The discount is offered depending on the length of stay and the booking conditions.</w:t>
      </w:r>
    </w:p>
    <w:p>
      <w:pPr>
        <w:pStyle w:val="BodyText"/>
        <w:spacing w:before="0" w:after="283"/>
        <w:rPr/>
      </w:pPr>
      <w:r>
        <w:rPr/>
        <w:t>The house is available for rent throughout the year. The maximum capacity is 4 persons. Prices are stated in euros per day.</w:t>
      </w:r>
    </w:p>
    <w:p>
      <w:pPr>
        <w:pStyle w:val="BodyText"/>
        <w:spacing w:before="0" w:after="283"/>
        <w:rPr/>
      </w:pPr>
      <w:r>
        <w:rPr>
          <w:rStyle w:val="Strong"/>
        </w:rPr>
        <w:t>Tourist tax is paid as a flat-rate amount.</w:t>
      </w:r>
    </w:p>
    <w:p>
      <w:pPr>
        <w:pStyle w:val="BodyText"/>
        <w:spacing w:before="0" w:after="283"/>
        <w:rPr/>
      </w:pPr>
      <w:r>
        <w:rPr>
          <w:rStyle w:val="Strong"/>
        </w:rPr>
        <w:t>VAT exempt pursuant to Article 90, paragraph 2 of the Croatian VAT Act.</w:t>
      </w:r>
    </w:p>
    <w:p>
      <w:pPr>
        <w:pStyle w:val="BodyText"/>
        <w:spacing w:before="0" w:after="283"/>
        <w:rPr/>
      </w:pPr>
      <w:r>
        <w:rPr>
          <w:rStyle w:val="Emphasis"/>
        </w:rPr>
        <w:t xml:space="preserve">This price list is valid for 2026. </w:t>
      </w:r>
    </w:p>
    <w:p>
      <w:pPr>
        <w:pStyle w:val="BodyText"/>
        <w:spacing w:before="0" w:after="283"/>
        <w:rPr/>
      </w:pPr>
      <w:r>
        <w:rPr>
          <w:rStyle w:val="Emphasis"/>
        </w:rPr>
        <w:t>In Zagreb, 01.10.2026.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3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hr-H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hr-HR" w:eastAsia="zh-CN" w:bidi="hi-IN"/>
    </w:rPr>
  </w:style>
  <w:style w:type="paragraph" w:styleId="Heading1">
    <w:name w:val="heading 1"/>
    <w:basedOn w:val="Stilnaslova"/>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Stilnaslova"/>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Stilnaslova"/>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Emphasis">
    <w:name w:val="Emphasis"/>
    <w:qFormat/>
    <w:rPr>
      <w:i/>
      <w:iCs/>
    </w:rPr>
  </w:style>
  <w:style w:type="paragraph" w:styleId="Stilnaslova">
    <w:name w:val="Stil naslova"/>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Stilnaslovauser">
    <w:name w:val="Stil naslova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Sadrajitablice">
    <w:name w:val="Sadržaji tablice"/>
    <w:basedOn w:val="Normal"/>
    <w:qFormat/>
    <w:pPr>
      <w:widowControl w:val="false"/>
      <w:suppressLineNumbers/>
    </w:pPr>
    <w:rPr/>
  </w:style>
  <w:style w:type="paragraph" w:styleId="Naslovtablice">
    <w:name w:val="Naslov tablice"/>
    <w:basedOn w:val="Sadrajitablice"/>
    <w:qFormat/>
    <w:pPr>
      <w:suppressLineNumbers/>
      <w:jc w:val="center"/>
    </w:pPr>
    <w:rPr>
      <w:b/>
      <w:bCs/>
    </w:rPr>
  </w:style>
  <w:style w:type="paragraph" w:styleId="Sadrajitabliceuser">
    <w:name w:val="Sadržaji tablice (user)"/>
    <w:basedOn w:val="Normal"/>
    <w:qFormat/>
    <w:pPr>
      <w:widowControl w:val="false"/>
      <w:suppressLineNumbers/>
    </w:pPr>
    <w:rPr/>
  </w:style>
  <w:style w:type="paragraph" w:styleId="Naslovtabliceuser">
    <w:name w:val="Naslov tablice (user)"/>
    <w:basedOn w:val="Sadrajitabliceuser"/>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15982</TotalTime>
  <Application>LibreOffice/25.2.7.2$Windows_X86_64 LibreOffice_project/5cbfd1ab6520636bb5f7b99185aa69bd7456825d</Application>
  <AppVersion>15.0000</AppVersion>
  <Pages>1</Pages>
  <Words>241</Words>
  <Characters>1175</Characters>
  <CharactersWithSpaces>1375</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2026-02-10T10:15:20Z</dcterms:created>
  <dc:creator/>
  <dc:description/>
  <dc:language>hr-HR</dc:language>
  <cp:lastModifiedBy/>
  <dcterms:modified xsi:type="dcterms:W3CDTF">2026-09-29T09:11:00Z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