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pStyle w:val="4"/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80" w:after="80" w:line="288" w:lineRule="auto"/>
        <w:ind w:left="0" w:right="0" w:firstLine="0"/>
        <w:jc w:val="left"/>
        <w:rPr>
          <w:rFonts w:hint="default" w:ascii="Calibri" w:hAnsi="Calibri" w:eastAsia="宋体" w:cs="Calibri"/>
          <w:b/>
          <w:bCs/>
          <w:color w:val="000000"/>
          <w:lang w:val="en-US" w:eastAsia="zh-CN"/>
        </w:rPr>
      </w:pPr>
      <w:bookmarkStart w:id="0" w:name="_n3dzny4zqxti" w:colFirst="0" w:colLast="0"/>
      <w:bookmarkEnd w:id="0"/>
      <w:r>
        <w:rPr>
          <w:rFonts w:ascii="Calibri" w:hAnsi="Calibri" w:eastAsia="Calibri" w:cs="Calibri"/>
          <w:b/>
          <w:bCs/>
          <w:color w:val="000000"/>
          <w:rtl w:val="0"/>
        </w:rPr>
        <w:t>REUNIDOS</w:t>
      </w:r>
      <w:r>
        <w:rPr>
          <w:rFonts w:hint="eastAsia" w:ascii="Calibri" w:hAnsi="Calibri" w:eastAsia="宋体" w:cs="Calibri"/>
          <w:b/>
          <w:bCs/>
          <w:color w:val="000000"/>
          <w:rtl w:val="0"/>
          <w:lang w:val="en-US" w:eastAsia="zh-CN"/>
        </w:rPr>
        <w:t xml:space="preserve">      </w:t>
      </w:r>
      <w:r>
        <w:rPr>
          <w:rFonts w:hint="eastAsia" w:ascii="Calibri" w:hAnsi="Calibri" w:eastAsia="宋体" w:cs="Calibri"/>
          <w:b w:val="0"/>
          <w:bCs w:val="0"/>
          <w:color w:val="000000"/>
          <w:rtl w:val="0"/>
          <w:lang w:val="en-US" w:eastAsia="zh-CN"/>
        </w:rPr>
        <w:t>NÚMERO DE CONTRATO: GHUB2600X, FECHA: XX/XX/2026</w:t>
      </w:r>
    </w:p>
    <w:p w14:paraId="00000002">
      <w:pPr>
        <w:spacing w:before="280" w:after="80" w:line="288" w:lineRule="auto"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  <w:rtl w:val="0"/>
        </w:rPr>
        <w:t>De una parte:</w:t>
      </w:r>
    </w:p>
    <w:p w14:paraId="00000003">
      <w:pPr>
        <w:spacing w:before="280" w:after="80" w:line="288" w:lineRule="auto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  <w:rtl w:val="0"/>
        </w:rPr>
        <w:t>GREEN HUB CUSTOM HANDLING, S.L.</w:t>
      </w:r>
      <w:r>
        <w:rPr>
          <w:rFonts w:ascii="Calibri" w:hAnsi="Calibri" w:eastAsia="Calibri" w:cs="Calibri"/>
          <w:rtl w:val="0"/>
        </w:rPr>
        <w:t xml:space="preserve"> (en adelante, </w:t>
      </w:r>
      <w:r>
        <w:rPr>
          <w:rFonts w:ascii="Calibri" w:hAnsi="Calibri" w:eastAsia="Calibri" w:cs="Calibri"/>
          <w:b/>
          <w:bCs/>
          <w:rtl w:val="0"/>
        </w:rPr>
        <w:t>“GHUB”</w:t>
      </w:r>
      <w:r>
        <w:rPr>
          <w:rFonts w:ascii="Calibri" w:hAnsi="Calibri" w:eastAsia="Calibri" w:cs="Calibri"/>
          <w:rtl w:val="0"/>
        </w:rPr>
        <w:t>), con CIF B21632740 y domicilio en Av. de la Industria 4A, 28823 Coslada (Madrid), debidamente representada por D. Javier Cotelo Miralles, en su condición de Administrador.</w:t>
      </w:r>
    </w:p>
    <w:p w14:paraId="00000004">
      <w:pPr>
        <w:spacing w:before="280" w:after="80" w:line="288" w:lineRule="auto"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  <w:rtl w:val="0"/>
        </w:rPr>
        <w:t>Y de otra:</w:t>
      </w:r>
    </w:p>
    <w:p w14:paraId="00000005">
      <w:pPr>
        <w:spacing w:before="280" w:after="80" w:line="288" w:lineRule="auto"/>
        <w:jc w:val="both"/>
        <w:rPr>
          <w:rFonts w:ascii="Calibri" w:hAnsi="Calibri" w:eastAsia="Calibri" w:cs="Calibri"/>
        </w:rPr>
      </w:pPr>
      <w:r>
        <w:rPr>
          <w:rFonts w:hint="eastAsia" w:ascii="Calibri" w:hAnsi="Calibri" w:eastAsia="Calibri" w:cs="Calibri"/>
          <w:b/>
          <w:bCs/>
          <w:rtl w:val="0"/>
        </w:rPr>
        <w:t>[乙方公司</w:t>
      </w:r>
      <w:r>
        <w:rPr>
          <w:rFonts w:hint="eastAsia" w:ascii="Calibri" w:hAnsi="Calibri" w:eastAsia="宋体" w:cs="Calibri"/>
          <w:b/>
          <w:bCs/>
          <w:rtl w:val="0"/>
          <w:lang w:val="en-US" w:eastAsia="zh-CN"/>
        </w:rPr>
        <w:t>外语</w:t>
      </w:r>
      <w:r>
        <w:rPr>
          <w:rFonts w:hint="eastAsia" w:ascii="Calibri" w:hAnsi="Calibri" w:eastAsia="Calibri" w:cs="Calibri"/>
          <w:b/>
          <w:bCs/>
          <w:rtl w:val="0"/>
        </w:rPr>
        <w:t>名称 / Party B Company Name] (en adelante, “</w:t>
      </w:r>
      <w:r>
        <w:rPr>
          <w:rFonts w:hint="eastAsia" w:ascii="Calibri" w:hAnsi="Calibri" w:eastAsia="宋体" w:cs="Calibri"/>
          <w:b/>
          <w:bCs/>
          <w:rtl w:val="0"/>
          <w:lang w:eastAsia="zh-CN"/>
        </w:rPr>
        <w:t>乙方</w:t>
      </w:r>
      <w:r>
        <w:rPr>
          <w:rFonts w:hint="eastAsia" w:ascii="Calibri" w:hAnsi="Calibri" w:eastAsia="宋体" w:cs="Calibri"/>
          <w:b/>
          <w:bCs/>
          <w:rtl w:val="0"/>
          <w:lang w:val="en-US" w:eastAsia="zh-CN"/>
        </w:rPr>
        <w:t>外语</w:t>
      </w:r>
      <w:r>
        <w:rPr>
          <w:rFonts w:hint="eastAsia" w:ascii="Calibri" w:hAnsi="Calibri" w:eastAsia="宋体" w:cs="Calibri"/>
          <w:b/>
          <w:bCs/>
          <w:rtl w:val="0"/>
          <w:lang w:eastAsia="zh-CN"/>
        </w:rPr>
        <w:t>简称</w:t>
      </w:r>
      <w:r>
        <w:rPr>
          <w:rFonts w:hint="eastAsia" w:ascii="Calibri" w:hAnsi="Calibri" w:eastAsia="Calibri" w:cs="Calibri"/>
          <w:b/>
          <w:bCs/>
          <w:rtl w:val="0"/>
        </w:rPr>
        <w:t>”), con CIF/NIF   [乙方</w:t>
      </w:r>
      <w:r>
        <w:rPr>
          <w:rFonts w:hint="eastAsia" w:ascii="Calibri" w:hAnsi="Calibri" w:eastAsia="宋体" w:cs="Calibri"/>
          <w:b/>
          <w:bCs/>
          <w:rtl w:val="0"/>
          <w:lang w:val="en-US" w:eastAsia="zh-CN"/>
        </w:rPr>
        <w:t>工商</w:t>
      </w:r>
      <w:r>
        <w:rPr>
          <w:rFonts w:hint="eastAsia" w:ascii="Calibri" w:hAnsi="Calibri" w:eastAsia="Calibri" w:cs="Calibri"/>
          <w:b/>
          <w:bCs/>
          <w:rtl w:val="0"/>
        </w:rPr>
        <w:t>税号 CIF/NIF / Party B Tax ID] y domicilio en [乙方</w:t>
      </w:r>
      <w:r>
        <w:rPr>
          <w:rFonts w:hint="eastAsia" w:ascii="Calibri" w:hAnsi="Calibri" w:eastAsia="宋体" w:cs="Calibri"/>
          <w:b/>
          <w:bCs/>
          <w:rtl w:val="0"/>
          <w:lang w:val="en-US" w:eastAsia="zh-CN"/>
        </w:rPr>
        <w:t>注册</w:t>
      </w:r>
      <w:r>
        <w:rPr>
          <w:rFonts w:hint="eastAsia" w:ascii="Calibri" w:hAnsi="Calibri" w:eastAsia="Calibri" w:cs="Calibri"/>
          <w:b/>
          <w:bCs/>
          <w:rtl w:val="0"/>
        </w:rPr>
        <w:t>地址 / Party B Address], debidamente representada por [乙方法定代表人 / Party B Legal Representative].</w:t>
      </w:r>
    </w:p>
    <w:p w14:paraId="00000006">
      <w:pPr>
        <w:spacing w:before="280" w:after="80" w:line="288" w:lineRule="auto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Ambas partes, reconociéndose capacidad legal suficiente, </w:t>
      </w:r>
      <w:r>
        <w:rPr>
          <w:rFonts w:ascii="Calibri" w:hAnsi="Calibri" w:eastAsia="Calibri" w:cs="Calibri"/>
          <w:b/>
          <w:bCs/>
          <w:rtl w:val="0"/>
        </w:rPr>
        <w:t>ACUERDAN</w:t>
      </w:r>
      <w:r>
        <w:rPr>
          <w:rFonts w:ascii="Calibri" w:hAnsi="Calibri" w:eastAsia="Calibri" w:cs="Calibri"/>
          <w:rtl w:val="0"/>
        </w:rPr>
        <w:t xml:space="preserve"> formalizar el presente contrato, que se regirá por las siguientes:</w:t>
      </w:r>
    </w:p>
    <w:p w14:paraId="00000007">
      <w:pPr>
        <w:pStyle w:val="3"/>
        <w:keepNext w:val="0"/>
        <w:keepLines w:val="0"/>
        <w:spacing w:after="80" w:line="288" w:lineRule="auto"/>
        <w:jc w:val="both"/>
        <w:rPr>
          <w:rFonts w:ascii="Calibri" w:hAnsi="Calibri" w:eastAsia="Calibri" w:cs="Calibri"/>
          <w:b/>
          <w:bCs/>
          <w:sz w:val="28"/>
          <w:szCs w:val="28"/>
        </w:rPr>
      </w:pPr>
      <w:bookmarkStart w:id="1" w:name="_txl64eoq1fpg" w:colFirst="0" w:colLast="0"/>
      <w:bookmarkEnd w:id="1"/>
      <w:r>
        <w:rPr>
          <w:rFonts w:ascii="Calibri" w:hAnsi="Calibri" w:eastAsia="Calibri" w:cs="Calibri"/>
          <w:b/>
          <w:bCs/>
          <w:sz w:val="28"/>
          <w:szCs w:val="28"/>
          <w:rtl w:val="0"/>
        </w:rPr>
        <w:t>CLÁUSULAS</w:t>
      </w:r>
    </w:p>
    <w:p w14:paraId="0000000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80" w:after="80" w:line="288" w:lineRule="auto"/>
        <w:ind w:left="0" w:right="0" w:firstLine="0"/>
        <w:jc w:val="both"/>
        <w:rPr>
          <w:rFonts w:ascii="Calibri" w:hAnsi="Calibri" w:eastAsia="Calibri" w:cs="Calibri"/>
          <w:b/>
          <w:bCs/>
          <w:color w:val="000000"/>
        </w:rPr>
      </w:pPr>
      <w:r>
        <w:rPr>
          <w:rFonts w:ascii="Calibri" w:hAnsi="Calibri" w:eastAsia="Calibri" w:cs="Calibri"/>
          <w:b/>
          <w:bCs/>
          <w:color w:val="000000"/>
          <w:rtl w:val="0"/>
        </w:rPr>
        <w:t>1. Objeto del contrato</w:t>
      </w:r>
    </w:p>
    <w:p w14:paraId="00000009">
      <w:pPr>
        <w:spacing w:before="240" w:after="240" w:line="288" w:lineRule="auto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El presente contrato tiene por objeto la prestación por parte de GHUB de servicios de gestión y tramitación aduanera de las operaciones de importación, exportación y demás regímenes aduaneros solicitados por </w:t>
      </w:r>
      <w:r>
        <w:rPr>
          <w:rFonts w:hint="eastAsia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en territorio aduanero de la Unión, y en particular en España.</w:t>
      </w:r>
    </w:p>
    <w:p w14:paraId="0000000A">
      <w:pPr>
        <w:pStyle w:val="4"/>
        <w:keepNext w:val="0"/>
        <w:keepLines w:val="0"/>
        <w:spacing w:before="280" w:line="288" w:lineRule="auto"/>
        <w:jc w:val="both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2" w:name="_h5qn1i9oubj0" w:colFirst="0" w:colLast="0"/>
      <w:bookmarkEnd w:id="2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2. Modalidad de representación aduanera</w:t>
      </w:r>
    </w:p>
    <w:p w14:paraId="0000000B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2.1. GHUB actuará con carácter general en representación directa, conforme al artículo 18 del Código Aduanero de la Unión (CAU).</w:t>
      </w: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>2.2. En consecuencia,</w:t>
      </w:r>
      <w:r>
        <w:rPr>
          <w:rFonts w:ascii="Calibri" w:hAnsi="Calibri" w:eastAsia="Calibri" w:cs="Calibri"/>
          <w:color w:val="00B050"/>
          <w:rtl w:val="0"/>
        </w:rPr>
        <w:t xml:space="preserve">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color w:val="00B050"/>
          <w:rtl w:val="0"/>
        </w:rPr>
        <w:t xml:space="preserve"> </w:t>
      </w:r>
      <w:r>
        <w:rPr>
          <w:rFonts w:ascii="Calibri" w:hAnsi="Calibri" w:eastAsia="Calibri" w:cs="Calibri"/>
          <w:rtl w:val="0"/>
        </w:rPr>
        <w:t>ostentará la condición de declarante y responsable principal de las obligaciones aduaneras, fiscales y administrativas derivadas de las operaciones.</w:t>
      </w: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>2.3. GHUB no asume la condición de deudor de la deuda aduanera, ni de sujeto pasivo del IVA a la importación o de los Impuestos Especiales.</w:t>
      </w: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 xml:space="preserve">2.4. GHUB se limita a tramitar las declaraciones conforme a la información y documentación proporcionadas por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>, sin asumir garantía alguna sobre su corrección material.</w:t>
      </w:r>
    </w:p>
    <w:p w14:paraId="0000000C">
      <w:pPr>
        <w:pStyle w:val="4"/>
        <w:keepNext w:val="0"/>
        <w:keepLines w:val="0"/>
        <w:spacing w:before="280" w:line="288" w:lineRule="auto"/>
        <w:jc w:val="both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3" w:name="_u54q5bh6hgch" w:colFirst="0" w:colLast="0"/>
      <w:bookmarkEnd w:id="3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3. Poder de representación</w:t>
      </w:r>
    </w:p>
    <w:p w14:paraId="0000000D">
      <w:pPr>
        <w:spacing w:before="240" w:after="240" w:line="288" w:lineRule="auto"/>
        <w:jc w:val="both"/>
        <w:rPr>
          <w:rFonts w:ascii="Calibri" w:hAnsi="Calibri" w:eastAsia="Calibri" w:cs="Calibri"/>
        </w:rPr>
      </w:pP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hint="eastAsia" w:ascii="Calibri" w:hAnsi="Calibri" w:eastAsia="宋体" w:cs="Calibri"/>
          <w:rtl w:val="0"/>
          <w:lang w:eastAsia="zh-CN"/>
        </w:rPr>
        <w:t xml:space="preserve"> deberá otorgar a GHUB el correspondiente poder de representación con carácter previo a cualquier actuación ante las autoridades aduaneras. Sin dicho poder, GHUB podrá suspender el servicio sin responsabilidad alguna.</w:t>
      </w:r>
    </w:p>
    <w:p w14:paraId="0000000E">
      <w:pPr>
        <w:pStyle w:val="4"/>
        <w:keepNext w:val="0"/>
        <w:keepLines w:val="0"/>
        <w:spacing w:before="280" w:line="288" w:lineRule="auto"/>
        <w:jc w:val="both"/>
        <w:rPr>
          <w:rFonts w:hint="eastAsia" w:ascii="Calibri" w:hAnsi="Calibri" w:eastAsia="宋体" w:cs="Calibri"/>
          <w:b/>
          <w:bCs/>
          <w:color w:val="00B050"/>
          <w:sz w:val="22"/>
          <w:szCs w:val="22"/>
          <w:lang w:eastAsia="zh-CN"/>
        </w:rPr>
      </w:pPr>
      <w:bookmarkStart w:id="4" w:name="_8n7diduufagy" w:colFirst="0" w:colLast="0"/>
      <w:bookmarkEnd w:id="4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 xml:space="preserve">4. Obligaciones documentales e informativas de </w:t>
      </w:r>
      <w:r>
        <w:rPr>
          <w:rFonts w:hint="eastAsia" w:ascii="Calibri" w:hAnsi="Calibri" w:eastAsia="宋体" w:cs="Calibri"/>
          <w:b/>
          <w:bCs/>
          <w:color w:val="00B050"/>
          <w:sz w:val="22"/>
          <w:szCs w:val="22"/>
          <w:rtl w:val="0"/>
          <w:lang w:eastAsia="zh-CN"/>
        </w:rPr>
        <w:t>乙方简称XXX</w:t>
      </w:r>
    </w:p>
    <w:p w14:paraId="0000000F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4.1.</w:t>
      </w:r>
      <w:r>
        <w:rPr>
          <w:rFonts w:ascii="Calibri" w:hAnsi="Calibri" w:eastAsia="Calibri" w:cs="Calibri"/>
          <w:b/>
          <w:bCs/>
          <w:color w:val="00B050"/>
          <w:rtl w:val="0"/>
        </w:rPr>
        <w:t xml:space="preserve">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se obliga a facilitar a GHUB, con carácter previo y en tiempo útil:</w:t>
      </w:r>
    </w:p>
    <w:p w14:paraId="00000010">
      <w:pPr>
        <w:numPr>
          <w:ilvl w:val="0"/>
          <w:numId w:val="1"/>
        </w:numPr>
        <w:spacing w:before="24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Factura comercial</w:t>
      </w:r>
      <w:r>
        <w:rPr>
          <w:rFonts w:ascii="Calibri" w:hAnsi="Calibri" w:eastAsia="Calibri" w:cs="Calibri"/>
          <w:rtl w:val="0"/>
        </w:rPr>
        <w:br w:type="textWrapping"/>
      </w:r>
    </w:p>
    <w:p w14:paraId="00000011">
      <w:pPr>
        <w:numPr>
          <w:ilvl w:val="0"/>
          <w:numId w:val="1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Documento de transporte</w:t>
      </w:r>
      <w:r>
        <w:rPr>
          <w:rFonts w:ascii="Calibri" w:hAnsi="Calibri" w:eastAsia="Calibri" w:cs="Calibri"/>
          <w:rtl w:val="0"/>
        </w:rPr>
        <w:br w:type="textWrapping"/>
      </w:r>
    </w:p>
    <w:p w14:paraId="00000012">
      <w:pPr>
        <w:numPr>
          <w:ilvl w:val="0"/>
          <w:numId w:val="1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Packing list</w:t>
      </w:r>
      <w:r>
        <w:rPr>
          <w:rFonts w:ascii="Calibri" w:hAnsi="Calibri" w:eastAsia="Calibri" w:cs="Calibri"/>
          <w:rtl w:val="0"/>
        </w:rPr>
        <w:br w:type="textWrapping"/>
      </w:r>
    </w:p>
    <w:p w14:paraId="00000013">
      <w:pPr>
        <w:numPr>
          <w:ilvl w:val="0"/>
          <w:numId w:val="1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Justificantes de pago</w:t>
      </w:r>
      <w:r>
        <w:rPr>
          <w:rFonts w:ascii="Calibri" w:hAnsi="Calibri" w:eastAsia="Calibri" w:cs="Calibri"/>
          <w:rtl w:val="0"/>
        </w:rPr>
        <w:br w:type="textWrapping"/>
      </w:r>
    </w:p>
    <w:p w14:paraId="00000014">
      <w:pPr>
        <w:numPr>
          <w:ilvl w:val="0"/>
          <w:numId w:val="1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Fichas técnicas, catálogos o descripciones del producto</w:t>
      </w:r>
      <w:r>
        <w:rPr>
          <w:rFonts w:ascii="Calibri" w:hAnsi="Calibri" w:eastAsia="Calibri" w:cs="Calibri"/>
          <w:rtl w:val="0"/>
        </w:rPr>
        <w:br w:type="textWrapping"/>
      </w:r>
    </w:p>
    <w:p w14:paraId="00000015">
      <w:pPr>
        <w:numPr>
          <w:ilvl w:val="0"/>
          <w:numId w:val="1"/>
        </w:numPr>
        <w:spacing w:before="0" w:beforeAutospacing="0" w:after="24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Cualquier otro documento exigido por la normativa aplicable</w:t>
      </w:r>
    </w:p>
    <w:p w14:paraId="00000016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4.2.</w:t>
      </w:r>
      <w:r>
        <w:rPr>
          <w:rFonts w:ascii="Calibri" w:hAnsi="Calibri" w:eastAsia="Calibri" w:cs="Calibri"/>
          <w:b/>
          <w:bCs/>
          <w:color w:val="00B050"/>
          <w:rtl w:val="0"/>
        </w:rPr>
        <w:t xml:space="preserve">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garantiza la exactitud, integridad, autenticidad y validez de toda la información y documentación suministrada.</w:t>
      </w:r>
    </w:p>
    <w:p w14:paraId="00000017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4.3.</w:t>
      </w:r>
      <w:r>
        <w:rPr>
          <w:rFonts w:ascii="Calibri" w:hAnsi="Calibri" w:eastAsia="Calibri" w:cs="Calibri"/>
          <w:b/>
          <w:bCs/>
          <w:color w:val="00B050"/>
          <w:rtl w:val="0"/>
        </w:rPr>
        <w:t xml:space="preserve">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será única responsable de las consecuencias administrativas, tributarias, sancionadoras o penales derivadas de información inexacta, incompleta o falsa y se obliga a resarcir íntegramente a GHUB de cualquier coste o perjuicio que dichas consecuencias le ocasionen.</w:t>
      </w:r>
    </w:p>
    <w:p w14:paraId="00000018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5" w:name="_e9pti88vc027" w:colFirst="0" w:colLast="0"/>
      <w:bookmarkEnd w:id="5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5. Clasificación arancelaria, valor y origen</w:t>
      </w:r>
    </w:p>
    <w:p w14:paraId="00000019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5.1.</w:t>
      </w:r>
      <w:r>
        <w:rPr>
          <w:rFonts w:ascii="Calibri" w:hAnsi="Calibri" w:eastAsia="Calibri" w:cs="Calibri"/>
          <w:b/>
          <w:bCs/>
          <w:color w:val="00B050"/>
          <w:rtl w:val="0"/>
        </w:rPr>
        <w:t xml:space="preserve">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facilitará la clasificación arancelaria (TARIC a 10 dígitos), el valor en aduana y el origen de las mercancías.</w:t>
      </w: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 xml:space="preserve">5.2. GHUB no asume obligación de verificación técnica exhaustiva de dichos elementos, sin perjuicio de poder advertir a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de posibles incoherencias.</w:t>
      </w: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>5.3. La decisión final corresponderá siempre a</w:t>
      </w:r>
      <w:r>
        <w:rPr>
          <w:rFonts w:ascii="Calibri" w:hAnsi="Calibri" w:eastAsia="Calibri" w:cs="Calibri"/>
          <w:color w:val="00B050"/>
          <w:rtl w:val="0"/>
        </w:rPr>
        <w:t xml:space="preserve">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color w:val="00B050"/>
          <w:rtl w:val="0"/>
        </w:rPr>
        <w:t>,</w:t>
      </w:r>
      <w:r>
        <w:rPr>
          <w:rFonts w:ascii="Calibri" w:hAnsi="Calibri" w:eastAsia="Calibri" w:cs="Calibri"/>
          <w:rtl w:val="0"/>
        </w:rPr>
        <w:t xml:space="preserve"> quien asumirá íntegramente cualquier regularización, liquidación complementaria, sanción, recargo, interés o coste derivado de reclasificaciones, ajustes de valor u origen.</w:t>
      </w:r>
    </w:p>
    <w:p w14:paraId="0000001A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6" w:name="_l65ekpqla10z" w:colFirst="0" w:colLast="0"/>
      <w:bookmarkEnd w:id="6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6. Medidas no arancelarias y mercancía restringida</w:t>
      </w:r>
    </w:p>
    <w:p w14:paraId="0000001B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 xml:space="preserve">乙方简称XXX </w:t>
      </w:r>
      <w:r>
        <w:rPr>
          <w:rFonts w:hint="eastAsia" w:ascii="Calibri" w:hAnsi="Calibri" w:eastAsia="宋体" w:cs="Calibri"/>
          <w:rtl w:val="0"/>
          <w:lang w:eastAsia="zh-CN"/>
        </w:rPr>
        <w:t>garantiza que las mercancías cumplen con toda la normativa aplicable (sanitaria, fitosanitaria, SOIVRE, CE, CITES, doble uso, etc.).</w:t>
      </w:r>
      <w:r>
        <w:rPr>
          <w:rFonts w:hint="eastAsia" w:ascii="Calibri" w:hAnsi="Calibri" w:eastAsia="宋体" w:cs="Calibri"/>
          <w:rtl w:val="0"/>
          <w:lang w:eastAsia="zh-CN"/>
        </w:rPr>
        <w:br w:type="textWrapping"/>
      </w:r>
      <w:r>
        <w:rPr>
          <w:rFonts w:hint="eastAsia" w:ascii="Calibri" w:hAnsi="Calibri" w:eastAsia="宋体" w:cs="Calibri"/>
          <w:rtl w:val="0"/>
          <w:lang w:eastAsia="zh-CN"/>
        </w:rPr>
        <w:t>GHUB podrá suspender o rechazar la tramitación de cualquier envío que no cumpla los requisitos legales.</w:t>
      </w:r>
    </w:p>
    <w:p w14:paraId="0000001C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7" w:name="_5nv057c0jfpf" w:colFirst="0" w:colLast="0"/>
      <w:bookmarkEnd w:id="7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7. Propiedad intelectual</w:t>
      </w:r>
    </w:p>
    <w:p w14:paraId="0000001D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7.1.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declara ser titular o estar debidamente autorizado para comercializar los productos objeto de despacho.</w:t>
      </w: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>7.2. GHUB no aceptará mercancías susceptibles de vulnerar derechos de propiedad intelectual.</w:t>
      </w: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 xml:space="preserve">7.3.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asumirá toda responsabilidad por intervenciones aduaneras, retenciones, destrucciones o sanciones por infracción de derechos de propiedad intelectual, manteniendo indemne a GHUB.</w:t>
      </w:r>
    </w:p>
    <w:p w14:paraId="0000001E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8" w:name="_7rhp0rdripzv" w:colFirst="0" w:colLast="0"/>
      <w:bookmarkEnd w:id="8"/>
    </w:p>
    <w:p w14:paraId="0000001F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9" w:name="_wyr7thts7j0x" w:colFirst="0" w:colLast="0"/>
      <w:bookmarkEnd w:id="9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8. Facultades de GHUB ante incumplimientos</w:t>
      </w:r>
    </w:p>
    <w:p w14:paraId="00000020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En caso de incumplimiento por parte de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>, GHUB podrá:</w:t>
      </w:r>
    </w:p>
    <w:p w14:paraId="00000021">
      <w:pPr>
        <w:numPr>
          <w:ilvl w:val="0"/>
          <w:numId w:val="2"/>
        </w:numPr>
        <w:spacing w:before="24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Rechazar la mercancía</w:t>
      </w:r>
      <w:r>
        <w:rPr>
          <w:rFonts w:ascii="Calibri" w:hAnsi="Calibri" w:eastAsia="Calibri" w:cs="Calibri"/>
          <w:rtl w:val="0"/>
        </w:rPr>
        <w:br w:type="textWrapping"/>
      </w:r>
    </w:p>
    <w:p w14:paraId="00000022">
      <w:pPr>
        <w:numPr>
          <w:ilvl w:val="0"/>
          <w:numId w:val="2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No presentar la declaración</w:t>
      </w:r>
      <w:r>
        <w:rPr>
          <w:rFonts w:ascii="Calibri" w:hAnsi="Calibri" w:eastAsia="Calibri" w:cs="Calibri"/>
          <w:rtl w:val="0"/>
        </w:rPr>
        <w:br w:type="textWrapping"/>
      </w:r>
    </w:p>
    <w:p w14:paraId="00000023">
      <w:pPr>
        <w:numPr>
          <w:ilvl w:val="0"/>
          <w:numId w:val="2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Solicitar la invalidación</w:t>
      </w:r>
      <w:r>
        <w:rPr>
          <w:rFonts w:ascii="Calibri" w:hAnsi="Calibri" w:eastAsia="Calibri" w:cs="Calibri"/>
          <w:rtl w:val="0"/>
        </w:rPr>
        <w:br w:type="textWrapping"/>
      </w:r>
    </w:p>
    <w:p w14:paraId="00000024">
      <w:pPr>
        <w:numPr>
          <w:ilvl w:val="0"/>
          <w:numId w:val="2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Gestionar reexportación, destrucción o abandono</w:t>
      </w:r>
      <w:r>
        <w:rPr>
          <w:rFonts w:ascii="Calibri" w:hAnsi="Calibri" w:eastAsia="Calibri" w:cs="Calibri"/>
          <w:rtl w:val="0"/>
        </w:rPr>
        <w:br w:type="textWrapping"/>
      </w:r>
    </w:p>
    <w:p w14:paraId="00000025">
      <w:pPr>
        <w:numPr>
          <w:ilvl w:val="0"/>
          <w:numId w:val="2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Suspender servicios</w:t>
      </w:r>
      <w:r>
        <w:rPr>
          <w:rFonts w:ascii="Calibri" w:hAnsi="Calibri" w:eastAsia="Calibri" w:cs="Calibri"/>
          <w:rtl w:val="0"/>
        </w:rPr>
        <w:br w:type="textWrapping"/>
      </w:r>
    </w:p>
    <w:p w14:paraId="00000026">
      <w:pPr>
        <w:numPr>
          <w:ilvl w:val="0"/>
          <w:numId w:val="2"/>
        </w:numPr>
        <w:spacing w:before="0" w:beforeAutospacing="0" w:after="24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Resolver el contrato de forma inmediata</w:t>
      </w:r>
    </w:p>
    <w:p w14:paraId="00000027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10" w:name="_mxdh1tksxdjl" w:colFirst="0" w:colLast="0"/>
      <w:bookmarkEnd w:id="10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9. Gastos, sanciones y responsabilidad económica</w:t>
      </w:r>
    </w:p>
    <w:p w14:paraId="00000028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hint="eastAsia" w:ascii="Calibri" w:hAnsi="Calibri" w:eastAsia="宋体" w:cs="Calibri"/>
          <w:rtl w:val="0"/>
          <w:lang w:eastAsia="zh-CN"/>
        </w:rPr>
        <w:t xml:space="preserve"> asumirá íntegramente:</w:t>
      </w:r>
    </w:p>
    <w:p w14:paraId="00000029">
      <w:pPr>
        <w:numPr>
          <w:ilvl w:val="0"/>
          <w:numId w:val="3"/>
        </w:numPr>
        <w:spacing w:before="24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Derechos arancelarios</w:t>
      </w:r>
      <w:r>
        <w:rPr>
          <w:rFonts w:ascii="Calibri" w:hAnsi="Calibri" w:eastAsia="Calibri" w:cs="Calibri"/>
          <w:rtl w:val="0"/>
        </w:rPr>
        <w:br w:type="textWrapping"/>
      </w:r>
    </w:p>
    <w:p w14:paraId="0000002A">
      <w:pPr>
        <w:numPr>
          <w:ilvl w:val="0"/>
          <w:numId w:val="3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IVA a la importación</w:t>
      </w:r>
      <w:r>
        <w:rPr>
          <w:rFonts w:ascii="Calibri" w:hAnsi="Calibri" w:eastAsia="Calibri" w:cs="Calibri"/>
          <w:rtl w:val="0"/>
        </w:rPr>
        <w:br w:type="textWrapping"/>
      </w:r>
    </w:p>
    <w:p w14:paraId="0000002B">
      <w:pPr>
        <w:numPr>
          <w:ilvl w:val="0"/>
          <w:numId w:val="3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Impuestos Especiales</w:t>
      </w:r>
      <w:r>
        <w:rPr>
          <w:rFonts w:ascii="Calibri" w:hAnsi="Calibri" w:eastAsia="Calibri" w:cs="Calibri"/>
          <w:rtl w:val="0"/>
        </w:rPr>
        <w:br w:type="textWrapping"/>
      </w:r>
    </w:p>
    <w:p w14:paraId="0000002C">
      <w:pPr>
        <w:numPr>
          <w:ilvl w:val="0"/>
          <w:numId w:val="3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Recargos, intereses</w:t>
      </w:r>
      <w:r>
        <w:rPr>
          <w:rFonts w:ascii="Calibri" w:hAnsi="Calibri" w:eastAsia="Calibri" w:cs="Calibri"/>
          <w:rtl w:val="0"/>
        </w:rPr>
        <w:br w:type="textWrapping"/>
      </w:r>
    </w:p>
    <w:p w14:paraId="0000002D">
      <w:pPr>
        <w:numPr>
          <w:ilvl w:val="0"/>
          <w:numId w:val="3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Gastos de almacenaje, inspección, demoras</w:t>
      </w:r>
      <w:r>
        <w:rPr>
          <w:rFonts w:ascii="Calibri" w:hAnsi="Calibri" w:eastAsia="Calibri" w:cs="Calibri"/>
          <w:rtl w:val="0"/>
        </w:rPr>
        <w:br w:type="textWrapping"/>
      </w:r>
    </w:p>
    <w:p w14:paraId="0000002E">
      <w:pPr>
        <w:numPr>
          <w:ilvl w:val="0"/>
          <w:numId w:val="3"/>
        </w:numPr>
        <w:spacing w:before="0" w:beforeAutospacing="0" w:after="24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Honorarios legales y costes administrativos</w:t>
      </w:r>
    </w:p>
    <w:p w14:paraId="0000002F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11" w:name="_jkoct58g51g9" w:colFirst="0" w:colLast="0"/>
      <w:bookmarkEnd w:id="11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10. Cláusula de indemnidad</w:t>
      </w:r>
    </w:p>
    <w:p w14:paraId="00000030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hint="eastAsia" w:ascii="Calibri" w:hAnsi="Calibri" w:eastAsia="宋体" w:cs="Calibri"/>
          <w:rtl w:val="0"/>
          <w:lang w:eastAsia="zh-CN"/>
        </w:rPr>
        <w:t xml:space="preserve"> se obliga a indemnizar y mantener indemne a GHUB frente a cualquier sanción, liquidación, reclamación, daño, coste o perjuicio derivado directa o indirectamente de:</w:t>
      </w:r>
    </w:p>
    <w:p w14:paraId="00000031">
      <w:pPr>
        <w:numPr>
          <w:ilvl w:val="0"/>
          <w:numId w:val="4"/>
        </w:numPr>
        <w:spacing w:before="24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Información incorrecta</w:t>
      </w:r>
      <w:r>
        <w:rPr>
          <w:rFonts w:ascii="Calibri" w:hAnsi="Calibri" w:eastAsia="Calibri" w:cs="Calibri"/>
          <w:rtl w:val="0"/>
        </w:rPr>
        <w:br w:type="textWrapping"/>
      </w:r>
    </w:p>
    <w:p w14:paraId="00000032">
      <w:pPr>
        <w:numPr>
          <w:ilvl w:val="0"/>
          <w:numId w:val="4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Documentación falsa o incompleta</w:t>
      </w:r>
      <w:r>
        <w:rPr>
          <w:rFonts w:ascii="Calibri" w:hAnsi="Calibri" w:eastAsia="Calibri" w:cs="Calibri"/>
          <w:rtl w:val="0"/>
        </w:rPr>
        <w:br w:type="textWrapping"/>
      </w:r>
    </w:p>
    <w:p w14:paraId="00000033">
      <w:pPr>
        <w:numPr>
          <w:ilvl w:val="0"/>
          <w:numId w:val="4"/>
        </w:numPr>
        <w:spacing w:before="0" w:beforeAutospacing="0" w:after="0" w:afterAutospacing="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Incumplimiento de la normativa aduanera, fiscal o comercial</w:t>
      </w:r>
    </w:p>
    <w:p w14:paraId="00000034">
      <w:pPr>
        <w:numPr>
          <w:ilvl w:val="0"/>
          <w:numId w:val="4"/>
        </w:numPr>
        <w:spacing w:before="0" w:beforeAutospacing="0" w:after="240" w:line="288" w:lineRule="auto"/>
        <w:ind w:left="720" w:hanging="360"/>
        <w:jc w:val="left"/>
        <w:rPr>
          <w:rFonts w:ascii="Calibri" w:hAnsi="Calibri" w:eastAsia="Calibri" w:cs="Calibri"/>
          <w:u w:val="none"/>
        </w:rPr>
      </w:pPr>
      <w:r>
        <w:rPr>
          <w:rFonts w:ascii="Calibri" w:hAnsi="Calibri" w:eastAsia="Calibri" w:cs="Calibri"/>
          <w:rtl w:val="0"/>
        </w:rPr>
        <w:t>Incluidos gastos de defensa jurídica, asistencia profesional, auditorías, inspecciones, costes internos y perjuicios regulatorios.</w:t>
      </w:r>
    </w:p>
    <w:p w14:paraId="00000035">
      <w:pPr>
        <w:spacing w:before="240" w:after="240" w:line="288" w:lineRule="auto"/>
        <w:jc w:val="left"/>
        <w:rPr>
          <w:rFonts w:ascii="Calibri" w:hAnsi="Calibri" w:eastAsia="Calibri" w:cs="Calibri"/>
        </w:rPr>
      </w:pPr>
    </w:p>
    <w:p w14:paraId="00000036">
      <w:pPr>
        <w:pStyle w:val="4"/>
        <w:keepNext w:val="0"/>
        <w:keepLines w:val="0"/>
        <w:spacing w:before="0" w:after="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12" w:name="_kwvm07tqadim" w:colFirst="0" w:colLast="0"/>
      <w:bookmarkEnd w:id="12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 xml:space="preserve">11. Cláusula penal por incumplimiento </w:t>
      </w:r>
    </w:p>
    <w:p w14:paraId="00000037">
      <w:pPr>
        <w:spacing w:before="0" w:after="8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11.1. En caso de que, como consecuencia de acciones u omisiones imputables a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>, se produzca:</w:t>
      </w:r>
    </w:p>
    <w:p w14:paraId="00000038">
      <w:pPr>
        <w:numPr>
          <w:ilvl w:val="0"/>
          <w:numId w:val="5"/>
        </w:numPr>
        <w:spacing w:before="0" w:after="8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Una infracción administrativa aduanera</w:t>
      </w:r>
    </w:p>
    <w:p w14:paraId="00000039">
      <w:pPr>
        <w:numPr>
          <w:ilvl w:val="0"/>
          <w:numId w:val="5"/>
        </w:numPr>
        <w:spacing w:before="0" w:after="8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Una sanción</w:t>
      </w:r>
    </w:p>
    <w:p w14:paraId="0000003A">
      <w:pPr>
        <w:numPr>
          <w:ilvl w:val="0"/>
          <w:numId w:val="5"/>
        </w:numPr>
        <w:spacing w:before="0" w:after="8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o una reiteración de irregularidades que afecte al historial de cumplimiento normativo de GHUB,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abonará a GHUB, en concepto de cláusula penal, la cantidad de 300 euros por cada infracción.</w:t>
      </w:r>
    </w:p>
    <w:p w14:paraId="0000003B">
      <w:pPr>
        <w:spacing w:before="0" w:after="8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11.2. Dicha penalización:</w:t>
      </w:r>
    </w:p>
    <w:p w14:paraId="0000003C">
      <w:pPr>
        <w:numPr>
          <w:ilvl w:val="0"/>
          <w:numId w:val="6"/>
        </w:numPr>
        <w:spacing w:before="0" w:after="8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No sustituye la obligación de</w:t>
      </w:r>
      <w:r>
        <w:rPr>
          <w:rFonts w:ascii="Calibri" w:hAnsi="Calibri" w:eastAsia="Calibri" w:cs="Calibri"/>
          <w:b/>
          <w:bCs/>
          <w:color w:val="00B050"/>
          <w:rtl w:val="0"/>
        </w:rPr>
        <w:t xml:space="preserve">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 xml:space="preserve"> de asumir sanciones, impuestos y gastos,</w:t>
      </w:r>
    </w:p>
    <w:p w14:paraId="0000003D">
      <w:pPr>
        <w:numPr>
          <w:ilvl w:val="0"/>
          <w:numId w:val="6"/>
        </w:numPr>
        <w:spacing w:before="0" w:after="8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Tiene carácter </w:t>
      </w:r>
      <w:r>
        <w:rPr>
          <w:rFonts w:ascii="Calibri" w:hAnsi="Calibri" w:eastAsia="Calibri" w:cs="Calibri"/>
          <w:b/>
          <w:bCs/>
          <w:rtl w:val="0"/>
        </w:rPr>
        <w:t>disuasorio y compensatorio</w:t>
      </w:r>
      <w:r>
        <w:rPr>
          <w:rFonts w:ascii="Calibri" w:hAnsi="Calibri" w:eastAsia="Calibri" w:cs="Calibri"/>
          <w:rtl w:val="0"/>
        </w:rPr>
        <w:t>.</w:t>
      </w:r>
    </w:p>
    <w:p w14:paraId="0000003E">
      <w:pPr>
        <w:numPr>
          <w:ilvl w:val="0"/>
          <w:numId w:val="6"/>
        </w:numPr>
        <w:spacing w:before="0" w:after="80" w:line="288" w:lineRule="auto"/>
        <w:ind w:left="720" w:hanging="36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Se justifica por el </w:t>
      </w:r>
      <w:r>
        <w:rPr>
          <w:rFonts w:ascii="Calibri" w:hAnsi="Calibri" w:eastAsia="Calibri" w:cs="Calibri"/>
          <w:b/>
          <w:bCs/>
          <w:rtl w:val="0"/>
        </w:rPr>
        <w:t>riesgo regulatorio, reputacional y de pérdida de certificaciones (incluido OEA)</w:t>
      </w:r>
      <w:r>
        <w:rPr>
          <w:rFonts w:ascii="Calibri" w:hAnsi="Calibri" w:eastAsia="Calibri" w:cs="Calibri"/>
          <w:rtl w:val="0"/>
        </w:rPr>
        <w:t xml:space="preserve"> que dichas infracciones suponen para GHUB.</w:t>
      </w:r>
    </w:p>
    <w:p w14:paraId="0000003F">
      <w:pPr>
        <w:spacing w:before="0" w:after="80" w:line="288" w:lineRule="auto"/>
        <w:ind w:left="0" w:firstLine="0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11.3. La imposición de esta penalización no impedirá a GHUB reclamar daños adicionales si los perjuicios superasen dicha cuantía.</w:t>
      </w:r>
    </w:p>
    <w:p w14:paraId="00000040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13" w:name="_lriiwjv3vwgj" w:colFirst="0" w:colLast="0"/>
      <w:bookmarkEnd w:id="13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12. Cumplimiento normativo y OEA</w:t>
      </w:r>
    </w:p>
    <w:p w14:paraId="00000041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 xml:space="preserve">乙方简称XXX </w:t>
      </w:r>
      <w:r>
        <w:rPr>
          <w:rFonts w:hint="eastAsia" w:ascii="Calibri" w:hAnsi="Calibri" w:eastAsia="宋体" w:cs="Calibri"/>
          <w:rtl w:val="0"/>
          <w:lang w:eastAsia="zh-CN"/>
        </w:rPr>
        <w:t>reconoce que GHUB debe cumplir estrictamente la normativa aduanera y fiscal, incluyendo los requisitos del artículo 39 del CAU para el mantenimiento o solicitud del estatuto de Operador Económico Autorizado (OEA).</w:t>
      </w:r>
      <w:r>
        <w:rPr>
          <w:rFonts w:hint="eastAsia" w:ascii="Calibri" w:hAnsi="Calibri" w:eastAsia="宋体" w:cs="Calibri"/>
          <w:rtl w:val="0"/>
          <w:lang w:eastAsia="zh-CN"/>
        </w:rPr>
        <w:br w:type="textWrapping"/>
      </w:r>
      <w:r>
        <w:rPr>
          <w:rFonts w:hint="eastAsia" w:ascii="Calibri" w:hAnsi="Calibri" w:eastAsia="宋体" w:cs="Calibri"/>
          <w:rtl w:val="0"/>
          <w:lang w:eastAsia="zh-CN"/>
        </w:rPr>
        <w:t>Cualquier actuación de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 xml:space="preserve"> 乙方简称XXX</w:t>
      </w:r>
      <w:r>
        <w:rPr>
          <w:rFonts w:hint="eastAsia" w:ascii="Calibri" w:hAnsi="Calibri" w:eastAsia="宋体" w:cs="Calibri"/>
          <w:rtl w:val="0"/>
          <w:lang w:eastAsia="zh-CN"/>
        </w:rPr>
        <w:t xml:space="preserve"> que comprometa dicho cumplimiento constituirá incumplimiento contractual grave.</w:t>
      </w:r>
    </w:p>
    <w:p w14:paraId="00000042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14" w:name="_nramn7h5nc1y" w:colFirst="0" w:colLast="0"/>
      <w:bookmarkEnd w:id="14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13. Duración y resolución</w:t>
      </w:r>
    </w:p>
    <w:p w14:paraId="00000043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 xml:space="preserve">El contrato tendrá duración indefinida. GHUB podrá resolverlo de forma inmediata en caso de incumplimiento grave o reiterado por parte de </w:t>
      </w:r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r>
        <w:rPr>
          <w:rFonts w:ascii="Calibri" w:hAnsi="Calibri" w:eastAsia="Calibri" w:cs="Calibri"/>
          <w:rtl w:val="0"/>
        </w:rPr>
        <w:t>.</w:t>
      </w:r>
    </w:p>
    <w:p w14:paraId="00000044">
      <w:pPr>
        <w:pStyle w:val="4"/>
        <w:keepNext w:val="0"/>
        <w:keepLines w:val="0"/>
        <w:spacing w:before="280" w:line="288" w:lineRule="auto"/>
        <w:jc w:val="left"/>
        <w:rPr>
          <w:rFonts w:ascii="Calibri" w:hAnsi="Calibri" w:eastAsia="Calibri" w:cs="Calibri"/>
          <w:b/>
          <w:bCs/>
          <w:color w:val="000000"/>
          <w:sz w:val="22"/>
          <w:szCs w:val="22"/>
        </w:rPr>
      </w:pPr>
      <w:bookmarkStart w:id="15" w:name="_y8nx9elgfyyo" w:colFirst="0" w:colLast="0"/>
      <w:bookmarkEnd w:id="15"/>
      <w:r>
        <w:rPr>
          <w:rFonts w:ascii="Calibri" w:hAnsi="Calibri" w:eastAsia="Calibri" w:cs="Calibri"/>
          <w:b/>
          <w:bCs/>
          <w:color w:val="000000"/>
          <w:sz w:val="22"/>
          <w:szCs w:val="22"/>
          <w:rtl w:val="0"/>
        </w:rPr>
        <w:t>14. Ley aplicable y jurisdicción</w:t>
      </w:r>
    </w:p>
    <w:p w14:paraId="00000045">
      <w:pPr>
        <w:spacing w:before="240" w:after="240" w:line="288" w:lineRule="auto"/>
        <w:jc w:val="left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t>El presente contrato se regirá por la legislación española. Las partes se someten a los Juzgados y Tribunales de Coslada (Madrid), con renuncia expresa a cualquier otro fuero.</w:t>
      </w:r>
    </w:p>
    <w:p w14:paraId="00000046">
      <w:pPr>
        <w:spacing w:before="240" w:after="240" w:line="288" w:lineRule="auto"/>
        <w:jc w:val="both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  <w:rtl w:val="0"/>
        </w:rPr>
        <w:t>Firmas:</w:t>
      </w:r>
    </w:p>
    <w:p w14:paraId="45BCDB39">
      <w:pPr>
        <w:spacing w:before="240" w:after="240" w:line="288" w:lineRule="auto"/>
        <w:jc w:val="both"/>
        <w:rPr>
          <w:rFonts w:ascii="Calibri" w:hAnsi="Calibri" w:eastAsia="Calibri" w:cs="Calibri"/>
          <w:rtl w:val="0"/>
        </w:rPr>
      </w:pPr>
    </w:p>
    <w:p w14:paraId="45C5091B">
      <w:pPr>
        <w:spacing w:before="240" w:after="240" w:line="288" w:lineRule="auto"/>
        <w:jc w:val="both"/>
        <w:rPr>
          <w:rFonts w:ascii="Calibri" w:hAnsi="Calibri" w:eastAsia="Calibri" w:cs="Calibri"/>
          <w:rtl w:val="0"/>
        </w:rPr>
      </w:pPr>
      <w:r>
        <w:rPr>
          <w:rFonts w:ascii="Calibri" w:hAnsi="Calibri" w:eastAsia="Calibri" w:cs="Calibri"/>
          <w:rtl w:val="0"/>
        </w:rPr>
        <w:t>PorGHUB: _________________________</w:t>
      </w:r>
    </w:p>
    <w:p w14:paraId="642C79A6">
      <w:pPr>
        <w:spacing w:before="240" w:after="240" w:line="288" w:lineRule="auto"/>
        <w:jc w:val="both"/>
        <w:rPr>
          <w:rFonts w:ascii="Calibri" w:hAnsi="Calibri" w:eastAsia="Calibri" w:cs="Calibri"/>
          <w:rtl w:val="0"/>
        </w:rPr>
      </w:pPr>
    </w:p>
    <w:p w14:paraId="0B15590F">
      <w:pPr>
        <w:spacing w:before="240" w:after="240" w:line="288" w:lineRule="auto"/>
        <w:jc w:val="both"/>
        <w:rPr>
          <w:rFonts w:ascii="Calibri" w:hAnsi="Calibri" w:eastAsia="Calibri" w:cs="Calibri"/>
          <w:rtl w:val="0"/>
        </w:rPr>
      </w:pPr>
    </w:p>
    <w:p w14:paraId="00000047">
      <w:pPr>
        <w:spacing w:before="240" w:after="240" w:line="288" w:lineRule="auto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rtl w:val="0"/>
        </w:rPr>
        <w:br w:type="textWrapping"/>
      </w:r>
      <w:r>
        <w:rPr>
          <w:rFonts w:ascii="Calibri" w:hAnsi="Calibri" w:eastAsia="Calibri" w:cs="Calibri"/>
          <w:rtl w:val="0"/>
        </w:rPr>
        <w:t xml:space="preserve">Por </w:t>
      </w:r>
      <w:bookmarkStart w:id="16" w:name="_GoBack"/>
      <w:r>
        <w:rPr>
          <w:rFonts w:hint="eastAsia" w:ascii="Calibri" w:hAnsi="Calibri" w:eastAsia="宋体" w:cs="Calibri"/>
          <w:b/>
          <w:bCs/>
          <w:color w:val="00B050"/>
          <w:rtl w:val="0"/>
          <w:lang w:eastAsia="zh-CN"/>
        </w:rPr>
        <w:t>乙方简称XXX</w:t>
      </w:r>
      <w:bookmarkEnd w:id="16"/>
      <w:r>
        <w:rPr>
          <w:rFonts w:ascii="Calibri" w:hAnsi="Calibri" w:eastAsia="Calibri" w:cs="Calibri"/>
          <w:rtl w:val="0"/>
        </w:rPr>
        <w:t>: _________________________</w:t>
      </w:r>
    </w:p>
    <w:p w14:paraId="00000048">
      <w:pPr>
        <w:spacing w:before="240" w:after="240" w:line="288" w:lineRule="auto"/>
        <w:jc w:val="both"/>
        <w:rPr>
          <w:rFonts w:ascii="Calibri" w:hAnsi="Calibri" w:eastAsia="Calibri" w:cs="Calibri"/>
        </w:rPr>
      </w:pPr>
    </w:p>
    <w:p w14:paraId="00000049">
      <w:pPr>
        <w:spacing w:before="0" w:after="80" w:line="288" w:lineRule="auto"/>
        <w:ind w:left="0" w:firstLine="0"/>
        <w:jc w:val="both"/>
        <w:rPr>
          <w:rFonts w:ascii="Calibri" w:hAnsi="Calibri" w:eastAsia="Calibri" w:cs="Calibri"/>
        </w:rPr>
      </w:pPr>
    </w:p>
    <w:p w14:paraId="0000004A">
      <w:pPr>
        <w:spacing w:before="0" w:after="80" w:line="288" w:lineRule="auto"/>
        <w:ind w:left="0" w:firstLine="0"/>
        <w:jc w:val="both"/>
        <w:rPr>
          <w:rFonts w:ascii="Calibri" w:hAnsi="Calibri" w:eastAsia="Calibri" w:cs="Calibri"/>
        </w:rPr>
      </w:pPr>
    </w:p>
    <w:p w14:paraId="0000004B">
      <w:pPr>
        <w:spacing w:before="240" w:after="240" w:line="288" w:lineRule="auto"/>
        <w:jc w:val="both"/>
        <w:rPr>
          <w:rFonts w:ascii="Calibri" w:hAnsi="Calibri" w:eastAsia="Calibri" w:cs="Calibri"/>
        </w:rPr>
      </w:pPr>
    </w:p>
    <w:p w14:paraId="0000004C">
      <w:pPr>
        <w:spacing w:before="240" w:after="240" w:line="288" w:lineRule="auto"/>
        <w:jc w:val="both"/>
        <w:rPr>
          <w:rFonts w:ascii="Calibri" w:hAnsi="Calibri" w:eastAsia="Calibri" w:cs="Calibri"/>
        </w:rPr>
      </w:pPr>
    </w:p>
    <w:p w14:paraId="0000004D">
      <w:pPr>
        <w:spacing w:before="240" w:after="240" w:line="288" w:lineRule="auto"/>
        <w:rPr>
          <w:rFonts w:ascii="Calibri" w:hAnsi="Calibri" w:eastAsia="Calibri" w:cs="Calibri"/>
        </w:rPr>
      </w:pPr>
    </w:p>
    <w:p w14:paraId="0000004E">
      <w:pPr>
        <w:spacing w:before="240" w:after="240" w:line="288" w:lineRule="auto"/>
        <w:rPr>
          <w:rFonts w:ascii="Calibri" w:hAnsi="Calibri" w:eastAsia="Calibri" w:cs="Calibri"/>
        </w:rPr>
      </w:pPr>
    </w:p>
    <w:p w14:paraId="00000054"/>
    <w:sectPr>
      <w:headerReference r:id="rId5" w:type="default"/>
      <w:footerReference r:id="rId6" w:type="default"/>
      <w:pgSz w:w="11909" w:h="16834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33129F-0024-4522-AFEB-BB9FAC6C19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CF3B804-BE28-46BF-B391-BA8B38E842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5D87E3-19E2-4EE3-9328-1E1071F902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9B1CD2C-C3BF-498B-BB1D-15D2AD9AB2F6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D717EA5E-FED7-4507-A7FF-A557851446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07867">
    <w:pPr>
      <w:keepNext w:val="0"/>
      <w:keepLines w:val="0"/>
      <w:widowControl/>
      <w:suppressLineNumbers w:val="0"/>
      <w:ind w:firstLine="540" w:firstLineChars="300"/>
      <w:jc w:val="both"/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</w:pP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GREEN HUB CUSTOM HANDLING S.L.(C.I.F:B21632740),Av. de la Industria, 4, 28823,Madrid,Spain.</w:t>
    </w:r>
  </w:p>
  <w:p w14:paraId="285541D0">
    <w:pPr>
      <w:keepNext w:val="0"/>
      <w:keepLines w:val="0"/>
      <w:widowControl/>
      <w:suppressLineNumbers w:val="0"/>
      <w:jc w:val="center"/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</w:pP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Inscrita en el Registro Mercantil de Madrid, Sección 8, Hoja M-848124 Inscripción 1</w:t>
    </w:r>
    <w:r>
      <w:rPr>
        <w:rFonts w:hint="eastAsia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.</w:t>
    </w:r>
  </w:p>
  <w:p w14:paraId="61957150">
    <w:pPr>
      <w:keepNext w:val="0"/>
      <w:keepLines w:val="0"/>
      <w:widowControl/>
      <w:suppressLineNumbers w:val="0"/>
      <w:jc w:val="center"/>
    </w:pP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Website</w:t>
    </w:r>
    <w:r>
      <w:rPr>
        <w:rFonts w:hint="eastAsia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 xml:space="preserve">: </w:t>
    </w: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fldChar w:fldCharType="begin"/>
    </w: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instrText xml:space="preserve"> HYPERLINK "http://www.customhandling.com," </w:instrText>
    </w: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fldChar w:fldCharType="separate"/>
    </w:r>
    <w:r>
      <w:rPr>
        <w:rStyle w:val="13"/>
        <w:rFonts w:hint="default" w:ascii="Times New Roman" w:hAnsi="Times New Roman" w:eastAsia="宋体" w:cs="Times New Roman"/>
        <w:kern w:val="0"/>
        <w:sz w:val="18"/>
        <w:szCs w:val="18"/>
        <w:lang w:val="en-US" w:eastAsia="zh-CN" w:bidi="ar"/>
      </w:rPr>
      <w:t>www.customhandling.com</w:t>
    </w:r>
    <w:r>
      <w:rPr>
        <w:rStyle w:val="13"/>
        <w:rFonts w:hint="eastAsia" w:ascii="Times New Roman" w:hAnsi="Times New Roman" w:eastAsia="宋体" w:cs="Times New Roman"/>
        <w:kern w:val="0"/>
        <w:sz w:val="18"/>
        <w:szCs w:val="18"/>
        <w:lang w:val="en-US" w:eastAsia="zh-CN" w:bidi="ar"/>
      </w:rPr>
      <w:t xml:space="preserve"> ,</w:t>
    </w: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fldChar w:fldCharType="end"/>
    </w:r>
    <w:r>
      <w:rPr>
        <w:rFonts w:hint="eastAsia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 xml:space="preserve"> </w:t>
    </w: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Email</w:t>
    </w:r>
    <w:r>
      <w:rPr>
        <w:rFonts w:hint="eastAsia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: admin</w:t>
    </w: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 xml:space="preserve">@customhandling.com </w:t>
    </w:r>
    <w:r>
      <w:rPr>
        <w:rFonts w:hint="eastAsia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,</w:t>
    </w:r>
    <w:r>
      <w:rPr>
        <w:rFonts w:hint="default" w:ascii="Times New Roman" w:hAnsi="Times New Roman" w:eastAsia="宋体" w:cs="Times New Roman"/>
        <w:color w:val="000000"/>
        <w:kern w:val="0"/>
        <w:sz w:val="18"/>
        <w:szCs w:val="18"/>
        <w:lang w:val="en-US" w:eastAsia="zh-CN" w:bidi="ar"/>
      </w:rPr>
      <w:t>Tel: +34 917 196 397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55">
    <w:pPr>
      <w:jc w:val="center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3251835" cy="810895"/>
          <wp:effectExtent l="0" t="0" r="5715" b="8255"/>
          <wp:docPr id="1" name="图片 1" descr="2025-03-25 公司的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2025-03-25 公司的LOGO 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9ADCABA"/>
    <w:multiLevelType w:val="multilevel"/>
    <w:tmpl w:val="59ADCABA"/>
    <w:lvl w:ilvl="0" w:tentative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rsids>
    <w:rsidRoot w:val="00000000"/>
    <w:rsid w:val="05241B93"/>
    <w:rsid w:val="07726BE5"/>
    <w:rsid w:val="0DE93979"/>
    <w:rsid w:val="162A42C1"/>
    <w:rsid w:val="17872781"/>
    <w:rsid w:val="23AE4FF1"/>
    <w:rsid w:val="23BD5235"/>
    <w:rsid w:val="24C20D54"/>
    <w:rsid w:val="26DB4EDB"/>
    <w:rsid w:val="30330D58"/>
    <w:rsid w:val="37C4498C"/>
    <w:rsid w:val="37F76B0F"/>
    <w:rsid w:val="3A3E0A25"/>
    <w:rsid w:val="49902920"/>
    <w:rsid w:val="4AA91819"/>
    <w:rsid w:val="4B4B2FA2"/>
    <w:rsid w:val="50B45146"/>
    <w:rsid w:val="54646E83"/>
    <w:rsid w:val="54AD082A"/>
    <w:rsid w:val="578B2D6A"/>
    <w:rsid w:val="5CC26E3C"/>
    <w:rsid w:val="5F944AC0"/>
    <w:rsid w:val="5F971005"/>
    <w:rsid w:val="6ABC311D"/>
    <w:rsid w:val="6B4355EC"/>
    <w:rsid w:val="7BA867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s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40" w:after="80"/>
    </w:pPr>
    <w:rPr>
      <w:i/>
      <w:iCs/>
      <w:color w:val="666666"/>
      <w:sz w:val="22"/>
      <w:szCs w:val="2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character" w:styleId="13">
    <w:name w:val="Hyperlink"/>
    <w:basedOn w:val="12"/>
    <w:uiPriority w:val="0"/>
    <w:rPr>
      <w:color w:val="0000FF"/>
      <w:u w:val="single"/>
    </w:rPr>
  </w:style>
  <w:style w:type="table" w:customStyle="1" w:styleId="14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1032</Words>
  <Characters>5599</Characters>
  <TotalTime>7</TotalTime>
  <ScaleCrop>false</ScaleCrop>
  <LinksUpToDate>false</LinksUpToDate>
  <CharactersWithSpaces>6438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2026-01-21T10:43:00Z</dcterms:created>
  <dc:creator>PC</dc:creator>
  <cp:lastModifiedBy>Oo〇00o0O〇O0o00〇oO</cp:lastModifiedBy>
  <cp:lastPrinted>2026-01-21T10:58:00Z</cp:lastPrinted>
  <dcterms:modified xsi:type="dcterms:W3CDTF">2026-01-23T15:09:16Z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eyJoZGlkIjoiMDFhOGMyYWY2YWEyOTFjMjdlNTZjYzhkYTgxMjU0NDUiLCJ1c2VySWQiOiIzMTgxMDAxMTUifQ==</vt:lpwstr>
  </property>
  <property fmtid="{D5CDD505-2E9C-101B-9397-08002B2CF9AE}" pid="3" name="KSOProductBuildVer">
    <vt:lpwstr>2052-12.1.0.24657</vt:lpwstr>
  </property>
  <property fmtid="{D5CDD505-2E9C-101B-9397-08002B2CF9AE}" pid="4" name="ICV">
    <vt:lpwstr>B13955B202E84222B6CA0E5DA1216476_12</vt:lpwstr>
  </property>
</Properties>
</file>