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0000001">
      <w:pPr>
        <w:keepNext w:val="0"/>
        <w:keepLines w:val="0"/>
        <w:pageBreakBefore w:val="0"/>
        <w:widowControl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76" w:lineRule="auto"/>
        <w:ind w:left="0" w:right="0" w:firstLine="0"/>
        <w:jc w:val="center"/>
        <w:rPr>
          <w:rFonts w:ascii="Arial" w:hAnsi="Arial" w:eastAsia="Arial" w:cs="Arial"/>
          <w:b/>
          <w:bCs/>
          <w:i w:val="0"/>
          <w:iCs w:val="0"/>
          <w:smallCaps w:val="0"/>
          <w:strike w:val="0"/>
          <w:color w:val="000000"/>
          <w:sz w:val="32"/>
          <w:szCs w:val="32"/>
          <w:u w:val="none"/>
          <w:shd w:val="clear" w:fill="auto"/>
          <w:vertAlign w:val="baseline"/>
        </w:rPr>
      </w:pPr>
      <w:bookmarkStart w:id="0" w:name="_heading=h.uh1w32cyeru" w:colFirst="0" w:colLast="0"/>
      <w:bookmarkEnd w:id="0"/>
      <w:r>
        <w:rPr>
          <w:rFonts w:ascii="Calibri" w:hAnsi="Calibri" w:eastAsia="Calibri" w:cs="Calibri"/>
          <w:b/>
          <w:bCs/>
          <w:i w:val="0"/>
          <w:iCs w:val="0"/>
          <w:smallCaps w:val="0"/>
          <w:strike w:val="0"/>
          <w:color w:val="000000"/>
          <w:sz w:val="24"/>
          <w:szCs w:val="24"/>
          <w:u w:val="none"/>
          <w:shd w:val="clear" w:fill="auto"/>
          <w:vertAlign w:val="baseline"/>
          <w:rtl w:val="0"/>
        </w:rPr>
        <w:br w:type="textWrapping"/>
      </w:r>
      <w:r>
        <w:rPr>
          <w:rFonts w:ascii="Arial" w:hAnsi="Arial" w:eastAsia="Arial" w:cs="Arial"/>
          <w:b/>
          <w:bCs/>
          <w:i w:val="0"/>
          <w:iCs w:val="0"/>
          <w:smallCaps w:val="0"/>
          <w:strike w:val="0"/>
          <w:color w:val="000000"/>
          <w:sz w:val="32"/>
          <w:szCs w:val="32"/>
          <w:u w:val="none"/>
          <w:shd w:val="clear" w:fill="auto"/>
          <w:vertAlign w:val="baseline"/>
          <w:rtl w:val="0"/>
        </w:rPr>
        <w:t>CONTRATO DE PRESTACION DE SERVICIOS</w:t>
      </w:r>
    </w:p>
    <w:p w14:paraId="00000002">
      <w:pPr>
        <w:keepNext w:val="0"/>
        <w:keepLines w:val="0"/>
        <w:pageBreakBefore w:val="0"/>
        <w:widowControl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76" w:lineRule="auto"/>
        <w:ind w:left="0" w:right="0" w:firstLine="0"/>
        <w:jc w:val="center"/>
        <w:rPr>
          <w:b/>
          <w:bCs/>
          <w:sz w:val="32"/>
          <w:szCs w:val="32"/>
        </w:rPr>
      </w:pPr>
      <w:bookmarkStart w:id="1" w:name="_heading=h.hyg2vlse3p1n" w:colFirst="0" w:colLast="0"/>
      <w:bookmarkEnd w:id="1"/>
    </w:p>
    <w:p w14:paraId="00000003">
      <w:pPr>
        <w:jc w:val="center"/>
        <w:rPr>
          <w:rFonts w:ascii="Calibri" w:hAnsi="Calibri" w:eastAsia="Calibri" w:cs="Calibri"/>
          <w:b/>
          <w:bCs/>
          <w:sz w:val="28"/>
          <w:szCs w:val="28"/>
          <w:u w:val="single"/>
        </w:rPr>
      </w:pPr>
      <w:r>
        <w:rPr>
          <w:b/>
          <w:bCs/>
          <w:sz w:val="22"/>
          <w:szCs w:val="22"/>
          <w:rtl w:val="0"/>
        </w:rPr>
        <w:t xml:space="preserve">En Madrid, a dia </w:t>
      </w:r>
      <w:r>
        <w:rPr>
          <w:b/>
          <w:bCs/>
          <w:rtl w:val="0"/>
        </w:rPr>
        <w:t>xx th</w:t>
      </w:r>
      <w:r>
        <w:rPr>
          <w:b/>
          <w:bCs/>
          <w:sz w:val="22"/>
          <w:szCs w:val="22"/>
          <w:rtl w:val="0"/>
        </w:rPr>
        <w:t xml:space="preserve"> de FEBRERO de 2026, Numero del Contrato: GHCH202</w:t>
      </w:r>
      <w:r>
        <w:rPr>
          <w:b/>
          <w:bCs/>
          <w:rtl w:val="0"/>
        </w:rPr>
        <w:t>6</w:t>
      </w:r>
      <w:r>
        <w:rPr>
          <w:b/>
          <w:bCs/>
          <w:sz w:val="22"/>
          <w:szCs w:val="22"/>
          <w:rtl w:val="0"/>
        </w:rPr>
        <w:t>-00</w:t>
      </w:r>
      <w:r>
        <w:rPr>
          <w:b/>
          <w:bCs/>
          <w:rtl w:val="0"/>
        </w:rPr>
        <w:t>X</w:t>
      </w:r>
      <w:r>
        <w:rPr>
          <w:rFonts w:ascii="Calibri" w:hAnsi="Calibri" w:eastAsia="Calibri" w:cs="Calibri"/>
          <w:b/>
          <w:bCs/>
          <w:shd w:val="clear" w:fill="auto"/>
          <w:rtl w:val="0"/>
        </w:rPr>
        <w:br w:type="textWrapping"/>
      </w:r>
      <w:r>
        <w:rPr>
          <w:rFonts w:ascii="Calibri" w:hAnsi="Calibri" w:eastAsia="Calibri" w:cs="Calibri"/>
          <w:b/>
          <w:bCs/>
          <w:shd w:val="clear" w:fill="auto"/>
          <w:rtl w:val="0"/>
        </w:rPr>
        <w:br w:type="textWrapping"/>
      </w:r>
      <w:r>
        <w:rPr>
          <w:rFonts w:ascii="Calibri" w:hAnsi="Calibri" w:eastAsia="Calibri" w:cs="Calibri"/>
          <w:b/>
          <w:bCs/>
          <w:sz w:val="28"/>
          <w:szCs w:val="28"/>
          <w:u w:val="single"/>
          <w:rtl w:val="0"/>
        </w:rPr>
        <w:t>REUNIDOS</w:t>
      </w:r>
    </w:p>
    <w:p w14:paraId="00000004">
      <w:pPr>
        <w:spacing w:before="280" w:after="80" w:line="240" w:lineRule="auto"/>
        <w:jc w:val="both"/>
        <w:rPr>
          <w:rFonts w:ascii="Calibri" w:hAnsi="Calibri" w:eastAsia="Calibri" w:cs="Calibri"/>
          <w:sz w:val="24"/>
          <w:szCs w:val="24"/>
        </w:rPr>
      </w:pPr>
      <w:r>
        <w:rPr>
          <w:rFonts w:ascii="Calibri" w:hAnsi="Calibri" w:eastAsia="Calibri" w:cs="Calibri"/>
          <w:b/>
          <w:bCs/>
          <w:shd w:val="clear" w:fill="auto"/>
          <w:rtl w:val="0"/>
        </w:rPr>
        <w:br w:type="textWrapping"/>
      </w:r>
      <w:r>
        <w:rPr>
          <w:rFonts w:ascii="Calibri" w:hAnsi="Calibri" w:eastAsia="Calibri" w:cs="Calibri"/>
          <w:b/>
          <w:bCs/>
          <w:shd w:val="clear" w:fill="auto"/>
          <w:rtl w:val="0"/>
        </w:rPr>
        <w:br w:type="textWrapping"/>
      </w:r>
      <w:r>
        <w:rPr>
          <w:rFonts w:ascii="Calibri" w:hAnsi="Calibri" w:eastAsia="Calibri" w:cs="Calibri"/>
          <w:b w:val="0"/>
          <w:bCs w:val="0"/>
          <w:rtl w:val="0"/>
        </w:rPr>
        <w:t>De una parte,</w:t>
      </w:r>
      <w:r>
        <w:rPr>
          <w:rFonts w:ascii="Calibri" w:hAnsi="Calibri" w:eastAsia="Calibri" w:cs="Calibri"/>
          <w:b/>
          <w:bCs/>
          <w:sz w:val="24"/>
          <w:szCs w:val="24"/>
          <w:rtl w:val="0"/>
        </w:rPr>
        <w:t>GREEN HUB CUSTOM HANDLING, S.L.</w:t>
      </w:r>
      <w:r>
        <w:rPr>
          <w:rFonts w:ascii="Calibri" w:hAnsi="Calibri" w:eastAsia="Calibri" w:cs="Calibri"/>
          <w:sz w:val="24"/>
          <w:szCs w:val="24"/>
          <w:rtl w:val="0"/>
        </w:rPr>
        <w:t xml:space="preserve"> (en adelante, </w:t>
      </w:r>
      <w:r>
        <w:rPr>
          <w:rFonts w:ascii="Calibri" w:hAnsi="Calibri" w:eastAsia="Calibri" w:cs="Calibri"/>
          <w:b/>
          <w:bCs/>
          <w:sz w:val="24"/>
          <w:szCs w:val="24"/>
          <w:rtl w:val="0"/>
        </w:rPr>
        <w:t>“GHUB”</w:t>
      </w:r>
      <w:r>
        <w:rPr>
          <w:rFonts w:ascii="Calibri" w:hAnsi="Calibri" w:eastAsia="Calibri" w:cs="Calibri"/>
          <w:sz w:val="24"/>
          <w:szCs w:val="24"/>
          <w:rtl w:val="0"/>
        </w:rPr>
        <w:t>), con CIF B21632740 y domicilio en Av. de la Industria 4A, 28823 Coslada (Madrid), debidamente representada por D. Javier Cotelo Miralles,D.N.I :         en su condición de Administrador.</w:t>
      </w:r>
    </w:p>
    <w:p w14:paraId="00000005">
      <w:pPr>
        <w:spacing w:before="280" w:after="80" w:line="240" w:lineRule="auto"/>
        <w:jc w:val="both"/>
        <w:rPr>
          <w:rFonts w:ascii="Calibri" w:hAnsi="Calibri" w:eastAsia="Calibri" w:cs="Calibri"/>
          <w:b/>
          <w:bCs/>
          <w:sz w:val="24"/>
          <w:szCs w:val="24"/>
        </w:rPr>
      </w:pPr>
      <w:r>
        <w:rPr>
          <w:rFonts w:ascii="Calibri" w:hAnsi="Calibri" w:eastAsia="Calibri" w:cs="Calibri"/>
          <w:b/>
          <w:bCs/>
          <w:sz w:val="24"/>
          <w:szCs w:val="24"/>
          <w:rtl w:val="0"/>
        </w:rPr>
        <w:t>Y de otra:</w:t>
      </w:r>
    </w:p>
    <w:p w14:paraId="00000006">
      <w:pPr>
        <w:spacing w:before="280" w:after="80" w:line="240" w:lineRule="auto"/>
        <w:jc w:val="both"/>
        <w:rPr>
          <w:rFonts w:ascii="Calibri" w:hAnsi="Calibri" w:eastAsia="Calibri" w:cs="Calibri"/>
          <w:b/>
          <w:bCs/>
          <w:sz w:val="24"/>
          <w:szCs w:val="24"/>
        </w:rPr>
      </w:pPr>
      <w:r>
        <w:rPr>
          <w:rFonts w:ascii="Calibri" w:hAnsi="Calibri" w:eastAsia="Calibri" w:cs="Calibri"/>
          <w:b/>
          <w:bCs/>
          <w:sz w:val="24"/>
          <w:szCs w:val="24"/>
          <w:rtl w:val="0"/>
        </w:rPr>
        <w:t>XXXXXXXXX 此处填写乙方公司完整司名称..</w:t>
      </w:r>
      <w:r>
        <w:rPr>
          <w:rFonts w:ascii="Calibri" w:hAnsi="Calibri" w:eastAsia="Calibri" w:cs="Calibri"/>
          <w:sz w:val="24"/>
          <w:szCs w:val="24"/>
          <w:rtl w:val="0"/>
        </w:rPr>
        <w:t xml:space="preserve"> (en adelante, </w:t>
      </w:r>
      <w:r>
        <w:rPr>
          <w:rFonts w:ascii="Calibri" w:hAnsi="Calibri" w:eastAsia="Calibri" w:cs="Calibri"/>
          <w:b/>
          <w:bCs/>
          <w:sz w:val="24"/>
          <w:szCs w:val="24"/>
          <w:rtl w:val="0"/>
        </w:rPr>
        <w:t>“此处填写乙方公司简称”</w:t>
      </w:r>
      <w:r>
        <w:rPr>
          <w:rFonts w:ascii="Calibri" w:hAnsi="Calibri" w:eastAsia="Calibri" w:cs="Calibri"/>
          <w:sz w:val="24"/>
          <w:szCs w:val="24"/>
          <w:rtl w:val="0"/>
        </w:rPr>
        <w:t>), con Registration Number：XXXXXXXX 此处填写公司税号  y domicilio en xxxxxx此处填写公司地址信息 ,</w:t>
      </w:r>
      <w:r>
        <w:rPr>
          <w:rFonts w:ascii="Calibri" w:hAnsi="Calibri" w:eastAsia="Calibri" w:cs="Calibri"/>
          <w:b/>
          <w:bCs/>
          <w:sz w:val="24"/>
          <w:szCs w:val="24"/>
          <w:rtl w:val="0"/>
        </w:rPr>
        <w:t xml:space="preserve"> debidamente representada por XX此处填写负责人名字，身份证号码ID .</w:t>
      </w:r>
    </w:p>
    <w:p w14:paraId="00000007">
      <w:pPr>
        <w:spacing w:before="280" w:after="80" w:line="240" w:lineRule="auto"/>
        <w:jc w:val="both"/>
        <w:rPr>
          <w:rFonts w:ascii="Calibri" w:hAnsi="Calibri" w:eastAsia="Calibri" w:cs="Calibri"/>
          <w:b/>
          <w:bCs/>
          <w:sz w:val="32"/>
          <w:szCs w:val="32"/>
        </w:rPr>
      </w:pPr>
      <w:r>
        <w:rPr>
          <w:rFonts w:ascii="Calibri" w:hAnsi="Calibri" w:eastAsia="Calibri" w:cs="Calibri"/>
          <w:sz w:val="24"/>
          <w:szCs w:val="24"/>
          <w:rtl w:val="0"/>
        </w:rPr>
        <w:t xml:space="preserve">Ambas partes, reconociéndose capacidad legal suficiente, </w:t>
      </w:r>
      <w:r>
        <w:rPr>
          <w:rFonts w:ascii="Calibri" w:hAnsi="Calibri" w:eastAsia="Calibri" w:cs="Calibri"/>
          <w:b/>
          <w:bCs/>
          <w:sz w:val="24"/>
          <w:szCs w:val="24"/>
          <w:rtl w:val="0"/>
        </w:rPr>
        <w:t>ACUERDAN</w:t>
      </w:r>
      <w:r>
        <w:rPr>
          <w:rFonts w:ascii="Calibri" w:hAnsi="Calibri" w:eastAsia="Calibri" w:cs="Calibri"/>
          <w:sz w:val="24"/>
          <w:szCs w:val="24"/>
          <w:rtl w:val="0"/>
        </w:rPr>
        <w:t xml:space="preserve"> formalizar el presente contrato, que se regirá por las siguientes:</w:t>
      </w:r>
    </w:p>
    <w:p w14:paraId="00000008">
      <w:pPr>
        <w:spacing w:before="280" w:after="80" w:line="240" w:lineRule="auto"/>
        <w:jc w:val="both"/>
        <w:rPr>
          <w:rFonts w:ascii="Calibri" w:hAnsi="Calibri" w:eastAsia="Calibri" w:cs="Calibri"/>
          <w:b/>
          <w:bCs/>
          <w:sz w:val="32"/>
          <w:szCs w:val="32"/>
        </w:rPr>
      </w:pPr>
    </w:p>
    <w:p w14:paraId="00000009">
      <w:pPr>
        <w:pStyle w:val="3"/>
        <w:keepNext w:val="0"/>
        <w:keepLines w:val="0"/>
        <w:spacing w:after="80" w:line="240" w:lineRule="auto"/>
        <w:jc w:val="both"/>
        <w:rPr>
          <w:rFonts w:ascii="Calibri" w:hAnsi="Calibri" w:eastAsia="Calibri" w:cs="Calibri"/>
          <w:b/>
          <w:bCs/>
          <w:color w:val="000000"/>
          <w:sz w:val="24"/>
          <w:szCs w:val="24"/>
        </w:rPr>
      </w:pPr>
      <w:bookmarkStart w:id="2" w:name="_heading=h.toj2xzrir07l" w:colFirst="0" w:colLast="0"/>
      <w:bookmarkEnd w:id="2"/>
      <w:r>
        <w:rPr>
          <w:rFonts w:ascii="Calibri" w:hAnsi="Calibri" w:eastAsia="Calibri" w:cs="Calibri"/>
          <w:b/>
          <w:bCs/>
          <w:sz w:val="32"/>
          <w:szCs w:val="32"/>
          <w:rtl w:val="0"/>
        </w:rPr>
        <w:t>CLÁUSULAS</w:t>
      </w:r>
      <w:r>
        <w:rPr>
          <w:rFonts w:ascii="Calibri" w:hAnsi="Calibri" w:eastAsia="Calibri" w:cs="Calibri"/>
          <w:b/>
          <w:bCs/>
          <w:color w:val="000000"/>
          <w:sz w:val="24"/>
          <w:szCs w:val="24"/>
          <w:rtl w:val="0"/>
        </w:rPr>
        <w:t>1. Objeto del contrato</w:t>
      </w:r>
    </w:p>
    <w:p w14:paraId="0000000A">
      <w:pPr>
        <w:spacing w:before="240" w:after="240" w:line="240" w:lineRule="auto"/>
        <w:jc w:val="both"/>
        <w:rPr>
          <w:rFonts w:ascii="Calibri" w:hAnsi="Calibri" w:eastAsia="Calibri" w:cs="Calibri"/>
          <w:sz w:val="24"/>
          <w:szCs w:val="24"/>
        </w:rPr>
      </w:pPr>
      <w:r>
        <w:rPr>
          <w:rFonts w:ascii="Calibri" w:hAnsi="Calibri" w:eastAsia="Calibri" w:cs="Calibri"/>
          <w:sz w:val="24"/>
          <w:szCs w:val="24"/>
          <w:rtl w:val="0"/>
        </w:rPr>
        <w:t xml:space="preserve">El presente contrato tiene por objeto la prestación por parte de </w:t>
      </w:r>
      <w:r>
        <w:rPr>
          <w:rFonts w:ascii="Calibri" w:hAnsi="Calibri" w:eastAsia="Calibri" w:cs="Calibri"/>
          <w:b/>
          <w:bCs/>
          <w:sz w:val="24"/>
          <w:szCs w:val="24"/>
          <w:rtl w:val="0"/>
        </w:rPr>
        <w:t>GHUB</w:t>
      </w:r>
      <w:r>
        <w:rPr>
          <w:rFonts w:ascii="Calibri" w:hAnsi="Calibri" w:eastAsia="Calibri" w:cs="Calibri"/>
          <w:sz w:val="24"/>
          <w:szCs w:val="24"/>
          <w:rtl w:val="0"/>
        </w:rPr>
        <w:t xml:space="preserve"> de servicios de gestión y tramitación aduanera de las operaciones de importación, exportación y demás regímenes aduaneros solicitados por </w:t>
      </w:r>
      <w:r>
        <w:rPr>
          <w:rFonts w:ascii="Calibri" w:hAnsi="Calibri" w:eastAsia="Calibri" w:cs="Calibri"/>
          <w:b/>
          <w:bCs/>
          <w:sz w:val="24"/>
          <w:szCs w:val="24"/>
          <w:rtl w:val="0"/>
        </w:rPr>
        <w:t>已方公司简称</w:t>
      </w:r>
      <w:r>
        <w:rPr>
          <w:rFonts w:ascii="Calibri" w:hAnsi="Calibri" w:eastAsia="Calibri" w:cs="Calibri"/>
          <w:sz w:val="24"/>
          <w:szCs w:val="24"/>
          <w:rtl w:val="0"/>
        </w:rPr>
        <w:t xml:space="preserve"> en territorio aduanero de la Unión, y en particular en España.</w:t>
      </w:r>
    </w:p>
    <w:p w14:paraId="0000000B">
      <w:pPr>
        <w:pStyle w:val="4"/>
        <w:keepNext w:val="0"/>
        <w:keepLines w:val="0"/>
        <w:spacing w:before="280" w:line="240" w:lineRule="auto"/>
        <w:jc w:val="both"/>
        <w:rPr>
          <w:rFonts w:ascii="Calibri" w:hAnsi="Calibri" w:eastAsia="Calibri" w:cs="Calibri"/>
          <w:b/>
          <w:bCs/>
          <w:color w:val="000000"/>
          <w:sz w:val="24"/>
          <w:szCs w:val="24"/>
        </w:rPr>
      </w:pPr>
      <w:bookmarkStart w:id="3" w:name="_heading=h.kj0w51ppr6ed" w:colFirst="0" w:colLast="0"/>
      <w:bookmarkEnd w:id="3"/>
      <w:r>
        <w:rPr>
          <w:rFonts w:ascii="Calibri" w:hAnsi="Calibri" w:eastAsia="Calibri" w:cs="Calibri"/>
          <w:b/>
          <w:bCs/>
          <w:color w:val="000000"/>
          <w:sz w:val="24"/>
          <w:szCs w:val="24"/>
          <w:rtl w:val="0"/>
        </w:rPr>
        <w:t>2. Modalidad de representación aduanera</w:t>
      </w:r>
    </w:p>
    <w:p w14:paraId="0000000C">
      <w:pPr>
        <w:spacing w:before="240" w:after="240" w:line="240" w:lineRule="auto"/>
        <w:jc w:val="left"/>
        <w:rPr>
          <w:rFonts w:ascii="Calibri" w:hAnsi="Calibri" w:eastAsia="Calibri" w:cs="Calibri"/>
          <w:sz w:val="24"/>
          <w:szCs w:val="24"/>
        </w:rPr>
      </w:pPr>
      <w:r>
        <w:rPr>
          <w:rFonts w:ascii="Calibri" w:hAnsi="Calibri" w:eastAsia="Calibri" w:cs="Calibri"/>
          <w:sz w:val="24"/>
          <w:szCs w:val="24"/>
          <w:rtl w:val="0"/>
        </w:rPr>
        <w:t xml:space="preserve">2.1. GHUB actuará </w:t>
      </w:r>
      <w:r>
        <w:rPr>
          <w:rFonts w:ascii="Calibri" w:hAnsi="Calibri" w:eastAsia="Calibri" w:cs="Calibri"/>
          <w:b/>
          <w:bCs/>
          <w:sz w:val="24"/>
          <w:szCs w:val="24"/>
          <w:rtl w:val="0"/>
        </w:rPr>
        <w:t>con carácter general en representación directa</w:t>
      </w:r>
      <w:r>
        <w:rPr>
          <w:rFonts w:ascii="Calibri" w:hAnsi="Calibri" w:eastAsia="Calibri" w:cs="Calibri"/>
          <w:sz w:val="24"/>
          <w:szCs w:val="24"/>
          <w:rtl w:val="0"/>
        </w:rPr>
        <w:t>, conforme al artículo 18 del Código Aduanero de la Unión (CAU).</w:t>
      </w:r>
      <w:r>
        <w:rPr>
          <w:rFonts w:ascii="Calibri" w:hAnsi="Calibri" w:eastAsia="Calibri" w:cs="Calibri"/>
          <w:sz w:val="24"/>
          <w:szCs w:val="24"/>
          <w:rtl w:val="0"/>
        </w:rPr>
        <w:br w:type="textWrapping"/>
      </w:r>
      <w:r>
        <w:rPr>
          <w:rFonts w:ascii="Calibri" w:hAnsi="Calibri" w:eastAsia="Calibri" w:cs="Calibri"/>
          <w:sz w:val="24"/>
          <w:szCs w:val="24"/>
          <w:rtl w:val="0"/>
        </w:rPr>
        <w:t xml:space="preserve">2.2. En consecuencia, </w:t>
      </w:r>
      <w:r>
        <w:rPr>
          <w:rFonts w:ascii="Calibri" w:hAnsi="Calibri" w:eastAsia="Calibri" w:cs="Calibri"/>
          <w:b/>
          <w:bCs/>
          <w:sz w:val="24"/>
          <w:szCs w:val="24"/>
          <w:rtl w:val="0"/>
        </w:rPr>
        <w:t>已方公司简称 ostentará la condición de declarante y responsable principal</w:t>
      </w:r>
      <w:r>
        <w:rPr>
          <w:rFonts w:ascii="Calibri" w:hAnsi="Calibri" w:eastAsia="Calibri" w:cs="Calibri"/>
          <w:sz w:val="24"/>
          <w:szCs w:val="24"/>
          <w:rtl w:val="0"/>
        </w:rPr>
        <w:t xml:space="preserve"> de las obligaciones aduaneras, fiscales y administrativas derivadas de las operaciones.</w:t>
      </w:r>
      <w:r>
        <w:rPr>
          <w:rFonts w:ascii="Calibri" w:hAnsi="Calibri" w:eastAsia="Calibri" w:cs="Calibri"/>
          <w:sz w:val="24"/>
          <w:szCs w:val="24"/>
          <w:rtl w:val="0"/>
        </w:rPr>
        <w:br w:type="textWrapping"/>
      </w:r>
      <w:r>
        <w:rPr>
          <w:rFonts w:ascii="Calibri" w:hAnsi="Calibri" w:eastAsia="Calibri" w:cs="Calibri"/>
          <w:sz w:val="24"/>
          <w:szCs w:val="24"/>
          <w:rtl w:val="0"/>
        </w:rPr>
        <w:t xml:space="preserve">2.3. GHUB </w:t>
      </w:r>
      <w:r>
        <w:rPr>
          <w:rFonts w:ascii="Calibri" w:hAnsi="Calibri" w:eastAsia="Calibri" w:cs="Calibri"/>
          <w:b/>
          <w:bCs/>
          <w:sz w:val="24"/>
          <w:szCs w:val="24"/>
          <w:rtl w:val="0"/>
        </w:rPr>
        <w:t>no asume la condición de deudor de la deuda aduanera</w:t>
      </w:r>
      <w:r>
        <w:rPr>
          <w:rFonts w:ascii="Calibri" w:hAnsi="Calibri" w:eastAsia="Calibri" w:cs="Calibri"/>
          <w:sz w:val="24"/>
          <w:szCs w:val="24"/>
          <w:rtl w:val="0"/>
        </w:rPr>
        <w:t>, ni de sujeto pasivo del IVA a la importación o de los Impuestos Especiales.</w:t>
      </w:r>
      <w:r>
        <w:rPr>
          <w:rFonts w:ascii="Calibri" w:hAnsi="Calibri" w:eastAsia="Calibri" w:cs="Calibri"/>
          <w:sz w:val="24"/>
          <w:szCs w:val="24"/>
          <w:rtl w:val="0"/>
        </w:rPr>
        <w:br w:type="textWrapping"/>
      </w:r>
      <w:r>
        <w:rPr>
          <w:rFonts w:ascii="Calibri" w:hAnsi="Calibri" w:eastAsia="Calibri" w:cs="Calibri"/>
          <w:sz w:val="24"/>
          <w:szCs w:val="24"/>
          <w:rtl w:val="0"/>
        </w:rPr>
        <w:t xml:space="preserve">2.4. GHUB se limita a </w:t>
      </w:r>
      <w:r>
        <w:rPr>
          <w:rFonts w:ascii="Calibri" w:hAnsi="Calibri" w:eastAsia="Calibri" w:cs="Calibri"/>
          <w:b/>
          <w:bCs/>
          <w:sz w:val="24"/>
          <w:szCs w:val="24"/>
          <w:rtl w:val="0"/>
        </w:rPr>
        <w:t>tramitar las declaraciones conforme a la información y documentación proporcionadas por 已方公司简称</w:t>
      </w:r>
      <w:r>
        <w:rPr>
          <w:rFonts w:ascii="Calibri" w:hAnsi="Calibri" w:eastAsia="Calibri" w:cs="Calibri"/>
          <w:sz w:val="24"/>
          <w:szCs w:val="24"/>
          <w:rtl w:val="0"/>
        </w:rPr>
        <w:t>, sin asumir garantía alguna sobre su corrección material.</w:t>
      </w:r>
    </w:p>
    <w:p w14:paraId="0000000D">
      <w:pPr>
        <w:pStyle w:val="4"/>
        <w:keepNext w:val="0"/>
        <w:keepLines w:val="0"/>
        <w:spacing w:before="280" w:line="240" w:lineRule="auto"/>
        <w:jc w:val="both"/>
        <w:rPr>
          <w:rFonts w:ascii="Calibri" w:hAnsi="Calibri" w:eastAsia="Calibri" w:cs="Calibri"/>
          <w:b/>
          <w:bCs/>
          <w:color w:val="000000"/>
          <w:sz w:val="24"/>
          <w:szCs w:val="24"/>
        </w:rPr>
      </w:pPr>
      <w:bookmarkStart w:id="4" w:name="_heading=h.lagq62f92o6y" w:colFirst="0" w:colLast="0"/>
      <w:bookmarkEnd w:id="4"/>
      <w:r>
        <w:rPr>
          <w:rFonts w:ascii="Calibri" w:hAnsi="Calibri" w:eastAsia="Calibri" w:cs="Calibri"/>
          <w:b/>
          <w:bCs/>
          <w:color w:val="000000"/>
          <w:sz w:val="24"/>
          <w:szCs w:val="24"/>
          <w:rtl w:val="0"/>
        </w:rPr>
        <w:t>3. Poder de representación</w:t>
      </w:r>
    </w:p>
    <w:p w14:paraId="0000000E">
      <w:pPr>
        <w:spacing w:before="240" w:after="240" w:line="240" w:lineRule="auto"/>
        <w:jc w:val="both"/>
        <w:rPr>
          <w:rFonts w:ascii="Calibri" w:hAnsi="Calibri" w:eastAsia="Calibri" w:cs="Calibri"/>
          <w:sz w:val="24"/>
          <w:szCs w:val="24"/>
        </w:rPr>
      </w:pPr>
      <w:r>
        <w:rPr>
          <w:rFonts w:ascii="Calibri" w:hAnsi="Calibri" w:eastAsia="Calibri" w:cs="Calibri"/>
          <w:sz w:val="24"/>
          <w:szCs w:val="24"/>
          <w:rtl w:val="0"/>
        </w:rPr>
        <w:t>已方公司简称 deberá otorgar a GHUB el correspondiente poder de representación con carácter previo a cualquier actuación ante las autoridades aduaneras. Sin dicho poder, GHUB podrá suspender el servicio sin responsabilidad alguna.</w:t>
      </w:r>
    </w:p>
    <w:p w14:paraId="0000000F">
      <w:pPr>
        <w:pStyle w:val="4"/>
        <w:keepNext w:val="0"/>
        <w:keepLines w:val="0"/>
        <w:spacing w:before="280" w:line="240" w:lineRule="auto"/>
        <w:jc w:val="both"/>
        <w:rPr>
          <w:rFonts w:ascii="Calibri" w:hAnsi="Calibri" w:eastAsia="Calibri" w:cs="Calibri"/>
          <w:b/>
          <w:bCs/>
          <w:color w:val="000000"/>
          <w:sz w:val="24"/>
          <w:szCs w:val="24"/>
        </w:rPr>
      </w:pPr>
      <w:bookmarkStart w:id="5" w:name="_heading=h.z9e76rlqgx35" w:colFirst="0" w:colLast="0"/>
      <w:bookmarkEnd w:id="5"/>
      <w:r>
        <w:rPr>
          <w:rFonts w:ascii="Calibri" w:hAnsi="Calibri" w:eastAsia="Calibri" w:cs="Calibri"/>
          <w:b/>
          <w:bCs/>
          <w:color w:val="000000"/>
          <w:sz w:val="24"/>
          <w:szCs w:val="24"/>
          <w:rtl w:val="0"/>
        </w:rPr>
        <w:t>4. Obligaciones documentales e informativas de 已方公司简称</w:t>
      </w:r>
    </w:p>
    <w:p w14:paraId="00000010">
      <w:pPr>
        <w:spacing w:before="240" w:after="240" w:line="240" w:lineRule="auto"/>
        <w:jc w:val="both"/>
        <w:rPr>
          <w:rFonts w:ascii="Calibri" w:hAnsi="Calibri" w:eastAsia="Calibri" w:cs="Calibri"/>
          <w:sz w:val="24"/>
          <w:szCs w:val="24"/>
        </w:rPr>
      </w:pPr>
      <w:r>
        <w:rPr>
          <w:rFonts w:ascii="Calibri" w:hAnsi="Calibri" w:eastAsia="Calibri" w:cs="Calibri"/>
          <w:sz w:val="24"/>
          <w:szCs w:val="24"/>
          <w:rtl w:val="0"/>
        </w:rPr>
        <w:t>4.1. 已方公司简称 se obliga a facilitar a GHUB, con carácter previo y en tiempo útil:</w:t>
      </w:r>
    </w:p>
    <w:p w14:paraId="00000011">
      <w:pPr>
        <w:numPr>
          <w:ilvl w:val="0"/>
          <w:numId w:val="1"/>
        </w:numPr>
        <w:spacing w:before="240" w:after="0" w:line="240" w:lineRule="auto"/>
        <w:ind w:left="720" w:hanging="360"/>
        <w:jc w:val="left"/>
        <w:rPr>
          <w:rFonts w:ascii="Calibri" w:hAnsi="Calibri" w:eastAsia="Calibri" w:cs="Calibri"/>
          <w:sz w:val="24"/>
          <w:szCs w:val="24"/>
        </w:rPr>
      </w:pPr>
      <w:r>
        <w:rPr>
          <w:rFonts w:ascii="Calibri" w:hAnsi="Calibri" w:eastAsia="Calibri" w:cs="Calibri"/>
          <w:sz w:val="24"/>
          <w:szCs w:val="24"/>
          <w:rtl w:val="0"/>
        </w:rPr>
        <w:t>Factura comercial</w:t>
      </w:r>
      <w:r>
        <w:rPr>
          <w:rFonts w:ascii="Calibri" w:hAnsi="Calibri" w:eastAsia="Calibri" w:cs="Calibri"/>
          <w:sz w:val="24"/>
          <w:szCs w:val="24"/>
          <w:rtl w:val="0"/>
        </w:rPr>
        <w:br w:type="textWrapping"/>
      </w:r>
    </w:p>
    <w:p w14:paraId="00000012">
      <w:pPr>
        <w:numPr>
          <w:ilvl w:val="0"/>
          <w:numId w:val="1"/>
        </w:numPr>
        <w:spacing w:before="0" w:after="0" w:line="240" w:lineRule="auto"/>
        <w:ind w:left="720" w:hanging="360"/>
        <w:jc w:val="left"/>
        <w:rPr>
          <w:rFonts w:ascii="Calibri" w:hAnsi="Calibri" w:eastAsia="Calibri" w:cs="Calibri"/>
          <w:sz w:val="24"/>
          <w:szCs w:val="24"/>
        </w:rPr>
      </w:pPr>
      <w:r>
        <w:rPr>
          <w:rFonts w:ascii="Calibri" w:hAnsi="Calibri" w:eastAsia="Calibri" w:cs="Calibri"/>
          <w:sz w:val="24"/>
          <w:szCs w:val="24"/>
          <w:rtl w:val="0"/>
        </w:rPr>
        <w:t>Documento de transporte</w:t>
      </w:r>
      <w:r>
        <w:rPr>
          <w:rFonts w:ascii="Calibri" w:hAnsi="Calibri" w:eastAsia="Calibri" w:cs="Calibri"/>
          <w:sz w:val="24"/>
          <w:szCs w:val="24"/>
          <w:rtl w:val="0"/>
        </w:rPr>
        <w:br w:type="textWrapping"/>
      </w:r>
    </w:p>
    <w:p w14:paraId="00000013">
      <w:pPr>
        <w:numPr>
          <w:ilvl w:val="0"/>
          <w:numId w:val="1"/>
        </w:numPr>
        <w:spacing w:before="0" w:after="0" w:line="240" w:lineRule="auto"/>
        <w:ind w:left="720" w:hanging="360"/>
        <w:jc w:val="left"/>
        <w:rPr>
          <w:rFonts w:ascii="Calibri" w:hAnsi="Calibri" w:eastAsia="Calibri" w:cs="Calibri"/>
          <w:sz w:val="24"/>
          <w:szCs w:val="24"/>
        </w:rPr>
      </w:pPr>
      <w:r>
        <w:rPr>
          <w:rFonts w:ascii="Calibri" w:hAnsi="Calibri" w:eastAsia="Calibri" w:cs="Calibri"/>
          <w:sz w:val="24"/>
          <w:szCs w:val="24"/>
          <w:rtl w:val="0"/>
        </w:rPr>
        <w:t>Packing list</w:t>
      </w:r>
      <w:r>
        <w:rPr>
          <w:rFonts w:ascii="Calibri" w:hAnsi="Calibri" w:eastAsia="Calibri" w:cs="Calibri"/>
          <w:sz w:val="24"/>
          <w:szCs w:val="24"/>
          <w:rtl w:val="0"/>
        </w:rPr>
        <w:br w:type="textWrapping"/>
      </w:r>
    </w:p>
    <w:p w14:paraId="00000014">
      <w:pPr>
        <w:numPr>
          <w:ilvl w:val="0"/>
          <w:numId w:val="1"/>
        </w:numPr>
        <w:spacing w:before="0" w:after="0" w:line="240" w:lineRule="auto"/>
        <w:ind w:left="720" w:hanging="360"/>
        <w:jc w:val="left"/>
        <w:rPr>
          <w:rFonts w:ascii="Calibri" w:hAnsi="Calibri" w:eastAsia="Calibri" w:cs="Calibri"/>
          <w:sz w:val="24"/>
          <w:szCs w:val="24"/>
        </w:rPr>
      </w:pPr>
      <w:r>
        <w:rPr>
          <w:rFonts w:ascii="Calibri" w:hAnsi="Calibri" w:eastAsia="Calibri" w:cs="Calibri"/>
          <w:sz w:val="24"/>
          <w:szCs w:val="24"/>
          <w:rtl w:val="0"/>
        </w:rPr>
        <w:t>Justificantes de pago</w:t>
      </w:r>
      <w:r>
        <w:rPr>
          <w:rFonts w:ascii="Calibri" w:hAnsi="Calibri" w:eastAsia="Calibri" w:cs="Calibri"/>
          <w:sz w:val="24"/>
          <w:szCs w:val="24"/>
          <w:rtl w:val="0"/>
        </w:rPr>
        <w:br w:type="textWrapping"/>
      </w:r>
    </w:p>
    <w:p w14:paraId="00000015">
      <w:pPr>
        <w:numPr>
          <w:ilvl w:val="0"/>
          <w:numId w:val="1"/>
        </w:numPr>
        <w:spacing w:before="0" w:after="0" w:line="240" w:lineRule="auto"/>
        <w:ind w:left="720" w:hanging="360"/>
        <w:jc w:val="left"/>
        <w:rPr>
          <w:rFonts w:ascii="Calibri" w:hAnsi="Calibri" w:eastAsia="Calibri" w:cs="Calibri"/>
          <w:sz w:val="24"/>
          <w:szCs w:val="24"/>
        </w:rPr>
      </w:pPr>
      <w:r>
        <w:rPr>
          <w:rFonts w:ascii="Calibri" w:hAnsi="Calibri" w:eastAsia="Calibri" w:cs="Calibri"/>
          <w:sz w:val="24"/>
          <w:szCs w:val="24"/>
          <w:rtl w:val="0"/>
        </w:rPr>
        <w:t>Fichas técnicas, catálogos o descripciones del producto</w:t>
      </w:r>
      <w:r>
        <w:rPr>
          <w:rFonts w:ascii="Calibri" w:hAnsi="Calibri" w:eastAsia="Calibri" w:cs="Calibri"/>
          <w:sz w:val="24"/>
          <w:szCs w:val="24"/>
          <w:rtl w:val="0"/>
        </w:rPr>
        <w:br w:type="textWrapping"/>
      </w:r>
    </w:p>
    <w:p w14:paraId="00000016">
      <w:pPr>
        <w:numPr>
          <w:ilvl w:val="0"/>
          <w:numId w:val="1"/>
        </w:numPr>
        <w:spacing w:before="0" w:after="240" w:line="240" w:lineRule="auto"/>
        <w:ind w:left="720" w:hanging="360"/>
        <w:jc w:val="left"/>
        <w:rPr>
          <w:rFonts w:ascii="Calibri" w:hAnsi="Calibri" w:eastAsia="Calibri" w:cs="Calibri"/>
          <w:sz w:val="24"/>
          <w:szCs w:val="24"/>
        </w:rPr>
      </w:pPr>
      <w:r>
        <w:rPr>
          <w:rFonts w:ascii="Calibri" w:hAnsi="Calibri" w:eastAsia="Calibri" w:cs="Calibri"/>
          <w:sz w:val="24"/>
          <w:szCs w:val="24"/>
          <w:rtl w:val="0"/>
        </w:rPr>
        <w:t>Cualquier otro documento exigido por la normativa aplicable</w:t>
      </w:r>
    </w:p>
    <w:p w14:paraId="00000017">
      <w:pPr>
        <w:spacing w:before="240" w:after="240" w:line="240" w:lineRule="auto"/>
        <w:jc w:val="both"/>
        <w:rPr>
          <w:rFonts w:ascii="Calibri" w:hAnsi="Calibri" w:eastAsia="Calibri" w:cs="Calibri"/>
          <w:sz w:val="24"/>
          <w:szCs w:val="24"/>
        </w:rPr>
      </w:pPr>
      <w:r>
        <w:rPr>
          <w:rFonts w:ascii="Calibri" w:hAnsi="Calibri" w:eastAsia="Calibri" w:cs="Calibri"/>
          <w:sz w:val="24"/>
          <w:szCs w:val="24"/>
          <w:rtl w:val="0"/>
        </w:rPr>
        <w:t xml:space="preserve">4.2. 已方公司简称 </w:t>
      </w:r>
      <w:r>
        <w:rPr>
          <w:rFonts w:ascii="Calibri" w:hAnsi="Calibri" w:eastAsia="Calibri" w:cs="Calibri"/>
          <w:b/>
          <w:bCs/>
          <w:sz w:val="24"/>
          <w:szCs w:val="24"/>
          <w:rtl w:val="0"/>
        </w:rPr>
        <w:t>garantiza la exactitud, integridad, autenticidad y validez</w:t>
      </w:r>
      <w:r>
        <w:rPr>
          <w:rFonts w:ascii="Calibri" w:hAnsi="Calibri" w:eastAsia="Calibri" w:cs="Calibri"/>
          <w:sz w:val="24"/>
          <w:szCs w:val="24"/>
          <w:rtl w:val="0"/>
        </w:rPr>
        <w:t xml:space="preserve"> de toda la información y documentación suministrada.</w:t>
      </w:r>
    </w:p>
    <w:p w14:paraId="00000018">
      <w:pPr>
        <w:spacing w:before="240" w:after="240" w:line="240" w:lineRule="auto"/>
        <w:jc w:val="both"/>
        <w:rPr>
          <w:rFonts w:ascii="Calibri" w:hAnsi="Calibri" w:eastAsia="Calibri" w:cs="Calibri"/>
          <w:sz w:val="24"/>
          <w:szCs w:val="24"/>
        </w:rPr>
      </w:pPr>
      <w:r>
        <w:rPr>
          <w:rFonts w:ascii="Calibri" w:hAnsi="Calibri" w:eastAsia="Calibri" w:cs="Calibri"/>
          <w:sz w:val="24"/>
          <w:szCs w:val="24"/>
          <w:rtl w:val="0"/>
        </w:rPr>
        <w:t xml:space="preserve">4.3. 已方公司简称 será </w:t>
      </w:r>
      <w:r>
        <w:rPr>
          <w:rFonts w:ascii="Calibri" w:hAnsi="Calibri" w:eastAsia="Calibri" w:cs="Calibri"/>
          <w:b/>
          <w:bCs/>
          <w:sz w:val="24"/>
          <w:szCs w:val="24"/>
          <w:rtl w:val="0"/>
        </w:rPr>
        <w:t>única responsable</w:t>
      </w:r>
      <w:r>
        <w:rPr>
          <w:rFonts w:ascii="Calibri" w:hAnsi="Calibri" w:eastAsia="Calibri" w:cs="Calibri"/>
          <w:sz w:val="24"/>
          <w:szCs w:val="24"/>
          <w:rtl w:val="0"/>
        </w:rPr>
        <w:t xml:space="preserve"> de las consecuencias administrativas, tributarias, sancionadoras o penales derivadas de información inexacta, incompleta o falsa y se obliga a resarcir íntegramente a GHUB de cualquier coste o perjuicio que dichas consecuencias le ocasionen.</w:t>
      </w:r>
    </w:p>
    <w:p w14:paraId="00000019">
      <w:pPr>
        <w:pStyle w:val="4"/>
        <w:keepNext w:val="0"/>
        <w:keepLines w:val="0"/>
        <w:spacing w:before="280" w:line="240" w:lineRule="auto"/>
        <w:jc w:val="both"/>
        <w:rPr>
          <w:rFonts w:ascii="Calibri" w:hAnsi="Calibri" w:eastAsia="Calibri" w:cs="Calibri"/>
          <w:b/>
          <w:bCs/>
          <w:color w:val="000000"/>
          <w:sz w:val="24"/>
          <w:szCs w:val="24"/>
        </w:rPr>
      </w:pPr>
      <w:bookmarkStart w:id="6" w:name="_heading=h.pg3z29of6qsz" w:colFirst="0" w:colLast="0"/>
      <w:bookmarkEnd w:id="6"/>
      <w:r>
        <w:rPr>
          <w:rFonts w:ascii="Calibri" w:hAnsi="Calibri" w:eastAsia="Calibri" w:cs="Calibri"/>
          <w:b/>
          <w:bCs/>
          <w:color w:val="000000"/>
          <w:sz w:val="24"/>
          <w:szCs w:val="24"/>
          <w:rtl w:val="0"/>
        </w:rPr>
        <w:t>5. Clasificación arancelaria, valor y origen</w:t>
      </w:r>
    </w:p>
    <w:p w14:paraId="0000001A">
      <w:pPr>
        <w:spacing w:before="240" w:after="240" w:line="240" w:lineRule="auto"/>
        <w:jc w:val="left"/>
        <w:rPr>
          <w:rFonts w:ascii="Calibri" w:hAnsi="Calibri" w:eastAsia="Calibri" w:cs="Calibri"/>
          <w:sz w:val="24"/>
          <w:szCs w:val="24"/>
        </w:rPr>
      </w:pPr>
      <w:r>
        <w:rPr>
          <w:rFonts w:ascii="Calibri" w:hAnsi="Calibri" w:eastAsia="Calibri" w:cs="Calibri"/>
          <w:sz w:val="24"/>
          <w:szCs w:val="24"/>
          <w:rtl w:val="0"/>
        </w:rPr>
        <w:t xml:space="preserve">5.1. 已方公司简称 facilitará la </w:t>
      </w:r>
      <w:r>
        <w:rPr>
          <w:rFonts w:ascii="Calibri" w:hAnsi="Calibri" w:eastAsia="Calibri" w:cs="Calibri"/>
          <w:b/>
          <w:bCs/>
          <w:sz w:val="24"/>
          <w:szCs w:val="24"/>
          <w:rtl w:val="0"/>
        </w:rPr>
        <w:t>clasificación arancelaria (TARIC a 10 dígitos)</w:t>
      </w:r>
      <w:r>
        <w:rPr>
          <w:rFonts w:ascii="Calibri" w:hAnsi="Calibri" w:eastAsia="Calibri" w:cs="Calibri"/>
          <w:sz w:val="24"/>
          <w:szCs w:val="24"/>
          <w:rtl w:val="0"/>
        </w:rPr>
        <w:t>, el valor en aduana y el origen de las mercancías.</w:t>
      </w:r>
      <w:r>
        <w:rPr>
          <w:rFonts w:ascii="Calibri" w:hAnsi="Calibri" w:eastAsia="Calibri" w:cs="Calibri"/>
          <w:sz w:val="24"/>
          <w:szCs w:val="24"/>
          <w:rtl w:val="0"/>
        </w:rPr>
        <w:br w:type="textWrapping"/>
      </w:r>
      <w:r>
        <w:rPr>
          <w:rFonts w:ascii="Calibri" w:hAnsi="Calibri" w:eastAsia="Calibri" w:cs="Calibri"/>
          <w:sz w:val="24"/>
          <w:szCs w:val="24"/>
          <w:rtl w:val="0"/>
        </w:rPr>
        <w:t>5.2. GHUB no asume obligación de verificación técnica exhaustiva de dichos elementos, sin perjuicio de poder advertir a 已方公司简称 de posibles incoherencias.</w:t>
      </w:r>
      <w:r>
        <w:rPr>
          <w:rFonts w:ascii="Calibri" w:hAnsi="Calibri" w:eastAsia="Calibri" w:cs="Calibri"/>
          <w:sz w:val="24"/>
          <w:szCs w:val="24"/>
          <w:rtl w:val="0"/>
        </w:rPr>
        <w:br w:type="textWrapping"/>
      </w:r>
      <w:r>
        <w:rPr>
          <w:rFonts w:ascii="Calibri" w:hAnsi="Calibri" w:eastAsia="Calibri" w:cs="Calibri"/>
          <w:sz w:val="24"/>
          <w:szCs w:val="24"/>
          <w:rtl w:val="0"/>
        </w:rPr>
        <w:t xml:space="preserve">5.3. La decisión final corresponderá siempre a 已方公司简称, quien </w:t>
      </w:r>
      <w:r>
        <w:rPr>
          <w:rFonts w:ascii="Calibri" w:hAnsi="Calibri" w:eastAsia="Calibri" w:cs="Calibri"/>
          <w:b/>
          <w:bCs/>
          <w:sz w:val="24"/>
          <w:szCs w:val="24"/>
          <w:rtl w:val="0"/>
        </w:rPr>
        <w:t>asumirá íntegramente cualquier regularización, liquidación complementaria, sanción, recargo, interés o coste derivado</w:t>
      </w:r>
      <w:r>
        <w:rPr>
          <w:rFonts w:ascii="Calibri" w:hAnsi="Calibri" w:eastAsia="Calibri" w:cs="Calibri"/>
          <w:sz w:val="24"/>
          <w:szCs w:val="24"/>
          <w:rtl w:val="0"/>
        </w:rPr>
        <w:t xml:space="preserve"> de reclasificaciones, ajustes de valor u origen.</w:t>
      </w:r>
    </w:p>
    <w:p w14:paraId="0000001B">
      <w:pPr>
        <w:pStyle w:val="4"/>
        <w:keepNext w:val="0"/>
        <w:keepLines w:val="0"/>
        <w:spacing w:before="280" w:line="240" w:lineRule="auto"/>
        <w:jc w:val="both"/>
        <w:rPr>
          <w:rFonts w:ascii="Calibri" w:hAnsi="Calibri" w:eastAsia="Calibri" w:cs="Calibri"/>
          <w:b/>
          <w:bCs/>
          <w:color w:val="000000"/>
          <w:sz w:val="24"/>
          <w:szCs w:val="24"/>
        </w:rPr>
      </w:pPr>
      <w:bookmarkStart w:id="7" w:name="_heading=h.7enl9qtoloiu" w:colFirst="0" w:colLast="0"/>
      <w:bookmarkEnd w:id="7"/>
      <w:r>
        <w:rPr>
          <w:rFonts w:ascii="Calibri" w:hAnsi="Calibri" w:eastAsia="Calibri" w:cs="Calibri"/>
          <w:b/>
          <w:bCs/>
          <w:color w:val="000000"/>
          <w:sz w:val="24"/>
          <w:szCs w:val="24"/>
          <w:rtl w:val="0"/>
        </w:rPr>
        <w:t>6. Medidas no arancelarias y mercancía restringida</w:t>
      </w:r>
    </w:p>
    <w:p w14:paraId="0000001C">
      <w:pPr>
        <w:spacing w:before="240" w:after="240" w:line="240" w:lineRule="auto"/>
        <w:jc w:val="left"/>
        <w:rPr>
          <w:rFonts w:ascii="Calibri" w:hAnsi="Calibri" w:eastAsia="Calibri" w:cs="Calibri"/>
          <w:sz w:val="24"/>
          <w:szCs w:val="24"/>
        </w:rPr>
      </w:pPr>
      <w:r>
        <w:rPr>
          <w:rFonts w:ascii="Calibri" w:hAnsi="Calibri" w:eastAsia="Calibri" w:cs="Calibri"/>
          <w:sz w:val="24"/>
          <w:szCs w:val="24"/>
          <w:rtl w:val="0"/>
        </w:rPr>
        <w:t>已方公司简称 garantiza que las mercancías cumplen con toda la normativa aplicable (sanitaria, fitosanitaria, SOIVRE, CE, CITES, doble uso, etc.).</w:t>
      </w:r>
      <w:r>
        <w:rPr>
          <w:rFonts w:ascii="Calibri" w:hAnsi="Calibri" w:eastAsia="Calibri" w:cs="Calibri"/>
          <w:sz w:val="24"/>
          <w:szCs w:val="24"/>
          <w:rtl w:val="0"/>
        </w:rPr>
        <w:br w:type="textWrapping"/>
      </w:r>
      <w:r>
        <w:rPr>
          <w:rFonts w:ascii="Calibri" w:hAnsi="Calibri" w:eastAsia="Calibri" w:cs="Calibri"/>
          <w:sz w:val="24"/>
          <w:szCs w:val="24"/>
          <w:rtl w:val="0"/>
        </w:rPr>
        <w:t>GHUB podrá suspender o rechazar la tramitación de cualquier envío que no cumpla los requisitos legales.</w:t>
      </w:r>
    </w:p>
    <w:p w14:paraId="0000001D">
      <w:pPr>
        <w:pStyle w:val="4"/>
        <w:keepNext w:val="0"/>
        <w:keepLines w:val="0"/>
        <w:spacing w:before="280" w:line="240" w:lineRule="auto"/>
        <w:jc w:val="both"/>
        <w:rPr>
          <w:rFonts w:ascii="Calibri" w:hAnsi="Calibri" w:eastAsia="Calibri" w:cs="Calibri"/>
          <w:b/>
          <w:bCs/>
          <w:color w:val="000000"/>
          <w:sz w:val="24"/>
          <w:szCs w:val="24"/>
        </w:rPr>
      </w:pPr>
      <w:bookmarkStart w:id="8" w:name="_heading=h.cb052msnimzd" w:colFirst="0" w:colLast="0"/>
      <w:bookmarkEnd w:id="8"/>
      <w:r>
        <w:rPr>
          <w:rFonts w:ascii="Calibri" w:hAnsi="Calibri" w:eastAsia="Calibri" w:cs="Calibri"/>
          <w:b/>
          <w:bCs/>
          <w:color w:val="000000"/>
          <w:sz w:val="24"/>
          <w:szCs w:val="24"/>
          <w:rtl w:val="0"/>
        </w:rPr>
        <w:t>7. Propiedad intelectual</w:t>
      </w:r>
    </w:p>
    <w:p w14:paraId="0000001E">
      <w:pPr>
        <w:spacing w:before="240" w:after="240" w:line="240" w:lineRule="auto"/>
        <w:jc w:val="left"/>
        <w:rPr>
          <w:rFonts w:ascii="Calibri" w:hAnsi="Calibri" w:eastAsia="Calibri" w:cs="Calibri"/>
          <w:sz w:val="24"/>
          <w:szCs w:val="24"/>
        </w:rPr>
      </w:pPr>
      <w:r>
        <w:rPr>
          <w:rFonts w:ascii="Calibri" w:hAnsi="Calibri" w:eastAsia="Calibri" w:cs="Calibri"/>
          <w:sz w:val="24"/>
          <w:szCs w:val="24"/>
          <w:rtl w:val="0"/>
        </w:rPr>
        <w:t>7.1. 已方公司简称 declara ser titular o estar debidamente autorizado para comercializar los productos objeto de despacho.</w:t>
      </w:r>
      <w:r>
        <w:rPr>
          <w:rFonts w:ascii="Calibri" w:hAnsi="Calibri" w:eastAsia="Calibri" w:cs="Calibri"/>
          <w:sz w:val="24"/>
          <w:szCs w:val="24"/>
          <w:rtl w:val="0"/>
        </w:rPr>
        <w:br w:type="textWrapping"/>
      </w:r>
      <w:r>
        <w:rPr>
          <w:rFonts w:ascii="Calibri" w:hAnsi="Calibri" w:eastAsia="Calibri" w:cs="Calibri"/>
          <w:sz w:val="24"/>
          <w:szCs w:val="24"/>
          <w:rtl w:val="0"/>
        </w:rPr>
        <w:t>7.2. GHUB no aceptará mercancías susceptibles de vulnerar derechos de propiedad intelectual.</w:t>
      </w:r>
      <w:r>
        <w:rPr>
          <w:rFonts w:ascii="Calibri" w:hAnsi="Calibri" w:eastAsia="Calibri" w:cs="Calibri"/>
          <w:sz w:val="24"/>
          <w:szCs w:val="24"/>
          <w:rtl w:val="0"/>
        </w:rPr>
        <w:br w:type="textWrapping"/>
      </w:r>
      <w:r>
        <w:rPr>
          <w:rFonts w:ascii="Calibri" w:hAnsi="Calibri" w:eastAsia="Calibri" w:cs="Calibri"/>
          <w:sz w:val="24"/>
          <w:szCs w:val="24"/>
          <w:rtl w:val="0"/>
        </w:rPr>
        <w:t>7.3. 已方公司简称 asumirá toda responsabilidad por intervenciones aduaneras, retenciones, destrucciones o sanciones por infracción de derechos de propiedad intelectual, manteniendo indemne a GHUB.</w:t>
      </w:r>
    </w:p>
    <w:p w14:paraId="0000001F">
      <w:pPr>
        <w:pStyle w:val="4"/>
        <w:keepNext w:val="0"/>
        <w:keepLines w:val="0"/>
        <w:spacing w:before="280" w:line="240" w:lineRule="auto"/>
        <w:jc w:val="both"/>
        <w:rPr>
          <w:rFonts w:ascii="Calibri" w:hAnsi="Calibri" w:eastAsia="Calibri" w:cs="Calibri"/>
          <w:b/>
          <w:bCs/>
          <w:color w:val="000000"/>
          <w:sz w:val="24"/>
          <w:szCs w:val="24"/>
        </w:rPr>
      </w:pPr>
      <w:bookmarkStart w:id="9" w:name="_heading=h.4c5rb6dmchqj" w:colFirst="0" w:colLast="0"/>
      <w:bookmarkEnd w:id="9"/>
    </w:p>
    <w:p w14:paraId="00000020">
      <w:pPr>
        <w:pStyle w:val="4"/>
        <w:keepNext w:val="0"/>
        <w:keepLines w:val="0"/>
        <w:spacing w:before="280" w:line="240" w:lineRule="auto"/>
        <w:jc w:val="both"/>
        <w:rPr>
          <w:rFonts w:ascii="Calibri" w:hAnsi="Calibri" w:eastAsia="Calibri" w:cs="Calibri"/>
          <w:b/>
          <w:bCs/>
          <w:color w:val="000000"/>
          <w:sz w:val="24"/>
          <w:szCs w:val="24"/>
        </w:rPr>
      </w:pPr>
      <w:bookmarkStart w:id="10" w:name="_heading=h.69jtgxwwgal8" w:colFirst="0" w:colLast="0"/>
      <w:bookmarkEnd w:id="10"/>
      <w:r>
        <w:rPr>
          <w:rFonts w:ascii="Calibri" w:hAnsi="Calibri" w:eastAsia="Calibri" w:cs="Calibri"/>
          <w:b/>
          <w:bCs/>
          <w:color w:val="000000"/>
          <w:sz w:val="24"/>
          <w:szCs w:val="24"/>
          <w:rtl w:val="0"/>
        </w:rPr>
        <w:t>8. Facultades de GHUB ante incumplimientos</w:t>
      </w:r>
    </w:p>
    <w:p w14:paraId="00000021">
      <w:pPr>
        <w:spacing w:before="240" w:after="240" w:line="240" w:lineRule="auto"/>
        <w:jc w:val="both"/>
        <w:rPr>
          <w:rFonts w:ascii="Calibri" w:hAnsi="Calibri" w:eastAsia="Calibri" w:cs="Calibri"/>
          <w:sz w:val="24"/>
          <w:szCs w:val="24"/>
        </w:rPr>
      </w:pPr>
      <w:r>
        <w:rPr>
          <w:rFonts w:ascii="Calibri" w:hAnsi="Calibri" w:eastAsia="Calibri" w:cs="Calibri"/>
          <w:sz w:val="24"/>
          <w:szCs w:val="24"/>
          <w:rtl w:val="0"/>
        </w:rPr>
        <w:t>En caso de incumplimiento por parte de 已方公司简称, GHUB podrá:</w:t>
      </w:r>
    </w:p>
    <w:p w14:paraId="00000022">
      <w:pPr>
        <w:numPr>
          <w:ilvl w:val="0"/>
          <w:numId w:val="2"/>
        </w:numPr>
        <w:spacing w:before="240" w:after="0" w:line="240" w:lineRule="auto"/>
        <w:ind w:left="720" w:hanging="360"/>
        <w:jc w:val="left"/>
        <w:rPr>
          <w:rFonts w:ascii="Calibri" w:hAnsi="Calibri" w:eastAsia="Calibri" w:cs="Calibri"/>
          <w:sz w:val="24"/>
          <w:szCs w:val="24"/>
        </w:rPr>
      </w:pPr>
      <w:r>
        <w:rPr>
          <w:rFonts w:ascii="Calibri" w:hAnsi="Calibri" w:eastAsia="Calibri" w:cs="Calibri"/>
          <w:sz w:val="24"/>
          <w:szCs w:val="24"/>
          <w:rtl w:val="0"/>
        </w:rPr>
        <w:t>Rechazar la mercancía</w:t>
      </w:r>
      <w:r>
        <w:rPr>
          <w:rFonts w:ascii="Calibri" w:hAnsi="Calibri" w:eastAsia="Calibri" w:cs="Calibri"/>
          <w:sz w:val="24"/>
          <w:szCs w:val="24"/>
          <w:rtl w:val="0"/>
        </w:rPr>
        <w:br w:type="textWrapping"/>
      </w:r>
    </w:p>
    <w:p w14:paraId="00000023">
      <w:pPr>
        <w:numPr>
          <w:ilvl w:val="0"/>
          <w:numId w:val="2"/>
        </w:numPr>
        <w:spacing w:before="0" w:after="0" w:line="240" w:lineRule="auto"/>
        <w:ind w:left="720" w:hanging="360"/>
        <w:jc w:val="left"/>
        <w:rPr>
          <w:rFonts w:ascii="Calibri" w:hAnsi="Calibri" w:eastAsia="Calibri" w:cs="Calibri"/>
          <w:sz w:val="24"/>
          <w:szCs w:val="24"/>
        </w:rPr>
      </w:pPr>
      <w:r>
        <w:rPr>
          <w:rFonts w:ascii="Calibri" w:hAnsi="Calibri" w:eastAsia="Calibri" w:cs="Calibri"/>
          <w:sz w:val="24"/>
          <w:szCs w:val="24"/>
          <w:rtl w:val="0"/>
        </w:rPr>
        <w:t>No presentar la declaración</w:t>
      </w:r>
      <w:r>
        <w:rPr>
          <w:rFonts w:ascii="Calibri" w:hAnsi="Calibri" w:eastAsia="Calibri" w:cs="Calibri"/>
          <w:sz w:val="24"/>
          <w:szCs w:val="24"/>
          <w:rtl w:val="0"/>
        </w:rPr>
        <w:br w:type="textWrapping"/>
      </w:r>
    </w:p>
    <w:p w14:paraId="00000024">
      <w:pPr>
        <w:numPr>
          <w:ilvl w:val="0"/>
          <w:numId w:val="2"/>
        </w:numPr>
        <w:spacing w:before="0" w:after="0" w:line="240" w:lineRule="auto"/>
        <w:ind w:left="720" w:hanging="360"/>
        <w:jc w:val="left"/>
        <w:rPr>
          <w:rFonts w:ascii="Calibri" w:hAnsi="Calibri" w:eastAsia="Calibri" w:cs="Calibri"/>
          <w:sz w:val="24"/>
          <w:szCs w:val="24"/>
        </w:rPr>
      </w:pPr>
      <w:r>
        <w:rPr>
          <w:rFonts w:ascii="Calibri" w:hAnsi="Calibri" w:eastAsia="Calibri" w:cs="Calibri"/>
          <w:sz w:val="24"/>
          <w:szCs w:val="24"/>
          <w:rtl w:val="0"/>
        </w:rPr>
        <w:t>Solicitar la invalidación</w:t>
      </w:r>
      <w:r>
        <w:rPr>
          <w:rFonts w:ascii="Calibri" w:hAnsi="Calibri" w:eastAsia="Calibri" w:cs="Calibri"/>
          <w:sz w:val="24"/>
          <w:szCs w:val="24"/>
          <w:rtl w:val="0"/>
        </w:rPr>
        <w:br w:type="textWrapping"/>
      </w:r>
    </w:p>
    <w:p w14:paraId="00000025">
      <w:pPr>
        <w:numPr>
          <w:ilvl w:val="0"/>
          <w:numId w:val="2"/>
        </w:numPr>
        <w:spacing w:before="0" w:after="0" w:line="240" w:lineRule="auto"/>
        <w:ind w:left="720" w:hanging="360"/>
        <w:jc w:val="left"/>
        <w:rPr>
          <w:rFonts w:ascii="Calibri" w:hAnsi="Calibri" w:eastAsia="Calibri" w:cs="Calibri"/>
          <w:sz w:val="24"/>
          <w:szCs w:val="24"/>
        </w:rPr>
      </w:pPr>
      <w:r>
        <w:rPr>
          <w:rFonts w:ascii="Calibri" w:hAnsi="Calibri" w:eastAsia="Calibri" w:cs="Calibri"/>
          <w:sz w:val="24"/>
          <w:szCs w:val="24"/>
          <w:rtl w:val="0"/>
        </w:rPr>
        <w:t>Gestionar reexportación, destrucción o abandono</w:t>
      </w:r>
      <w:r>
        <w:rPr>
          <w:rFonts w:ascii="Calibri" w:hAnsi="Calibri" w:eastAsia="Calibri" w:cs="Calibri"/>
          <w:sz w:val="24"/>
          <w:szCs w:val="24"/>
          <w:rtl w:val="0"/>
        </w:rPr>
        <w:br w:type="textWrapping"/>
      </w:r>
    </w:p>
    <w:p w14:paraId="00000026">
      <w:pPr>
        <w:numPr>
          <w:ilvl w:val="0"/>
          <w:numId w:val="2"/>
        </w:numPr>
        <w:spacing w:before="0" w:after="0" w:line="240" w:lineRule="auto"/>
        <w:ind w:left="720" w:hanging="360"/>
        <w:jc w:val="left"/>
        <w:rPr>
          <w:rFonts w:ascii="Calibri" w:hAnsi="Calibri" w:eastAsia="Calibri" w:cs="Calibri"/>
          <w:sz w:val="24"/>
          <w:szCs w:val="24"/>
        </w:rPr>
      </w:pPr>
      <w:r>
        <w:rPr>
          <w:rFonts w:ascii="Calibri" w:hAnsi="Calibri" w:eastAsia="Calibri" w:cs="Calibri"/>
          <w:sz w:val="24"/>
          <w:szCs w:val="24"/>
          <w:rtl w:val="0"/>
        </w:rPr>
        <w:t>Suspender servicios</w:t>
      </w:r>
      <w:r>
        <w:rPr>
          <w:rFonts w:ascii="Calibri" w:hAnsi="Calibri" w:eastAsia="Calibri" w:cs="Calibri"/>
          <w:sz w:val="24"/>
          <w:szCs w:val="24"/>
          <w:rtl w:val="0"/>
        </w:rPr>
        <w:br w:type="textWrapping"/>
      </w:r>
    </w:p>
    <w:p w14:paraId="00000027">
      <w:pPr>
        <w:numPr>
          <w:ilvl w:val="0"/>
          <w:numId w:val="2"/>
        </w:numPr>
        <w:spacing w:before="0" w:after="240" w:line="240" w:lineRule="auto"/>
        <w:ind w:left="720" w:hanging="360"/>
        <w:jc w:val="left"/>
        <w:rPr>
          <w:rFonts w:ascii="Calibri" w:hAnsi="Calibri" w:eastAsia="Calibri" w:cs="Calibri"/>
          <w:sz w:val="24"/>
          <w:szCs w:val="24"/>
        </w:rPr>
      </w:pPr>
      <w:r>
        <w:rPr>
          <w:rFonts w:ascii="Calibri" w:hAnsi="Calibri" w:eastAsia="Calibri" w:cs="Calibri"/>
          <w:sz w:val="24"/>
          <w:szCs w:val="24"/>
          <w:rtl w:val="0"/>
        </w:rPr>
        <w:t>Resolver el contrato de forma inmediata</w:t>
      </w:r>
    </w:p>
    <w:p w14:paraId="00000028">
      <w:pPr>
        <w:pStyle w:val="4"/>
        <w:keepNext w:val="0"/>
        <w:keepLines w:val="0"/>
        <w:spacing w:before="280" w:line="240" w:lineRule="auto"/>
        <w:jc w:val="both"/>
        <w:rPr>
          <w:rFonts w:ascii="Calibri" w:hAnsi="Calibri" w:eastAsia="Calibri" w:cs="Calibri"/>
          <w:b/>
          <w:bCs/>
          <w:color w:val="000000"/>
          <w:sz w:val="24"/>
          <w:szCs w:val="24"/>
        </w:rPr>
      </w:pPr>
      <w:bookmarkStart w:id="11" w:name="_heading=h.5x1mcm305261" w:colFirst="0" w:colLast="0"/>
      <w:bookmarkEnd w:id="11"/>
      <w:r>
        <w:rPr>
          <w:rFonts w:ascii="Calibri" w:hAnsi="Calibri" w:eastAsia="Calibri" w:cs="Calibri"/>
          <w:b/>
          <w:bCs/>
          <w:color w:val="000000"/>
          <w:sz w:val="24"/>
          <w:szCs w:val="24"/>
          <w:rtl w:val="0"/>
        </w:rPr>
        <w:t>9. Gastos, sanciones y responsabilidad económica</w:t>
      </w:r>
    </w:p>
    <w:p w14:paraId="00000029">
      <w:pPr>
        <w:spacing w:before="240" w:after="240" w:line="240" w:lineRule="auto"/>
        <w:jc w:val="both"/>
        <w:rPr>
          <w:rFonts w:ascii="Calibri" w:hAnsi="Calibri" w:eastAsia="Calibri" w:cs="Calibri"/>
          <w:sz w:val="24"/>
          <w:szCs w:val="24"/>
        </w:rPr>
      </w:pPr>
      <w:r>
        <w:rPr>
          <w:rFonts w:ascii="Calibri" w:hAnsi="Calibri" w:eastAsia="Calibri" w:cs="Calibri"/>
          <w:sz w:val="24"/>
          <w:szCs w:val="24"/>
          <w:rtl w:val="0"/>
        </w:rPr>
        <w:t>已方公司简称 asumirá íntegramente:</w:t>
      </w:r>
    </w:p>
    <w:p w14:paraId="0000002A">
      <w:pPr>
        <w:numPr>
          <w:ilvl w:val="0"/>
          <w:numId w:val="3"/>
        </w:numPr>
        <w:spacing w:before="240" w:after="0" w:line="240" w:lineRule="auto"/>
        <w:ind w:left="720" w:hanging="360"/>
        <w:jc w:val="left"/>
        <w:rPr>
          <w:rFonts w:ascii="Calibri" w:hAnsi="Calibri" w:eastAsia="Calibri" w:cs="Calibri"/>
          <w:sz w:val="24"/>
          <w:szCs w:val="24"/>
        </w:rPr>
      </w:pPr>
      <w:r>
        <w:rPr>
          <w:rFonts w:ascii="Calibri" w:hAnsi="Calibri" w:eastAsia="Calibri" w:cs="Calibri"/>
          <w:sz w:val="24"/>
          <w:szCs w:val="24"/>
          <w:rtl w:val="0"/>
        </w:rPr>
        <w:t>Derechos arancelarios</w:t>
      </w:r>
      <w:r>
        <w:rPr>
          <w:rFonts w:ascii="Calibri" w:hAnsi="Calibri" w:eastAsia="Calibri" w:cs="Calibri"/>
          <w:sz w:val="24"/>
          <w:szCs w:val="24"/>
          <w:rtl w:val="0"/>
        </w:rPr>
        <w:br w:type="textWrapping"/>
      </w:r>
    </w:p>
    <w:p w14:paraId="0000002B">
      <w:pPr>
        <w:numPr>
          <w:ilvl w:val="0"/>
          <w:numId w:val="3"/>
        </w:numPr>
        <w:spacing w:before="0" w:after="0" w:line="240" w:lineRule="auto"/>
        <w:ind w:left="720" w:hanging="360"/>
        <w:jc w:val="left"/>
        <w:rPr>
          <w:rFonts w:ascii="Calibri" w:hAnsi="Calibri" w:eastAsia="Calibri" w:cs="Calibri"/>
          <w:sz w:val="24"/>
          <w:szCs w:val="24"/>
        </w:rPr>
      </w:pPr>
      <w:r>
        <w:rPr>
          <w:rFonts w:ascii="Calibri" w:hAnsi="Calibri" w:eastAsia="Calibri" w:cs="Calibri"/>
          <w:sz w:val="24"/>
          <w:szCs w:val="24"/>
          <w:rtl w:val="0"/>
        </w:rPr>
        <w:t>IVA a la importación</w:t>
      </w:r>
      <w:r>
        <w:rPr>
          <w:rFonts w:ascii="Calibri" w:hAnsi="Calibri" w:eastAsia="Calibri" w:cs="Calibri"/>
          <w:sz w:val="24"/>
          <w:szCs w:val="24"/>
          <w:rtl w:val="0"/>
        </w:rPr>
        <w:br w:type="textWrapping"/>
      </w:r>
    </w:p>
    <w:p w14:paraId="0000002C">
      <w:pPr>
        <w:numPr>
          <w:ilvl w:val="0"/>
          <w:numId w:val="3"/>
        </w:numPr>
        <w:spacing w:before="0" w:after="0" w:line="240" w:lineRule="auto"/>
        <w:ind w:left="720" w:hanging="360"/>
        <w:jc w:val="left"/>
        <w:rPr>
          <w:rFonts w:ascii="Calibri" w:hAnsi="Calibri" w:eastAsia="Calibri" w:cs="Calibri"/>
          <w:sz w:val="24"/>
          <w:szCs w:val="24"/>
        </w:rPr>
      </w:pPr>
      <w:r>
        <w:rPr>
          <w:rFonts w:ascii="Calibri" w:hAnsi="Calibri" w:eastAsia="Calibri" w:cs="Calibri"/>
          <w:sz w:val="24"/>
          <w:szCs w:val="24"/>
          <w:rtl w:val="0"/>
        </w:rPr>
        <w:t>Impuestos Especiales</w:t>
      </w:r>
      <w:r>
        <w:rPr>
          <w:rFonts w:ascii="Calibri" w:hAnsi="Calibri" w:eastAsia="Calibri" w:cs="Calibri"/>
          <w:sz w:val="24"/>
          <w:szCs w:val="24"/>
          <w:rtl w:val="0"/>
        </w:rPr>
        <w:br w:type="textWrapping"/>
      </w:r>
    </w:p>
    <w:p w14:paraId="0000002D">
      <w:pPr>
        <w:numPr>
          <w:ilvl w:val="0"/>
          <w:numId w:val="3"/>
        </w:numPr>
        <w:spacing w:before="0" w:after="0" w:line="240" w:lineRule="auto"/>
        <w:ind w:left="720" w:hanging="360"/>
        <w:jc w:val="left"/>
        <w:rPr>
          <w:rFonts w:ascii="Calibri" w:hAnsi="Calibri" w:eastAsia="Calibri" w:cs="Calibri"/>
          <w:sz w:val="24"/>
          <w:szCs w:val="24"/>
        </w:rPr>
      </w:pPr>
      <w:r>
        <w:rPr>
          <w:rFonts w:ascii="Calibri" w:hAnsi="Calibri" w:eastAsia="Calibri" w:cs="Calibri"/>
          <w:sz w:val="24"/>
          <w:szCs w:val="24"/>
          <w:rtl w:val="0"/>
        </w:rPr>
        <w:t>Recargos, intereses</w:t>
      </w:r>
      <w:r>
        <w:rPr>
          <w:rFonts w:ascii="Calibri" w:hAnsi="Calibri" w:eastAsia="Calibri" w:cs="Calibri"/>
          <w:sz w:val="24"/>
          <w:szCs w:val="24"/>
          <w:rtl w:val="0"/>
        </w:rPr>
        <w:br w:type="textWrapping"/>
      </w:r>
    </w:p>
    <w:p w14:paraId="0000002E">
      <w:pPr>
        <w:numPr>
          <w:ilvl w:val="0"/>
          <w:numId w:val="3"/>
        </w:numPr>
        <w:spacing w:before="0" w:after="0" w:line="240" w:lineRule="auto"/>
        <w:ind w:left="720" w:hanging="360"/>
        <w:jc w:val="left"/>
        <w:rPr>
          <w:rFonts w:ascii="Calibri" w:hAnsi="Calibri" w:eastAsia="Calibri" w:cs="Calibri"/>
          <w:sz w:val="24"/>
          <w:szCs w:val="24"/>
        </w:rPr>
      </w:pPr>
      <w:r>
        <w:rPr>
          <w:rFonts w:ascii="Calibri" w:hAnsi="Calibri" w:eastAsia="Calibri" w:cs="Calibri"/>
          <w:sz w:val="24"/>
          <w:szCs w:val="24"/>
          <w:rtl w:val="0"/>
        </w:rPr>
        <w:t>Gastos de almacenaje, inspección, demoras</w:t>
      </w:r>
      <w:r>
        <w:rPr>
          <w:rFonts w:ascii="Calibri" w:hAnsi="Calibri" w:eastAsia="Calibri" w:cs="Calibri"/>
          <w:sz w:val="24"/>
          <w:szCs w:val="24"/>
          <w:rtl w:val="0"/>
        </w:rPr>
        <w:br w:type="textWrapping"/>
      </w:r>
    </w:p>
    <w:p w14:paraId="0000002F">
      <w:pPr>
        <w:numPr>
          <w:ilvl w:val="0"/>
          <w:numId w:val="3"/>
        </w:numPr>
        <w:spacing w:before="0" w:after="240" w:line="240" w:lineRule="auto"/>
        <w:ind w:left="720" w:hanging="360"/>
        <w:jc w:val="left"/>
        <w:rPr>
          <w:rFonts w:ascii="Calibri" w:hAnsi="Calibri" w:eastAsia="Calibri" w:cs="Calibri"/>
          <w:sz w:val="24"/>
          <w:szCs w:val="24"/>
        </w:rPr>
      </w:pPr>
      <w:r>
        <w:rPr>
          <w:rFonts w:ascii="Calibri" w:hAnsi="Calibri" w:eastAsia="Calibri" w:cs="Calibri"/>
          <w:sz w:val="24"/>
          <w:szCs w:val="24"/>
          <w:rtl w:val="0"/>
        </w:rPr>
        <w:t>Honorarios legales y costes administrativos</w:t>
      </w:r>
    </w:p>
    <w:p w14:paraId="00000030">
      <w:pPr>
        <w:pStyle w:val="4"/>
        <w:keepNext w:val="0"/>
        <w:keepLines w:val="0"/>
        <w:spacing w:before="280" w:line="240" w:lineRule="auto"/>
        <w:jc w:val="both"/>
        <w:rPr>
          <w:rFonts w:ascii="Calibri" w:hAnsi="Calibri" w:eastAsia="Calibri" w:cs="Calibri"/>
          <w:b/>
          <w:bCs/>
          <w:color w:val="000000"/>
          <w:sz w:val="24"/>
          <w:szCs w:val="24"/>
        </w:rPr>
      </w:pPr>
      <w:bookmarkStart w:id="12" w:name="_heading=h.zguo4t7tvlpy" w:colFirst="0" w:colLast="0"/>
      <w:bookmarkEnd w:id="12"/>
      <w:r>
        <w:rPr>
          <w:rFonts w:ascii="Calibri" w:hAnsi="Calibri" w:eastAsia="Calibri" w:cs="Calibri"/>
          <w:b/>
          <w:bCs/>
          <w:color w:val="000000"/>
          <w:sz w:val="24"/>
          <w:szCs w:val="24"/>
          <w:rtl w:val="0"/>
        </w:rPr>
        <w:t>10. Cláusula de indemnidad</w:t>
      </w:r>
    </w:p>
    <w:p w14:paraId="00000031">
      <w:pPr>
        <w:spacing w:before="240" w:after="240" w:line="240" w:lineRule="auto"/>
        <w:jc w:val="both"/>
        <w:rPr>
          <w:rFonts w:ascii="Calibri" w:hAnsi="Calibri" w:eastAsia="Calibri" w:cs="Calibri"/>
          <w:sz w:val="24"/>
          <w:szCs w:val="24"/>
        </w:rPr>
      </w:pPr>
      <w:r>
        <w:rPr>
          <w:rFonts w:ascii="Calibri" w:hAnsi="Calibri" w:eastAsia="Calibri" w:cs="Calibri"/>
          <w:sz w:val="24"/>
          <w:szCs w:val="24"/>
          <w:rtl w:val="0"/>
        </w:rPr>
        <w:t xml:space="preserve">已方公司简称 se obliga a </w:t>
      </w:r>
      <w:r>
        <w:rPr>
          <w:rFonts w:ascii="Calibri" w:hAnsi="Calibri" w:eastAsia="Calibri" w:cs="Calibri"/>
          <w:b/>
          <w:bCs/>
          <w:sz w:val="24"/>
          <w:szCs w:val="24"/>
          <w:rtl w:val="0"/>
        </w:rPr>
        <w:t>indemnizar y mantener indemne a GHUB</w:t>
      </w:r>
      <w:r>
        <w:rPr>
          <w:rFonts w:ascii="Calibri" w:hAnsi="Calibri" w:eastAsia="Calibri" w:cs="Calibri"/>
          <w:sz w:val="24"/>
          <w:szCs w:val="24"/>
          <w:rtl w:val="0"/>
        </w:rPr>
        <w:t xml:space="preserve"> frente a cualquier sanción, liquidación, reclamación, daño, coste o perjuicio derivado directa o indirectamente de:</w:t>
      </w:r>
    </w:p>
    <w:p w14:paraId="00000032">
      <w:pPr>
        <w:numPr>
          <w:ilvl w:val="0"/>
          <w:numId w:val="4"/>
        </w:numPr>
        <w:spacing w:before="240" w:after="0" w:line="240" w:lineRule="auto"/>
        <w:ind w:left="720" w:hanging="360"/>
        <w:jc w:val="left"/>
        <w:rPr>
          <w:rFonts w:ascii="Calibri" w:hAnsi="Calibri" w:eastAsia="Calibri" w:cs="Calibri"/>
          <w:sz w:val="24"/>
          <w:szCs w:val="24"/>
        </w:rPr>
      </w:pPr>
      <w:r>
        <w:rPr>
          <w:rFonts w:ascii="Calibri" w:hAnsi="Calibri" w:eastAsia="Calibri" w:cs="Calibri"/>
          <w:sz w:val="24"/>
          <w:szCs w:val="24"/>
          <w:rtl w:val="0"/>
        </w:rPr>
        <w:t>Información incorrecta</w:t>
      </w:r>
      <w:r>
        <w:rPr>
          <w:rFonts w:ascii="Calibri" w:hAnsi="Calibri" w:eastAsia="Calibri" w:cs="Calibri"/>
          <w:sz w:val="24"/>
          <w:szCs w:val="24"/>
          <w:rtl w:val="0"/>
        </w:rPr>
        <w:br w:type="textWrapping"/>
      </w:r>
    </w:p>
    <w:p w14:paraId="00000033">
      <w:pPr>
        <w:numPr>
          <w:ilvl w:val="0"/>
          <w:numId w:val="4"/>
        </w:numPr>
        <w:spacing w:before="0" w:after="0" w:line="240" w:lineRule="auto"/>
        <w:ind w:left="720" w:hanging="360"/>
        <w:jc w:val="left"/>
        <w:rPr>
          <w:rFonts w:ascii="Calibri" w:hAnsi="Calibri" w:eastAsia="Calibri" w:cs="Calibri"/>
          <w:sz w:val="24"/>
          <w:szCs w:val="24"/>
        </w:rPr>
      </w:pPr>
      <w:r>
        <w:rPr>
          <w:rFonts w:ascii="Calibri" w:hAnsi="Calibri" w:eastAsia="Calibri" w:cs="Calibri"/>
          <w:sz w:val="24"/>
          <w:szCs w:val="24"/>
          <w:rtl w:val="0"/>
        </w:rPr>
        <w:t>Documentación falsa o incompleta</w:t>
      </w:r>
      <w:r>
        <w:rPr>
          <w:rFonts w:ascii="Calibri" w:hAnsi="Calibri" w:eastAsia="Calibri" w:cs="Calibri"/>
          <w:sz w:val="24"/>
          <w:szCs w:val="24"/>
          <w:rtl w:val="0"/>
        </w:rPr>
        <w:br w:type="textWrapping"/>
      </w:r>
    </w:p>
    <w:p w14:paraId="00000034">
      <w:pPr>
        <w:numPr>
          <w:ilvl w:val="0"/>
          <w:numId w:val="4"/>
        </w:numPr>
        <w:spacing w:before="0" w:after="0" w:line="240" w:lineRule="auto"/>
        <w:ind w:left="720" w:hanging="360"/>
        <w:jc w:val="left"/>
        <w:rPr>
          <w:rFonts w:ascii="Calibri" w:hAnsi="Calibri" w:eastAsia="Calibri" w:cs="Calibri"/>
          <w:sz w:val="24"/>
          <w:szCs w:val="24"/>
        </w:rPr>
      </w:pPr>
      <w:r>
        <w:rPr>
          <w:rFonts w:ascii="Calibri" w:hAnsi="Calibri" w:eastAsia="Calibri" w:cs="Calibri"/>
          <w:sz w:val="24"/>
          <w:szCs w:val="24"/>
          <w:rtl w:val="0"/>
        </w:rPr>
        <w:t>Incumplimiento de la normativa aduanera, fiscal o comercial</w:t>
      </w:r>
    </w:p>
    <w:p w14:paraId="00000035">
      <w:pPr>
        <w:numPr>
          <w:ilvl w:val="0"/>
          <w:numId w:val="4"/>
        </w:numPr>
        <w:spacing w:before="0" w:after="240" w:line="240" w:lineRule="auto"/>
        <w:ind w:left="720" w:hanging="360"/>
        <w:jc w:val="left"/>
        <w:rPr>
          <w:rFonts w:ascii="Calibri" w:hAnsi="Calibri" w:eastAsia="Calibri" w:cs="Calibri"/>
          <w:sz w:val="24"/>
          <w:szCs w:val="24"/>
          <w:u w:val="none"/>
        </w:rPr>
      </w:pPr>
      <w:r>
        <w:rPr>
          <w:rFonts w:ascii="Calibri" w:hAnsi="Calibri" w:eastAsia="Calibri" w:cs="Calibri"/>
          <w:sz w:val="24"/>
          <w:szCs w:val="24"/>
          <w:rtl w:val="0"/>
        </w:rPr>
        <w:t>Incluidos gastos de defensa jurídica, asistencia profesional, auditorías, inspecciones, costes internos y perjuicios regulatorios.</w:t>
      </w:r>
    </w:p>
    <w:p w14:paraId="00000036">
      <w:pPr>
        <w:spacing w:before="240" w:after="240" w:line="240" w:lineRule="auto"/>
        <w:jc w:val="both"/>
        <w:rPr>
          <w:rFonts w:ascii="Calibri" w:hAnsi="Calibri" w:eastAsia="Calibri" w:cs="Calibri"/>
          <w:sz w:val="24"/>
          <w:szCs w:val="24"/>
        </w:rPr>
      </w:pPr>
    </w:p>
    <w:p w14:paraId="00000037">
      <w:pPr>
        <w:pStyle w:val="4"/>
        <w:keepNext w:val="0"/>
        <w:keepLines w:val="0"/>
        <w:spacing w:before="0" w:after="80" w:line="240" w:lineRule="auto"/>
        <w:jc w:val="both"/>
        <w:rPr>
          <w:rFonts w:ascii="Calibri" w:hAnsi="Calibri" w:eastAsia="Calibri" w:cs="Calibri"/>
          <w:b/>
          <w:bCs/>
          <w:color w:val="000000"/>
          <w:sz w:val="24"/>
          <w:szCs w:val="24"/>
        </w:rPr>
      </w:pPr>
      <w:bookmarkStart w:id="13" w:name="_heading=h.2g07g8bxix5s" w:colFirst="0" w:colLast="0"/>
      <w:bookmarkEnd w:id="13"/>
      <w:r>
        <w:rPr>
          <w:rFonts w:ascii="Calibri" w:hAnsi="Calibri" w:eastAsia="Calibri" w:cs="Calibri"/>
          <w:b/>
          <w:bCs/>
          <w:color w:val="000000"/>
          <w:sz w:val="24"/>
          <w:szCs w:val="24"/>
          <w:rtl w:val="0"/>
        </w:rPr>
        <w:t xml:space="preserve">11. Cláusula penal por incumplimiento </w:t>
      </w:r>
    </w:p>
    <w:p w14:paraId="00000038">
      <w:pPr>
        <w:spacing w:before="0" w:after="80" w:line="240" w:lineRule="auto"/>
        <w:jc w:val="both"/>
        <w:rPr>
          <w:rFonts w:ascii="Calibri" w:hAnsi="Calibri" w:eastAsia="Calibri" w:cs="Calibri"/>
          <w:sz w:val="24"/>
          <w:szCs w:val="24"/>
        </w:rPr>
      </w:pPr>
      <w:r>
        <w:rPr>
          <w:rFonts w:ascii="Calibri" w:hAnsi="Calibri" w:eastAsia="Calibri" w:cs="Calibri"/>
          <w:sz w:val="24"/>
          <w:szCs w:val="24"/>
          <w:rtl w:val="0"/>
        </w:rPr>
        <w:t>11.1. En caso de que, como consecuencia de acciones u omisiones imputables a 已方公司简称, se produzca:</w:t>
      </w:r>
    </w:p>
    <w:p w14:paraId="00000039">
      <w:pPr>
        <w:numPr>
          <w:ilvl w:val="0"/>
          <w:numId w:val="5"/>
        </w:numPr>
        <w:spacing w:before="0" w:after="80" w:line="240" w:lineRule="auto"/>
        <w:ind w:left="720" w:hanging="360"/>
        <w:jc w:val="both"/>
        <w:rPr>
          <w:rFonts w:ascii="Calibri" w:hAnsi="Calibri" w:eastAsia="Calibri" w:cs="Calibri"/>
          <w:sz w:val="24"/>
          <w:szCs w:val="24"/>
        </w:rPr>
      </w:pPr>
      <w:r>
        <w:rPr>
          <w:rFonts w:ascii="Calibri" w:hAnsi="Calibri" w:eastAsia="Calibri" w:cs="Calibri"/>
          <w:sz w:val="24"/>
          <w:szCs w:val="24"/>
          <w:rtl w:val="0"/>
        </w:rPr>
        <w:t>Una infracción administrativa aduanera</w:t>
      </w:r>
    </w:p>
    <w:p w14:paraId="0000003A">
      <w:pPr>
        <w:numPr>
          <w:ilvl w:val="0"/>
          <w:numId w:val="5"/>
        </w:numPr>
        <w:spacing w:before="0" w:after="80" w:line="240" w:lineRule="auto"/>
        <w:ind w:left="720" w:hanging="360"/>
        <w:jc w:val="both"/>
        <w:rPr>
          <w:rFonts w:ascii="Calibri" w:hAnsi="Calibri" w:eastAsia="Calibri" w:cs="Calibri"/>
          <w:sz w:val="24"/>
          <w:szCs w:val="24"/>
        </w:rPr>
      </w:pPr>
      <w:r>
        <w:rPr>
          <w:rFonts w:ascii="Calibri" w:hAnsi="Calibri" w:eastAsia="Calibri" w:cs="Calibri"/>
          <w:sz w:val="24"/>
          <w:szCs w:val="24"/>
          <w:rtl w:val="0"/>
        </w:rPr>
        <w:t>Una sanción</w:t>
      </w:r>
    </w:p>
    <w:p w14:paraId="0000003B">
      <w:pPr>
        <w:numPr>
          <w:ilvl w:val="0"/>
          <w:numId w:val="5"/>
        </w:numPr>
        <w:spacing w:before="0" w:after="80" w:line="240" w:lineRule="auto"/>
        <w:ind w:left="720" w:hanging="360"/>
        <w:jc w:val="both"/>
        <w:rPr>
          <w:rFonts w:ascii="Calibri" w:hAnsi="Calibri" w:eastAsia="Calibri" w:cs="Calibri"/>
          <w:sz w:val="24"/>
          <w:szCs w:val="24"/>
        </w:rPr>
      </w:pPr>
      <w:r>
        <w:rPr>
          <w:rFonts w:ascii="Calibri" w:hAnsi="Calibri" w:eastAsia="Calibri" w:cs="Calibri"/>
          <w:sz w:val="24"/>
          <w:szCs w:val="24"/>
          <w:rtl w:val="0"/>
        </w:rPr>
        <w:t xml:space="preserve">o una reiteración de irregularidades que </w:t>
      </w:r>
      <w:r>
        <w:rPr>
          <w:rFonts w:ascii="Calibri" w:hAnsi="Calibri" w:eastAsia="Calibri" w:cs="Calibri"/>
          <w:b/>
          <w:bCs/>
          <w:sz w:val="24"/>
          <w:szCs w:val="24"/>
          <w:rtl w:val="0"/>
        </w:rPr>
        <w:t>afecte al historial de cumplimiento normativo de GHUB</w:t>
      </w:r>
      <w:r>
        <w:rPr>
          <w:rFonts w:ascii="Calibri" w:hAnsi="Calibri" w:eastAsia="Calibri" w:cs="Calibri"/>
          <w:sz w:val="24"/>
          <w:szCs w:val="24"/>
          <w:rtl w:val="0"/>
        </w:rPr>
        <w:t xml:space="preserve">, 已方公司简称 abonará a GHUB, en concepto de </w:t>
      </w:r>
      <w:r>
        <w:rPr>
          <w:rFonts w:ascii="Calibri" w:hAnsi="Calibri" w:eastAsia="Calibri" w:cs="Calibri"/>
          <w:b/>
          <w:bCs/>
          <w:sz w:val="24"/>
          <w:szCs w:val="24"/>
          <w:rtl w:val="0"/>
        </w:rPr>
        <w:t>cláusula penal</w:t>
      </w:r>
      <w:r>
        <w:rPr>
          <w:rFonts w:ascii="Calibri" w:hAnsi="Calibri" w:eastAsia="Calibri" w:cs="Calibri"/>
          <w:sz w:val="24"/>
          <w:szCs w:val="24"/>
          <w:rtl w:val="0"/>
        </w:rPr>
        <w:t>, la cantidad de 300</w:t>
      </w:r>
      <w:r>
        <w:rPr>
          <w:rFonts w:ascii="Calibri" w:hAnsi="Calibri" w:eastAsia="Calibri" w:cs="Calibri"/>
          <w:b/>
          <w:bCs/>
          <w:sz w:val="24"/>
          <w:szCs w:val="24"/>
          <w:rtl w:val="0"/>
        </w:rPr>
        <w:t xml:space="preserve"> euros por cada infracción</w:t>
      </w:r>
      <w:r>
        <w:rPr>
          <w:rFonts w:ascii="Calibri" w:hAnsi="Calibri" w:eastAsia="Calibri" w:cs="Calibri"/>
          <w:sz w:val="24"/>
          <w:szCs w:val="24"/>
          <w:rtl w:val="0"/>
        </w:rPr>
        <w:t>.</w:t>
      </w:r>
    </w:p>
    <w:p w14:paraId="0000003C">
      <w:pPr>
        <w:spacing w:before="0" w:after="80" w:line="240" w:lineRule="auto"/>
        <w:jc w:val="both"/>
        <w:rPr>
          <w:rFonts w:ascii="Calibri" w:hAnsi="Calibri" w:eastAsia="Calibri" w:cs="Calibri"/>
          <w:sz w:val="24"/>
          <w:szCs w:val="24"/>
        </w:rPr>
      </w:pPr>
      <w:r>
        <w:rPr>
          <w:rFonts w:ascii="Calibri" w:hAnsi="Calibri" w:eastAsia="Calibri" w:cs="Calibri"/>
          <w:sz w:val="24"/>
          <w:szCs w:val="24"/>
          <w:rtl w:val="0"/>
        </w:rPr>
        <w:t>11.2. Dicha penalización:</w:t>
      </w:r>
    </w:p>
    <w:p w14:paraId="0000003D">
      <w:pPr>
        <w:numPr>
          <w:ilvl w:val="0"/>
          <w:numId w:val="6"/>
        </w:numPr>
        <w:spacing w:before="0" w:after="80" w:line="240" w:lineRule="auto"/>
        <w:ind w:left="720" w:hanging="360"/>
        <w:jc w:val="both"/>
        <w:rPr>
          <w:rFonts w:ascii="Calibri" w:hAnsi="Calibri" w:eastAsia="Calibri" w:cs="Calibri"/>
          <w:sz w:val="24"/>
          <w:szCs w:val="24"/>
        </w:rPr>
      </w:pPr>
      <w:r>
        <w:rPr>
          <w:rFonts w:ascii="Calibri" w:hAnsi="Calibri" w:eastAsia="Calibri" w:cs="Calibri"/>
          <w:sz w:val="24"/>
          <w:szCs w:val="24"/>
          <w:rtl w:val="0"/>
        </w:rPr>
        <w:t>No sustituye la obligación de 已方公司简称 de asumir sanciones, impuestos y gastos,</w:t>
      </w:r>
    </w:p>
    <w:p w14:paraId="0000003E">
      <w:pPr>
        <w:numPr>
          <w:ilvl w:val="0"/>
          <w:numId w:val="6"/>
        </w:numPr>
        <w:spacing w:before="0" w:after="80" w:line="240" w:lineRule="auto"/>
        <w:ind w:left="720" w:hanging="360"/>
        <w:jc w:val="both"/>
        <w:rPr>
          <w:rFonts w:ascii="Calibri" w:hAnsi="Calibri" w:eastAsia="Calibri" w:cs="Calibri"/>
          <w:sz w:val="24"/>
          <w:szCs w:val="24"/>
        </w:rPr>
      </w:pPr>
      <w:r>
        <w:rPr>
          <w:rFonts w:ascii="Calibri" w:hAnsi="Calibri" w:eastAsia="Calibri" w:cs="Calibri"/>
          <w:sz w:val="24"/>
          <w:szCs w:val="24"/>
          <w:rtl w:val="0"/>
        </w:rPr>
        <w:t xml:space="preserve">Tiene carácter </w:t>
      </w:r>
      <w:r>
        <w:rPr>
          <w:rFonts w:ascii="Calibri" w:hAnsi="Calibri" w:eastAsia="Calibri" w:cs="Calibri"/>
          <w:b/>
          <w:bCs/>
          <w:sz w:val="24"/>
          <w:szCs w:val="24"/>
          <w:rtl w:val="0"/>
        </w:rPr>
        <w:t>disuasorio y compensatorio</w:t>
      </w:r>
      <w:r>
        <w:rPr>
          <w:rFonts w:ascii="Calibri" w:hAnsi="Calibri" w:eastAsia="Calibri" w:cs="Calibri"/>
          <w:sz w:val="24"/>
          <w:szCs w:val="24"/>
          <w:rtl w:val="0"/>
        </w:rPr>
        <w:t>.</w:t>
      </w:r>
    </w:p>
    <w:p w14:paraId="0000003F">
      <w:pPr>
        <w:numPr>
          <w:ilvl w:val="0"/>
          <w:numId w:val="6"/>
        </w:numPr>
        <w:spacing w:before="0" w:after="80" w:line="240" w:lineRule="auto"/>
        <w:ind w:left="720" w:hanging="360"/>
        <w:jc w:val="both"/>
        <w:rPr>
          <w:rFonts w:ascii="Calibri" w:hAnsi="Calibri" w:eastAsia="Calibri" w:cs="Calibri"/>
          <w:sz w:val="24"/>
          <w:szCs w:val="24"/>
        </w:rPr>
      </w:pPr>
      <w:r>
        <w:rPr>
          <w:rFonts w:ascii="Calibri" w:hAnsi="Calibri" w:eastAsia="Calibri" w:cs="Calibri"/>
          <w:sz w:val="24"/>
          <w:szCs w:val="24"/>
          <w:rtl w:val="0"/>
        </w:rPr>
        <w:t xml:space="preserve">Se justifica por el </w:t>
      </w:r>
      <w:r>
        <w:rPr>
          <w:rFonts w:ascii="Calibri" w:hAnsi="Calibri" w:eastAsia="Calibri" w:cs="Calibri"/>
          <w:b/>
          <w:bCs/>
          <w:sz w:val="24"/>
          <w:szCs w:val="24"/>
          <w:rtl w:val="0"/>
        </w:rPr>
        <w:t>riesgo regulatorio, reputacional y de pérdida de certificaciones (incluido OEA)</w:t>
      </w:r>
      <w:r>
        <w:rPr>
          <w:rFonts w:ascii="Calibri" w:hAnsi="Calibri" w:eastAsia="Calibri" w:cs="Calibri"/>
          <w:sz w:val="24"/>
          <w:szCs w:val="24"/>
          <w:rtl w:val="0"/>
        </w:rPr>
        <w:t xml:space="preserve"> que dichas infracciones suponen para GHUB.</w:t>
      </w:r>
    </w:p>
    <w:p w14:paraId="00000040">
      <w:pPr>
        <w:spacing w:before="0" w:after="80" w:line="240" w:lineRule="auto"/>
        <w:ind w:left="0" w:firstLine="0"/>
        <w:jc w:val="both"/>
        <w:rPr>
          <w:rFonts w:ascii="Calibri" w:hAnsi="Calibri" w:eastAsia="Calibri" w:cs="Calibri"/>
          <w:sz w:val="24"/>
          <w:szCs w:val="24"/>
        </w:rPr>
      </w:pPr>
      <w:r>
        <w:rPr>
          <w:rFonts w:ascii="Calibri" w:hAnsi="Calibri" w:eastAsia="Calibri" w:cs="Calibri"/>
          <w:sz w:val="24"/>
          <w:szCs w:val="24"/>
          <w:rtl w:val="0"/>
        </w:rPr>
        <w:t>11.3. La imposición de esta penalización no impedirá a GHUB reclamar daños adicionales si los perjuicios superasen dicha cuantía.</w:t>
      </w:r>
    </w:p>
    <w:p w14:paraId="00000041">
      <w:pPr>
        <w:pStyle w:val="4"/>
        <w:keepNext w:val="0"/>
        <w:keepLines w:val="0"/>
        <w:spacing w:before="280" w:line="240" w:lineRule="auto"/>
        <w:jc w:val="both"/>
        <w:rPr>
          <w:rFonts w:ascii="Calibri" w:hAnsi="Calibri" w:eastAsia="Calibri" w:cs="Calibri"/>
          <w:b/>
          <w:bCs/>
          <w:color w:val="000000"/>
          <w:sz w:val="24"/>
          <w:szCs w:val="24"/>
        </w:rPr>
      </w:pPr>
      <w:bookmarkStart w:id="14" w:name="_heading=h.j4kbmhv71pw3" w:colFirst="0" w:colLast="0"/>
      <w:bookmarkEnd w:id="14"/>
      <w:r>
        <w:rPr>
          <w:rFonts w:ascii="Calibri" w:hAnsi="Calibri" w:eastAsia="Calibri" w:cs="Calibri"/>
          <w:b/>
          <w:bCs/>
          <w:color w:val="000000"/>
          <w:sz w:val="24"/>
          <w:szCs w:val="24"/>
          <w:rtl w:val="0"/>
        </w:rPr>
        <w:t>12. Cumplimiento normativo y OEA</w:t>
      </w:r>
    </w:p>
    <w:p w14:paraId="00000042">
      <w:pPr>
        <w:spacing w:before="240" w:after="240" w:line="240" w:lineRule="auto"/>
        <w:jc w:val="left"/>
        <w:rPr>
          <w:rFonts w:ascii="Calibri" w:hAnsi="Calibri" w:eastAsia="Calibri" w:cs="Calibri"/>
          <w:sz w:val="24"/>
          <w:szCs w:val="24"/>
        </w:rPr>
      </w:pPr>
      <w:r>
        <w:rPr>
          <w:rFonts w:ascii="Calibri" w:hAnsi="Calibri" w:eastAsia="Calibri" w:cs="Calibri"/>
          <w:sz w:val="24"/>
          <w:szCs w:val="24"/>
          <w:rtl w:val="0"/>
        </w:rPr>
        <w:t xml:space="preserve">已方公司简称 reconoce que GHUB debe cumplir estrictamente la normativa aduanera y fiscal, incluyendo los requisitos del </w:t>
      </w:r>
      <w:r>
        <w:rPr>
          <w:rFonts w:ascii="Calibri" w:hAnsi="Calibri" w:eastAsia="Calibri" w:cs="Calibri"/>
          <w:b/>
          <w:bCs/>
          <w:sz w:val="24"/>
          <w:szCs w:val="24"/>
          <w:rtl w:val="0"/>
        </w:rPr>
        <w:t>artículo 39 del CAU</w:t>
      </w:r>
      <w:r>
        <w:rPr>
          <w:rFonts w:ascii="Calibri" w:hAnsi="Calibri" w:eastAsia="Calibri" w:cs="Calibri"/>
          <w:sz w:val="24"/>
          <w:szCs w:val="24"/>
          <w:rtl w:val="0"/>
        </w:rPr>
        <w:t xml:space="preserve"> para el mantenimiento o solicitud del estatuto de Operador Económico Autorizado (OEA).</w:t>
      </w:r>
      <w:r>
        <w:rPr>
          <w:rFonts w:ascii="Calibri" w:hAnsi="Calibri" w:eastAsia="Calibri" w:cs="Calibri"/>
          <w:sz w:val="24"/>
          <w:szCs w:val="24"/>
          <w:rtl w:val="0"/>
        </w:rPr>
        <w:br w:type="textWrapping"/>
      </w:r>
      <w:r>
        <w:rPr>
          <w:rFonts w:ascii="Calibri" w:hAnsi="Calibri" w:eastAsia="Calibri" w:cs="Calibri"/>
          <w:sz w:val="24"/>
          <w:szCs w:val="24"/>
          <w:rtl w:val="0"/>
        </w:rPr>
        <w:t xml:space="preserve">Cualquier actuación de 已方公司简称 que comprometa dicho cumplimiento constituirá </w:t>
      </w:r>
      <w:r>
        <w:rPr>
          <w:rFonts w:ascii="Calibri" w:hAnsi="Calibri" w:eastAsia="Calibri" w:cs="Calibri"/>
          <w:b/>
          <w:bCs/>
          <w:sz w:val="24"/>
          <w:szCs w:val="24"/>
          <w:rtl w:val="0"/>
        </w:rPr>
        <w:t>incumplimiento contractual grave</w:t>
      </w:r>
      <w:r>
        <w:rPr>
          <w:rFonts w:ascii="Calibri" w:hAnsi="Calibri" w:eastAsia="Calibri" w:cs="Calibri"/>
          <w:sz w:val="24"/>
          <w:szCs w:val="24"/>
          <w:rtl w:val="0"/>
        </w:rPr>
        <w:t>.</w:t>
      </w:r>
    </w:p>
    <w:p w14:paraId="00000043">
      <w:pPr>
        <w:pStyle w:val="4"/>
        <w:keepNext w:val="0"/>
        <w:keepLines w:val="0"/>
        <w:spacing w:before="280" w:line="240" w:lineRule="auto"/>
        <w:jc w:val="both"/>
        <w:rPr>
          <w:rFonts w:ascii="Calibri" w:hAnsi="Calibri" w:eastAsia="Calibri" w:cs="Calibri"/>
          <w:b/>
          <w:bCs/>
          <w:color w:val="000000"/>
          <w:sz w:val="24"/>
          <w:szCs w:val="24"/>
        </w:rPr>
      </w:pPr>
      <w:bookmarkStart w:id="15" w:name="_heading=h.5pcdv3ho56tq" w:colFirst="0" w:colLast="0"/>
      <w:bookmarkEnd w:id="15"/>
      <w:r>
        <w:rPr>
          <w:rFonts w:ascii="Calibri" w:hAnsi="Calibri" w:eastAsia="Calibri" w:cs="Calibri"/>
          <w:b/>
          <w:bCs/>
          <w:color w:val="000000"/>
          <w:sz w:val="24"/>
          <w:szCs w:val="24"/>
          <w:rtl w:val="0"/>
        </w:rPr>
        <w:t>13. Duración y resolución</w:t>
      </w:r>
    </w:p>
    <w:p w14:paraId="00000044">
      <w:pPr>
        <w:spacing w:before="240" w:after="240" w:line="240" w:lineRule="auto"/>
        <w:jc w:val="both"/>
        <w:rPr>
          <w:rFonts w:ascii="Calibri" w:hAnsi="Calibri" w:eastAsia="Calibri" w:cs="Calibri"/>
          <w:sz w:val="24"/>
          <w:szCs w:val="24"/>
        </w:rPr>
      </w:pPr>
      <w:r>
        <w:rPr>
          <w:rFonts w:ascii="Calibri" w:hAnsi="Calibri" w:eastAsia="Calibri" w:cs="Calibri"/>
          <w:sz w:val="24"/>
          <w:szCs w:val="24"/>
          <w:rtl w:val="0"/>
        </w:rPr>
        <w:t>El contrato tendrá duración indefinida. GHUB podrá resolverlo de forma inmediata en caso de incumplimiento grave o reiterado por parte de 已方公司简称.</w:t>
      </w:r>
    </w:p>
    <w:p w14:paraId="00000045">
      <w:pPr>
        <w:pStyle w:val="4"/>
        <w:keepNext w:val="0"/>
        <w:keepLines w:val="0"/>
        <w:spacing w:before="280" w:line="240" w:lineRule="auto"/>
        <w:jc w:val="both"/>
        <w:rPr>
          <w:rFonts w:ascii="Calibri" w:hAnsi="Calibri" w:eastAsia="Calibri" w:cs="Calibri"/>
          <w:b/>
          <w:bCs/>
          <w:color w:val="000000"/>
          <w:sz w:val="24"/>
          <w:szCs w:val="24"/>
        </w:rPr>
      </w:pPr>
      <w:bookmarkStart w:id="16" w:name="_heading=h.iwr0p0llmor" w:colFirst="0" w:colLast="0"/>
      <w:bookmarkEnd w:id="16"/>
      <w:r>
        <w:rPr>
          <w:rFonts w:ascii="Calibri" w:hAnsi="Calibri" w:eastAsia="Calibri" w:cs="Calibri"/>
          <w:b/>
          <w:bCs/>
          <w:color w:val="000000"/>
          <w:sz w:val="24"/>
          <w:szCs w:val="24"/>
          <w:rtl w:val="0"/>
        </w:rPr>
        <w:t>14. Ley aplicable y jurisdicción</w:t>
      </w:r>
    </w:p>
    <w:p w14:paraId="00000046">
      <w:pPr>
        <w:spacing w:before="240" w:after="240" w:line="240" w:lineRule="auto"/>
        <w:jc w:val="both"/>
        <w:rPr>
          <w:rFonts w:ascii="Calibri" w:hAnsi="Calibri" w:eastAsia="Calibri" w:cs="Calibri"/>
          <w:sz w:val="24"/>
          <w:szCs w:val="24"/>
        </w:rPr>
      </w:pPr>
      <w:r>
        <w:rPr>
          <w:rFonts w:ascii="Calibri" w:hAnsi="Calibri" w:eastAsia="Calibri" w:cs="Calibri"/>
          <w:sz w:val="24"/>
          <w:szCs w:val="24"/>
          <w:rtl w:val="0"/>
        </w:rPr>
        <w:t>El presente contrato se regirá por la legislación española. Las partes se someten a los Juzgados y Tribunales de Coslada (Madrid), con renuncia expresa a cualquier otro fuero.</w:t>
      </w:r>
    </w:p>
    <w:p w14:paraId="00000047">
      <w:pPr>
        <w:spacing w:before="240" w:after="240" w:line="240" w:lineRule="auto"/>
        <w:jc w:val="both"/>
        <w:rPr>
          <w:rFonts w:ascii="Calibri" w:hAnsi="Calibri" w:eastAsia="Calibri" w:cs="Calibri"/>
          <w:b/>
          <w:bCs/>
          <w:sz w:val="24"/>
          <w:szCs w:val="24"/>
        </w:rPr>
      </w:pPr>
      <w:r>
        <w:rPr>
          <w:rFonts w:ascii="Calibri" w:hAnsi="Calibri" w:eastAsia="Calibri" w:cs="Calibri"/>
          <w:b/>
          <w:bCs/>
          <w:sz w:val="24"/>
          <w:szCs w:val="24"/>
          <w:rtl w:val="0"/>
        </w:rPr>
        <w:br w:type="textWrapping"/>
      </w:r>
      <w:r>
        <w:rPr>
          <w:rFonts w:hint="default" w:ascii="Calibri" w:hAnsi="Calibri" w:eastAsia="Calibri" w:cs="Calibri"/>
          <w:b/>
          <w:bCs/>
          <w:sz w:val="24"/>
          <w:szCs w:val="24"/>
          <w:rtl w:val="0"/>
          <w:lang w:val="es-ES"/>
        </w:rPr>
        <w:t xml:space="preserve">Sello </w:t>
      </w:r>
      <w:r>
        <w:rPr>
          <w:rFonts w:hint="eastAsia" w:ascii="Calibri" w:hAnsi="Calibri" w:eastAsia="宋体" w:cs="Calibri"/>
          <w:b/>
          <w:bCs/>
          <w:sz w:val="24"/>
          <w:szCs w:val="24"/>
          <w:rtl w:val="0"/>
          <w:lang w:val="en-US" w:eastAsia="zh-CN"/>
        </w:rPr>
        <w:t xml:space="preserve">&amp; </w:t>
      </w:r>
      <w:r>
        <w:rPr>
          <w:rFonts w:ascii="Calibri" w:hAnsi="Calibri" w:eastAsia="Calibri" w:cs="Calibri"/>
          <w:b/>
          <w:bCs/>
          <w:sz w:val="24"/>
          <w:szCs w:val="24"/>
          <w:rtl w:val="0"/>
        </w:rPr>
        <w:t>Firma:</w:t>
      </w:r>
      <w:bookmarkStart w:id="18" w:name="_GoBack"/>
      <w:bookmarkEnd w:id="18"/>
    </w:p>
    <w:p w14:paraId="00000048">
      <w:pPr>
        <w:spacing w:before="240" w:after="240" w:line="240" w:lineRule="auto"/>
        <w:jc w:val="left"/>
        <w:rPr>
          <w:rFonts w:ascii="Calibri" w:hAnsi="Calibri" w:eastAsia="Calibri" w:cs="Calibri"/>
          <w:sz w:val="24"/>
          <w:szCs w:val="24"/>
        </w:rPr>
      </w:pPr>
      <w:bookmarkStart w:id="17" w:name="_heading=h.qr0vsgdbfgq" w:colFirst="0" w:colLast="0"/>
      <w:bookmarkEnd w:id="17"/>
      <w:r>
        <w:rPr>
          <w:rFonts w:ascii="Calibri" w:hAnsi="Calibri" w:eastAsia="Calibri" w:cs="Calibri"/>
          <w:sz w:val="24"/>
          <w:szCs w:val="24"/>
          <w:rtl w:val="0"/>
        </w:rPr>
        <w:t>Por GHUB: _________________________</w:t>
      </w:r>
      <w:r>
        <w:rPr>
          <w:rFonts w:ascii="Calibri" w:hAnsi="Calibri" w:eastAsia="Calibri" w:cs="Calibri"/>
          <w:sz w:val="24"/>
          <w:szCs w:val="24"/>
          <w:rtl w:val="0"/>
        </w:rPr>
        <w:br w:type="textWrapping"/>
      </w:r>
      <w:r>
        <w:rPr>
          <w:rFonts w:ascii="Calibri" w:hAnsi="Calibri" w:eastAsia="Calibri" w:cs="Calibri"/>
          <w:sz w:val="24"/>
          <w:szCs w:val="24"/>
          <w:rtl w:val="0"/>
        </w:rPr>
        <w:br w:type="textWrapping"/>
      </w:r>
      <w:r>
        <w:rPr>
          <w:rFonts w:ascii="Calibri" w:hAnsi="Calibri" w:eastAsia="Calibri" w:cs="Calibri"/>
          <w:sz w:val="24"/>
          <w:szCs w:val="24"/>
          <w:rtl w:val="0"/>
        </w:rPr>
        <w:br w:type="textWrapping"/>
      </w:r>
      <w:r>
        <w:rPr>
          <w:rFonts w:ascii="Calibri" w:hAnsi="Calibri" w:eastAsia="Calibri" w:cs="Calibri"/>
          <w:sz w:val="24"/>
          <w:szCs w:val="24"/>
          <w:rtl w:val="0"/>
        </w:rPr>
        <w:br w:type="textWrapping"/>
      </w:r>
      <w:r>
        <w:rPr>
          <w:rFonts w:ascii="Calibri" w:hAnsi="Calibri" w:eastAsia="Calibri" w:cs="Calibri"/>
          <w:sz w:val="24"/>
          <w:szCs w:val="24"/>
          <w:rtl w:val="0"/>
        </w:rPr>
        <w:br w:type="textWrapping"/>
      </w:r>
      <w:r>
        <w:rPr>
          <w:rFonts w:ascii="Calibri" w:hAnsi="Calibri" w:eastAsia="Calibri" w:cs="Calibri"/>
          <w:sz w:val="24"/>
          <w:szCs w:val="24"/>
          <w:rtl w:val="0"/>
        </w:rPr>
        <w:br w:type="textWrapping"/>
      </w:r>
      <w:r>
        <w:rPr>
          <w:rFonts w:ascii="Calibri" w:hAnsi="Calibri" w:eastAsia="Calibri" w:cs="Calibri"/>
          <w:sz w:val="24"/>
          <w:szCs w:val="24"/>
          <w:rtl w:val="0"/>
        </w:rPr>
        <w:br w:type="textWrapping"/>
      </w:r>
      <w:r>
        <w:rPr>
          <w:rFonts w:ascii="Calibri" w:hAnsi="Calibri" w:eastAsia="Calibri" w:cs="Calibri"/>
          <w:sz w:val="24"/>
          <w:szCs w:val="24"/>
          <w:rtl w:val="0"/>
        </w:rPr>
        <w:br w:type="textWrapping"/>
      </w:r>
      <w:r>
        <w:rPr>
          <w:rFonts w:ascii="Calibri" w:hAnsi="Calibri" w:eastAsia="Calibri" w:cs="Calibri"/>
          <w:sz w:val="24"/>
          <w:szCs w:val="24"/>
          <w:rtl w:val="0"/>
        </w:rPr>
        <w:br w:type="textWrapping"/>
      </w:r>
      <w:r>
        <w:rPr>
          <w:rFonts w:ascii="Calibri" w:hAnsi="Calibri" w:eastAsia="Calibri" w:cs="Calibri"/>
          <w:sz w:val="24"/>
          <w:szCs w:val="24"/>
          <w:rtl w:val="0"/>
        </w:rPr>
        <w:t>Por 已方公司简称: _________________________</w:t>
      </w:r>
    </w:p>
    <w:p w14:paraId="00000049">
      <w:pPr>
        <w:spacing w:before="0" w:after="80" w:line="240" w:lineRule="auto"/>
        <w:ind w:left="0" w:firstLine="0"/>
        <w:jc w:val="both"/>
        <w:rPr>
          <w:rFonts w:ascii="Calibri" w:hAnsi="Calibri" w:eastAsia="Calibri" w:cs="Calibri"/>
          <w:sz w:val="24"/>
          <w:szCs w:val="24"/>
        </w:rPr>
      </w:pPr>
    </w:p>
    <w:p w14:paraId="0000004A">
      <w:pPr>
        <w:spacing w:line="240" w:lineRule="auto"/>
        <w:rPr>
          <w:sz w:val="24"/>
          <w:szCs w:val="24"/>
        </w:rPr>
      </w:pPr>
    </w:p>
    <w:sectPr>
      <w:headerReference r:id="rId5" w:type="default"/>
      <w:pgSz w:w="11909" w:h="16834"/>
      <w:pgMar w:top="1440" w:right="1440" w:bottom="1440" w:left="1440" w:header="720" w:footer="720" w:gutter="0"/>
      <w:pgNumType w:start="1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97FDD215-0F65-433C-94DB-0A2D7439F066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2" w:fontKey="{A7144E67-FBB1-4153-92AE-B729E025AEA6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3" w:fontKey="{2B419AD4-D74B-4069-9373-AC2BCA19D5DF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4" w:fontKey="{D399ED02-5533-4AC0-AE8C-81CEB02BD57D}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  <w:embedRegular r:id="rId5" w:fontKey="{D32C86E9-BDAF-48D9-A623-9BE92FFEC719}"/>
  </w:font>
  <w:font w:name="Arial">
    <w:panose1 w:val="020B0604020202020204"/>
    <w:charset w:val="86"/>
    <w:family w:val="auto"/>
    <w:pitch w:val="default"/>
    <w:sig w:usb0="E0002EFF" w:usb1="C000785B" w:usb2="00000009" w:usb3="00000000" w:csb0="400001FF" w:csb1="FFFF0000"/>
    <w:embedRegular r:id="rId6" w:fontKey="{7172967E-C5F9-4747-B4CA-3FD8DF8C50EF}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76" w:lineRule="auto"/>
      </w:pPr>
      <w:r>
        <w:separator/>
      </w:r>
    </w:p>
  </w:footnote>
  <w:footnote w:type="continuationSeparator" w:id="1">
    <w:p>
      <w:pPr>
        <w:spacing w:line="276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00004B">
    <w:pPr>
      <w:jc w:val="center"/>
    </w:pPr>
    <w:r>
      <w:drawing>
        <wp:inline distT="0" distB="0" distL="114300" distR="114300">
          <wp:extent cx="3562985" cy="866775"/>
          <wp:effectExtent l="0" t="0" r="0" b="0"/>
          <wp:docPr id="5" name="image1.png" descr="2025-03-25 公司的LOGO 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image1.png" descr="2025-03-25 公司的LOGO 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3562985" cy="86677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B5E306ED"/>
    <w:multiLevelType w:val="multilevel"/>
    <w:tmpl w:val="B5E306ED"/>
    <w:lvl w:ilvl="0" w:tentative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 w:tentative="0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 w:tentative="0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">
    <w:nsid w:val="BF205925"/>
    <w:multiLevelType w:val="multilevel"/>
    <w:tmpl w:val="BF205925"/>
    <w:lvl w:ilvl="0" w:tentative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 w:tentative="0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 w:tentative="0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">
    <w:nsid w:val="CF092B84"/>
    <w:multiLevelType w:val="multilevel"/>
    <w:tmpl w:val="CF092B84"/>
    <w:lvl w:ilvl="0" w:tentative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 w:tentative="0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 w:tentative="0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">
    <w:nsid w:val="0053208E"/>
    <w:multiLevelType w:val="multilevel"/>
    <w:tmpl w:val="0053208E"/>
    <w:lvl w:ilvl="0" w:tentative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 w:tentative="0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 w:tentative="0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">
    <w:nsid w:val="03D62ECE"/>
    <w:multiLevelType w:val="multilevel"/>
    <w:tmpl w:val="03D62ECE"/>
    <w:lvl w:ilvl="0" w:tentative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 w:tentative="0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 w:tentative="0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5">
    <w:nsid w:val="59ADCABA"/>
    <w:multiLevelType w:val="multilevel"/>
    <w:tmpl w:val="59ADCABA"/>
    <w:lvl w:ilvl="0" w:tentative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 w:tentative="0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 w:tentative="0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>
    <w:abstractNumId w:val="3"/>
  </w:num>
  <w:num w:numId="2">
    <w:abstractNumId w:val="2"/>
  </w:num>
  <w:num w:numId="3">
    <w:abstractNumId w:val="5"/>
  </w:num>
  <w:num w:numId="4">
    <w:abstractNumId w:val="1"/>
  </w:num>
  <w:num w:numId="5">
    <w:abstractNumId w:val="0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0"/>
  <w:embedTrueTypeFonts/>
  <w:documentProtection w:enforcement="0"/>
  <w:defaultTabStop w:val="720"/>
  <w:footnotePr>
    <w:footnote w:id="0"/>
    <w:footnote w:id="1"/>
  </w:footnotePr>
  <w:endnotePr>
    <w:endnote w:id="0"/>
    <w:endnote w:id="1"/>
  </w:endnotePr>
  <w:compat>
    <w:useFELayout/>
    <w:compatSetting w:name="compatibilityMode" w:uri="http://schemas.microsoft.com/office/word" w:val="15"/>
  </w:compat>
  <w:rsids>
    <w:rsidRoot w:val="00000000"/>
    <w:rsid w:val="6A5E1059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Arial" w:hAnsi="Arial" w:eastAsia="Arial" w:cs="Arial"/>
      </w:rPr>
    </w:rPrDefault>
    <w:pPrDefault/>
  </w:docDefaults>
  <w:latentStyles w:count="260" w:defQFormat="0" w:defUnhideWhenUsed="1" w:defSemiHidden="1" w:defUIPriority="99" w:defLockedState="0">
    <w:lsdException w:unhideWhenUsed="0" w:uiPriority="0" w:semiHidden="0" w:name="Normal"/>
    <w:lsdException w:unhideWhenUsed="0" w:uiPriority="0" w:semiHidden="0" w:name="heading 1"/>
    <w:lsdException w:unhideWhenUsed="0" w:uiPriority="0" w:semiHidden="0" w:name="heading 2"/>
    <w:lsdException w:unhideWhenUsed="0" w:uiPriority="0" w:semiHidden="0" w:name="heading 3"/>
    <w:lsdException w:unhideWhenUsed="0" w:uiPriority="0" w:semiHidden="0" w:name="heading 4"/>
    <w:lsdException w:unhideWhenUsed="0" w:uiPriority="0" w:semiHidden="0" w:name="heading 5"/>
    <w:lsdException w:unhideWhenUsed="0" w:uiPriority="0" w:semiHidden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uiPriority w:val="0"/>
    <w:pPr>
      <w:spacing w:line="276" w:lineRule="auto"/>
    </w:pPr>
    <w:rPr>
      <w:rFonts w:ascii="Arial" w:hAnsi="Arial" w:eastAsia="Arial" w:cs="Arial"/>
      <w:sz w:val="22"/>
      <w:szCs w:val="22"/>
      <w:lang w:val="es"/>
    </w:rPr>
  </w:style>
  <w:style w:type="paragraph" w:styleId="2">
    <w:name w:val="heading 1"/>
    <w:basedOn w:val="1"/>
    <w:next w:val="1"/>
    <w:uiPriority w:val="0"/>
    <w:pPr>
      <w:keepNext/>
      <w:keepLines/>
      <w:pageBreakBefore w:val="0"/>
      <w:spacing w:before="400" w:after="120"/>
    </w:pPr>
    <w:rPr>
      <w:sz w:val="40"/>
      <w:szCs w:val="40"/>
    </w:rPr>
  </w:style>
  <w:style w:type="paragraph" w:styleId="3">
    <w:name w:val="heading 2"/>
    <w:basedOn w:val="1"/>
    <w:next w:val="1"/>
    <w:uiPriority w:val="0"/>
    <w:pPr>
      <w:keepNext/>
      <w:keepLines/>
      <w:pageBreakBefore w:val="0"/>
      <w:spacing w:before="360" w:after="120"/>
    </w:pPr>
    <w:rPr>
      <w:sz w:val="32"/>
      <w:szCs w:val="32"/>
    </w:rPr>
  </w:style>
  <w:style w:type="paragraph" w:styleId="4">
    <w:name w:val="heading 3"/>
    <w:basedOn w:val="1"/>
    <w:next w:val="1"/>
    <w:uiPriority w:val="0"/>
    <w:pPr>
      <w:keepNext/>
      <w:keepLines/>
      <w:pageBreakBefore w:val="0"/>
      <w:spacing w:before="320" w:after="80"/>
    </w:pPr>
    <w:rPr>
      <w:color w:val="434343"/>
      <w:sz w:val="28"/>
      <w:szCs w:val="28"/>
    </w:rPr>
  </w:style>
  <w:style w:type="paragraph" w:styleId="5">
    <w:name w:val="heading 4"/>
    <w:basedOn w:val="1"/>
    <w:next w:val="1"/>
    <w:uiPriority w:val="0"/>
    <w:pPr>
      <w:keepNext/>
      <w:keepLines/>
      <w:pageBreakBefore w:val="0"/>
      <w:spacing w:before="280" w:after="80"/>
    </w:pPr>
    <w:rPr>
      <w:color w:val="666666"/>
      <w:sz w:val="24"/>
      <w:szCs w:val="24"/>
    </w:rPr>
  </w:style>
  <w:style w:type="paragraph" w:styleId="6">
    <w:name w:val="heading 5"/>
    <w:basedOn w:val="1"/>
    <w:next w:val="1"/>
    <w:uiPriority w:val="0"/>
    <w:pPr>
      <w:keepNext/>
      <w:keepLines/>
      <w:pageBreakBefore w:val="0"/>
      <w:spacing w:before="240" w:after="80"/>
    </w:pPr>
    <w:rPr>
      <w:color w:val="666666"/>
      <w:sz w:val="22"/>
      <w:szCs w:val="22"/>
    </w:rPr>
  </w:style>
  <w:style w:type="paragraph" w:styleId="7">
    <w:name w:val="heading 6"/>
    <w:basedOn w:val="1"/>
    <w:next w:val="1"/>
    <w:uiPriority w:val="0"/>
    <w:pPr>
      <w:keepNext/>
      <w:keepLines/>
      <w:pageBreakBefore w:val="0"/>
      <w:spacing w:before="240" w:after="80"/>
    </w:pPr>
    <w:rPr>
      <w:i/>
      <w:iCs/>
      <w:color w:val="666666"/>
      <w:sz w:val="22"/>
      <w:szCs w:val="22"/>
    </w:rPr>
  </w:style>
  <w:style w:type="character" w:default="1" w:styleId="13">
    <w:name w:val="Default Paragraph Font"/>
    <w:qFormat/>
    <w:uiPriority w:val="0"/>
  </w:style>
  <w:style w:type="table" w:default="1" w:styleId="1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8">
    <w:name w:val="footer"/>
    <w:qFormat/>
    <w:uiPriority w:val="0"/>
    <w:pPr>
      <w:tabs>
        <w:tab w:val="center" w:pos="4153"/>
        <w:tab w:val="right" w:pos="8306"/>
      </w:tabs>
      <w:snapToGrid w:val="0"/>
      <w:spacing w:line="276" w:lineRule="auto"/>
      <w:jc w:val="left"/>
    </w:pPr>
    <w:rPr>
      <w:rFonts w:ascii="Arial" w:hAnsi="Arial" w:eastAsia="Arial" w:cs="Arial"/>
      <w:sz w:val="18"/>
      <w:szCs w:val="22"/>
      <w:lang w:val="es"/>
    </w:rPr>
  </w:style>
  <w:style w:type="paragraph" w:styleId="9">
    <w:name w:val="Subtitle"/>
    <w:basedOn w:val="1"/>
    <w:next w:val="1"/>
    <w:uiPriority w:val="0"/>
    <w:pPr>
      <w:keepNext/>
      <w:keepLines/>
      <w:pageBreakBefore w:val="0"/>
      <w:spacing w:before="0" w:after="320"/>
    </w:pPr>
    <w:rPr>
      <w:rFonts w:ascii="Arial" w:hAnsi="Arial" w:eastAsia="Arial" w:cs="Arial"/>
      <w:color w:val="666666"/>
      <w:sz w:val="30"/>
      <w:szCs w:val="30"/>
    </w:rPr>
  </w:style>
  <w:style w:type="paragraph" w:styleId="10">
    <w:name w:val="Normal (Web)"/>
    <w:qFormat/>
    <w:uiPriority w:val="0"/>
    <w:pPr>
      <w:spacing w:before="0" w:beforeAutospacing="1" w:after="0" w:afterAutospacing="1" w:line="276" w:lineRule="auto"/>
      <w:ind w:left="0" w:right="0"/>
      <w:jc w:val="left"/>
    </w:pPr>
    <w:rPr>
      <w:rFonts w:ascii="Arial" w:hAnsi="Arial" w:eastAsia="Arial" w:cs="Arial"/>
      <w:kern w:val="0"/>
      <w:sz w:val="24"/>
      <w:szCs w:val="22"/>
      <w:lang w:val="en-US" w:eastAsia="zh-CN" w:bidi="ar"/>
    </w:rPr>
  </w:style>
  <w:style w:type="paragraph" w:styleId="11">
    <w:name w:val="Title"/>
    <w:basedOn w:val="1"/>
    <w:next w:val="1"/>
    <w:uiPriority w:val="0"/>
    <w:pPr>
      <w:keepNext/>
      <w:keepLines/>
      <w:pageBreakBefore w:val="0"/>
      <w:spacing w:before="0" w:after="60"/>
    </w:pPr>
    <w:rPr>
      <w:sz w:val="52"/>
      <w:szCs w:val="52"/>
    </w:rPr>
  </w:style>
  <w:style w:type="character" w:styleId="14">
    <w:name w:val="Strong"/>
    <w:basedOn w:val="13"/>
    <w:qFormat/>
    <w:uiPriority w:val="0"/>
    <w:rPr>
      <w:b/>
    </w:rPr>
  </w:style>
  <w:style w:type="table" w:customStyle="1" w:styleId="15">
    <w:name w:val="TableNormal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customXml" Target="../customXml/item1.xml"/><Relationship Id="rId7" Type="http://schemas.openxmlformats.org/officeDocument/2006/relationships/numbering" Target="numbering.xml"/><Relationship Id="rId6" Type="http://schemas.openxmlformats.org/officeDocument/2006/relationships/theme" Target="theme/theme1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iwaqEamhl+nRQeCsiNQ8ueHeYB7Q==">CgMxLjAyDWgudWgxdzMyY3llcnUyDmguaHlnMnZsc2UzcDFuMg5oLnRvajJ4enJpcjA3bDIOaC5rajB3NTFwcHI2ZWQyDmgubGFncTYyZjkybzZ5Mg5oLno5ZTc2cmxxZ3gzNTIOaC5wZzN6MjlvZjZxc3oyDmguN2VubDlxdG9sb2l1Mg5oLmNiMDUybXNuaW16ZDIOaC40YzVyYjZkbWNocWoyDmguNjlqdGd4d3dnYWw4Mg5oLjV4MW1jbTMwNTI2MTIOaC56Z3VvNHQ3dHZscHkyDmguMmcwN2c4YnhpeDVzMg5oLmo0a2JtaHY3MXB3MzIOaC41cGNkdjNobzU2dHEyDWguaXdyMHAwbGxtb3IyDWgucXIwdnNnZGJmZ3E4AHIhMXlhbHlXaVVVWUNFNjdwS05oNmRPWFBsZFc1VFgwdE9X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5</Pages>
  <Words>1092</Words>
  <Characters>5619</Characters>
  <TotalTime>0</TotalTime>
  <ScaleCrop>false</ScaleCrop>
  <LinksUpToDate>false</LinksUpToDate>
  <CharactersWithSpaces>6457</CharactersWithSpaces>
  <Application>WPS Office_12.1.0.24657_F1E327BC-269C-435d-A152-05C5408002CA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2026-01-14T13:42:00Z</dcterms:created>
  <dc:creator>VC</dc:creator>
  <cp:lastModifiedBy>杨忠华</cp:lastModifiedBy>
  <dcterms:modified xsi:type="dcterms:W3CDTF">2026-02-06T16:36:11Z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TemplateDocerSaveRecord">
    <vt:lpwstr>eyJoZGlkIjoiOWVlMGY4NGRkMDZmNDRkMjQ5YTQ2MmM5OGMzOTI4MDUiLCJ1c2VySWQiOiI2MDk1OTIzOTEifQ==</vt:lpwstr>
  </property>
  <property fmtid="{D5CDD505-2E9C-101B-9397-08002B2CF9AE}" pid="3" name="KSOProductBuildVer">
    <vt:lpwstr>2052-12.1.0.24657</vt:lpwstr>
  </property>
  <property fmtid="{D5CDD505-2E9C-101B-9397-08002B2CF9AE}" pid="4" name="ICV">
    <vt:lpwstr>D991E2A534CE44BE8D5C8DFA78C2AE6F_12</vt:lpwstr>
  </property>
</Properties>
</file>