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6607">
      <w:pPr>
        <w:pStyle w:val="3"/>
      </w:pPr>
      <w:r>
        <w:t>服务协议（中文译本）</w:t>
      </w:r>
    </w:p>
    <w:p w14:paraId="13E3DB7D">
      <w:pPr>
        <w:rPr>
          <w:rFonts w:hint="default"/>
          <w:lang w:val="en-US" w:eastAsia="zh-CN"/>
        </w:rPr>
      </w:pPr>
      <w:r>
        <w:rPr>
          <w:b/>
        </w:rPr>
        <w:t>签署地点：</w:t>
      </w:r>
      <w:r>
        <w:t>马德里</w:t>
      </w:r>
      <w:r>
        <w:br w:type="textWrapping"/>
      </w:r>
      <w:r>
        <w:rPr>
          <w:b/>
        </w:rPr>
        <w:t>签署日期：</w:t>
      </w:r>
      <w:r>
        <w:t>2026年5月</w:t>
      </w:r>
      <w:r>
        <w:rPr>
          <w:rFonts w:hint="eastAsia"/>
          <w:lang w:val="en-US" w:eastAsia="zh-CN"/>
        </w:rPr>
        <w:t>XX</w:t>
      </w:r>
      <w:r>
        <w:t>日</w:t>
      </w:r>
      <w:r>
        <w:br w:type="textWrapping"/>
      </w:r>
      <w:r>
        <w:rPr>
          <w:b/>
        </w:rPr>
        <w:t>合同编号：</w:t>
      </w:r>
      <w:r>
        <w:t>GHCH2026-</w:t>
      </w:r>
      <w:r>
        <w:rPr>
          <w:rFonts w:hint="eastAsia"/>
          <w:lang w:val="en-US" w:eastAsia="zh-CN"/>
        </w:rPr>
        <w:t>XXX</w:t>
      </w:r>
      <w:bookmarkStart w:id="0" w:name="_GoBack"/>
      <w:bookmarkEnd w:id="0"/>
    </w:p>
    <w:p w14:paraId="341177FA">
      <w:pPr>
        <w:pStyle w:val="4"/>
      </w:pPr>
      <w:r>
        <w:t>合同双方</w:t>
      </w:r>
    </w:p>
    <w:p w14:paraId="17CE7F38">
      <w:r>
        <w:rPr>
          <w:rFonts w:hint="eastAsia"/>
          <w:lang w:val="en-US" w:eastAsia="zh-CN"/>
        </w:rPr>
        <w:t>甲方</w:t>
      </w:r>
      <w:r>
        <w:t>为 GREEN HUB CUSTOM HANDLING, S.L.（以下简称“GHUB”），税号 CIF B21632740，注册地址为 Av. de la Industria 4A, 28823 Coslada (Madrid)，由其管理员 Javier Cotelo Miralles 先生合法代表。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乙方</w:t>
      </w:r>
      <w:r>
        <w:t>为：</w:t>
      </w:r>
      <w:r>
        <w:br w:type="textWrapping"/>
      </w:r>
      <w:r>
        <w:rPr>
          <w:highlight w:val="green"/>
        </w:rPr>
        <w:t>公司名称（以下简称“</w:t>
      </w:r>
      <w:r>
        <w:rPr>
          <w:rFonts w:hint="eastAsia"/>
          <w:highlight w:val="green"/>
          <w:lang w:eastAsia="zh-CN"/>
        </w:rPr>
        <w:t>乙方</w:t>
      </w:r>
      <w:r>
        <w:rPr>
          <w:highlight w:val="green"/>
        </w:rPr>
        <w:t>”），注册号：公司税号，注册地址：公司地址，由负责人姓名代表，身份证号码及身份证地址为：ID以及ID上的住址。</w:t>
      </w:r>
      <w:r>
        <w:br w:type="textWrapping"/>
      </w:r>
      <w:r>
        <w:br w:type="textWrapping"/>
      </w:r>
      <w:r>
        <w:t>双方确认具备签署本合同的合法资格，并同意依据以下条款订立本合同。</w:t>
      </w:r>
    </w:p>
    <w:p w14:paraId="35AA814A">
      <w:pPr>
        <w:pStyle w:val="4"/>
      </w:pPr>
      <w:r>
        <w:t>1. 合同目的</w:t>
      </w:r>
    </w:p>
    <w:p w14:paraId="777C84E9">
      <w:r>
        <w:t>本合同旨在由 GHUB 为</w:t>
      </w:r>
      <w:r>
        <w:rPr>
          <w:rFonts w:hint="eastAsia"/>
          <w:lang w:eastAsia="zh-CN"/>
        </w:rPr>
        <w:t>乙方</w:t>
      </w:r>
      <w:r>
        <w:t>提供欧盟关税区，特别是西班牙境内进口、出口及其他海关监管业务的清关管理与报关服务。</w:t>
      </w:r>
    </w:p>
    <w:p w14:paraId="4932A63B">
      <w:pPr>
        <w:pStyle w:val="4"/>
      </w:pPr>
      <w:r>
        <w:t>2. 海关代理方式</w:t>
      </w:r>
    </w:p>
    <w:p w14:paraId="75A74615">
      <w:r>
        <w:t>2.1 GHUB 原则上将依据《欧盟海关法典》（CAU）第18条，以直接代理方式开展业务。</w:t>
      </w:r>
      <w:r>
        <w:br w:type="textWrapping"/>
      </w:r>
      <w:r>
        <w:br w:type="textWrapping"/>
      </w:r>
      <w:r>
        <w:t>2.2 因此，</w:t>
      </w:r>
      <w:r>
        <w:rPr>
          <w:rFonts w:hint="eastAsia"/>
          <w:lang w:eastAsia="zh-CN"/>
        </w:rPr>
        <w:t>乙方</w:t>
      </w:r>
      <w:r>
        <w:t>将作为申报人及海关、税务和行政义务的主要责任主体。</w:t>
      </w:r>
      <w:r>
        <w:br w:type="textWrapping"/>
      </w:r>
      <w:r>
        <w:br w:type="textWrapping"/>
      </w:r>
      <w:r>
        <w:t>2.3 GHUB 不承担关税债务人身份，也不承担进口增值税或特别税的纳税义务。</w:t>
      </w:r>
      <w:r>
        <w:br w:type="textWrapping"/>
      </w:r>
      <w:r>
        <w:br w:type="textWrapping"/>
      </w:r>
      <w:r>
        <w:t>2.4 GHUB 仅依据</w:t>
      </w:r>
      <w:r>
        <w:rPr>
          <w:rFonts w:hint="eastAsia"/>
          <w:lang w:eastAsia="zh-CN"/>
        </w:rPr>
        <w:t>乙方</w:t>
      </w:r>
      <w:r>
        <w:t>提供的信息和文件办理申报手续，不对其内容的实质正确性承担任何保证责任。</w:t>
      </w:r>
    </w:p>
    <w:p w14:paraId="3A4064C4">
      <w:pPr>
        <w:pStyle w:val="4"/>
      </w:pPr>
      <w:r>
        <w:t>3. 授权委托</w:t>
      </w:r>
    </w:p>
    <w:p w14:paraId="78AC19EC">
      <w:r>
        <w:rPr>
          <w:rFonts w:hint="eastAsia"/>
          <w:lang w:eastAsia="zh-CN"/>
        </w:rPr>
        <w:t>乙方</w:t>
      </w:r>
      <w:r>
        <w:t>应在 GHUB 向海关机关开展任何业务之前，向 GHUB 出具相应授权书。若未提供授权，GHUB 有权暂停服务且无需承担责任。</w:t>
      </w:r>
    </w:p>
    <w:p w14:paraId="2843EA6E">
      <w:pPr>
        <w:pStyle w:val="4"/>
      </w:pPr>
      <w:r>
        <w:t xml:space="preserve">4. </w:t>
      </w:r>
      <w:r>
        <w:rPr>
          <w:rFonts w:hint="eastAsia" w:eastAsia="宋体"/>
          <w:lang w:eastAsia="zh-CN"/>
        </w:rPr>
        <w:t>乙方</w:t>
      </w:r>
      <w:r>
        <w:t>的文件及信息义务</w:t>
      </w:r>
    </w:p>
    <w:p w14:paraId="360652F2">
      <w:r>
        <w:t xml:space="preserve">4.1 </w:t>
      </w:r>
      <w:r>
        <w:rPr>
          <w:rFonts w:hint="eastAsia"/>
          <w:lang w:eastAsia="zh-CN"/>
        </w:rPr>
        <w:t>乙方</w:t>
      </w:r>
      <w:r>
        <w:t>应事先并及时向 GHUB 提供：</w:t>
      </w:r>
      <w:r>
        <w:br w:type="textWrapping"/>
      </w:r>
      <w:r>
        <w:br w:type="textWrapping"/>
      </w:r>
      <w:r>
        <w:t>• 商业发票</w:t>
      </w:r>
      <w:r>
        <w:br w:type="textWrapping"/>
      </w:r>
      <w:r>
        <w:t>• 运输文件</w:t>
      </w:r>
      <w:r>
        <w:br w:type="textWrapping"/>
      </w:r>
      <w:r>
        <w:t>• 装箱单</w:t>
      </w:r>
      <w:r>
        <w:br w:type="textWrapping"/>
      </w:r>
      <w:r>
        <w:t>• 付款凭证</w:t>
      </w:r>
      <w:r>
        <w:br w:type="textWrapping"/>
      </w:r>
      <w:r>
        <w:t>• 产品技术资料、目录或说明</w:t>
      </w:r>
      <w:r>
        <w:br w:type="textWrapping"/>
      </w:r>
      <w:r>
        <w:t>• 适用法规要求的其他文件</w:t>
      </w:r>
      <w:r>
        <w:br w:type="textWrapping"/>
      </w:r>
      <w:r>
        <w:br w:type="textWrapping"/>
      </w:r>
      <w:r>
        <w:t xml:space="preserve">4.2 </w:t>
      </w:r>
      <w:r>
        <w:rPr>
          <w:rFonts w:hint="eastAsia"/>
          <w:lang w:eastAsia="zh-CN"/>
        </w:rPr>
        <w:t>乙方</w:t>
      </w:r>
      <w:r>
        <w:t>保证其提供的所有信息和文件真实、完整、有效且合法。</w:t>
      </w:r>
      <w:r>
        <w:br w:type="textWrapping"/>
      </w:r>
      <w:r>
        <w:br w:type="textWrapping"/>
      </w:r>
      <w:r>
        <w:t>4.3 因信息不准确、不完整或虚假而产生的行政、税务、处罚或刑事后果，由</w:t>
      </w:r>
      <w:r>
        <w:rPr>
          <w:rFonts w:hint="eastAsia"/>
          <w:lang w:eastAsia="zh-CN"/>
        </w:rPr>
        <w:t>乙方</w:t>
      </w:r>
      <w:r>
        <w:t>独自承担责任，并应全额赔偿 GHUB 因此遭受的任何损失和费用。</w:t>
      </w:r>
    </w:p>
    <w:p w14:paraId="2913A9EA">
      <w:pPr>
        <w:pStyle w:val="4"/>
      </w:pPr>
      <w:r>
        <w:t>5. 商品归类、价值与原产地</w:t>
      </w:r>
    </w:p>
    <w:p w14:paraId="24C94B7B">
      <w:r>
        <w:t xml:space="preserve">5.1 </w:t>
      </w:r>
      <w:r>
        <w:rPr>
          <w:rFonts w:hint="eastAsia"/>
          <w:lang w:eastAsia="zh-CN"/>
        </w:rPr>
        <w:t>乙方</w:t>
      </w:r>
      <w:r>
        <w:t>应提供商品的税则编码（10位 TARIC）、海关完税价格及原产地信息。</w:t>
      </w:r>
      <w:r>
        <w:br w:type="textWrapping"/>
      </w:r>
      <w:r>
        <w:br w:type="textWrapping"/>
      </w:r>
      <w:r>
        <w:t>5.2 GHUB 无义务对上述内容进行全面技术核查，但可提醒</w:t>
      </w:r>
      <w:r>
        <w:rPr>
          <w:rFonts w:hint="eastAsia"/>
          <w:lang w:eastAsia="zh-CN"/>
        </w:rPr>
        <w:t>乙方</w:t>
      </w:r>
      <w:r>
        <w:t>可能存在的不一致情况。</w:t>
      </w:r>
      <w:r>
        <w:br w:type="textWrapping"/>
      </w:r>
      <w:r>
        <w:br w:type="textWrapping"/>
      </w:r>
      <w:r>
        <w:t>5.3 最终决定权始终属于</w:t>
      </w:r>
      <w:r>
        <w:rPr>
          <w:rFonts w:hint="eastAsia"/>
          <w:lang w:eastAsia="zh-CN"/>
        </w:rPr>
        <w:t>乙方</w:t>
      </w:r>
      <w:r>
        <w:t>，其应承担因重新归类、价值调整或原产地调整所产生的所有补税、罚款、附加费、利息及其他费用。</w:t>
      </w:r>
    </w:p>
    <w:p w14:paraId="6682EB56">
      <w:pPr>
        <w:pStyle w:val="4"/>
      </w:pPr>
      <w:r>
        <w:t>6. 非关税措施及限制商品</w:t>
      </w:r>
    </w:p>
    <w:p w14:paraId="506FDB3A">
      <w:r>
        <w:rPr>
          <w:rFonts w:hint="eastAsia"/>
          <w:lang w:eastAsia="zh-CN"/>
        </w:rPr>
        <w:t>乙方</w:t>
      </w:r>
      <w:r>
        <w:t>保证货物符合所有适用法规要求（包括卫生、植物检疫、SOIVRE、CE、CITES、两用物项等）。</w:t>
      </w:r>
      <w:r>
        <w:br w:type="textWrapping"/>
      </w:r>
      <w:r>
        <w:br w:type="textWrapping"/>
      </w:r>
      <w:r>
        <w:t>如货物不符合法律要求，GHUB 有权暂停或拒绝办理相关业务。</w:t>
      </w:r>
    </w:p>
    <w:p w14:paraId="09CED2A8">
      <w:pPr>
        <w:pStyle w:val="4"/>
      </w:pPr>
      <w:r>
        <w:t>7. 知识产权</w:t>
      </w:r>
    </w:p>
    <w:p w14:paraId="12B73D9D">
      <w:r>
        <w:t xml:space="preserve">7.1 </w:t>
      </w:r>
      <w:r>
        <w:rPr>
          <w:rFonts w:hint="eastAsia"/>
          <w:lang w:eastAsia="zh-CN"/>
        </w:rPr>
        <w:t>乙方</w:t>
      </w:r>
      <w:r>
        <w:t>声明其为相关商品的合法权利人，或已获得合法销售授权。</w:t>
      </w:r>
      <w:r>
        <w:br w:type="textWrapping"/>
      </w:r>
      <w:r>
        <w:br w:type="textWrapping"/>
      </w:r>
      <w:r>
        <w:t>7.2 GHUB 不接受涉嫌侵犯知识产权的货物。</w:t>
      </w:r>
      <w:r>
        <w:br w:type="textWrapping"/>
      </w:r>
      <w:r>
        <w:br w:type="textWrapping"/>
      </w:r>
      <w:r>
        <w:t>7.3 因知识产权侵权导致的海关扣留、销毁、处罚或其他措施，由</w:t>
      </w:r>
      <w:r>
        <w:rPr>
          <w:rFonts w:hint="eastAsia"/>
          <w:lang w:eastAsia="zh-CN"/>
        </w:rPr>
        <w:t>乙方</w:t>
      </w:r>
      <w:r>
        <w:t>承担全部责任，并确保 GHUB 不受损害。</w:t>
      </w:r>
    </w:p>
    <w:p w14:paraId="41C1C178">
      <w:pPr>
        <w:pStyle w:val="4"/>
      </w:pPr>
      <w:r>
        <w:t>8. GHUB 在违约情况下的权利</w:t>
      </w:r>
    </w:p>
    <w:p w14:paraId="788A73FF">
      <w:r>
        <w:t>如</w:t>
      </w:r>
      <w:r>
        <w:rPr>
          <w:rFonts w:hint="eastAsia"/>
          <w:lang w:eastAsia="zh-CN"/>
        </w:rPr>
        <w:t>乙方</w:t>
      </w:r>
      <w:r>
        <w:t>存在违约行为，GHUB 有权：</w:t>
      </w:r>
      <w:r>
        <w:br w:type="textWrapping"/>
      </w:r>
      <w:r>
        <w:br w:type="textWrapping"/>
      </w:r>
      <w:r>
        <w:t>• 拒收货物</w:t>
      </w:r>
      <w:r>
        <w:br w:type="textWrapping"/>
      </w:r>
      <w:r>
        <w:t>• 不提交报关申报</w:t>
      </w:r>
      <w:r>
        <w:br w:type="textWrapping"/>
      </w:r>
      <w:r>
        <w:t>• 申请作废申报</w:t>
      </w:r>
      <w:r>
        <w:br w:type="textWrapping"/>
      </w:r>
      <w:r>
        <w:t>• 办理退运、销毁或放弃</w:t>
      </w:r>
      <w:r>
        <w:br w:type="textWrapping"/>
      </w:r>
      <w:r>
        <w:t>• 暂停服务</w:t>
      </w:r>
      <w:r>
        <w:br w:type="textWrapping"/>
      </w:r>
      <w:r>
        <w:t>• 立即解除合同</w:t>
      </w:r>
    </w:p>
    <w:p w14:paraId="5D5F3DAE">
      <w:pPr>
        <w:pStyle w:val="4"/>
      </w:pPr>
      <w:r>
        <w:t>9. 费用、罚款及经济责任</w:t>
      </w:r>
    </w:p>
    <w:p w14:paraId="23FE865F">
      <w:r>
        <w:rPr>
          <w:rFonts w:hint="eastAsia"/>
          <w:lang w:eastAsia="zh-CN"/>
        </w:rPr>
        <w:t>乙方</w:t>
      </w:r>
      <w:r>
        <w:t>应全额承担：</w:t>
      </w:r>
      <w:r>
        <w:br w:type="textWrapping"/>
      </w:r>
      <w:r>
        <w:br w:type="textWrapping"/>
      </w:r>
      <w:r>
        <w:t>• 关税</w:t>
      </w:r>
      <w:r>
        <w:br w:type="textWrapping"/>
      </w:r>
      <w:r>
        <w:t>• 进口增值税</w:t>
      </w:r>
      <w:r>
        <w:br w:type="textWrapping"/>
      </w:r>
      <w:r>
        <w:t>• 特别税</w:t>
      </w:r>
      <w:r>
        <w:br w:type="textWrapping"/>
      </w:r>
      <w:r>
        <w:t>• 附加费与利息</w:t>
      </w:r>
      <w:r>
        <w:br w:type="textWrapping"/>
      </w:r>
      <w:r>
        <w:t>• 仓储、查验及滞期费用</w:t>
      </w:r>
      <w:r>
        <w:br w:type="textWrapping"/>
      </w:r>
      <w:r>
        <w:t>• 法律服务费及行政费用</w:t>
      </w:r>
    </w:p>
    <w:p w14:paraId="4A464BFB">
      <w:pPr>
        <w:pStyle w:val="4"/>
      </w:pPr>
      <w:r>
        <w:t>10. 免责与赔偿条款</w:t>
      </w:r>
    </w:p>
    <w:p w14:paraId="51C92FD6">
      <w:r>
        <w:rPr>
          <w:rFonts w:hint="eastAsia"/>
          <w:lang w:eastAsia="zh-CN"/>
        </w:rPr>
        <w:t>乙方</w:t>
      </w:r>
      <w:r>
        <w:t>应就以下原因直接或间接导致的任何罚款、补税、索赔、损害、成本或损失，对 GHUB 进行赔偿并确保其免责：</w:t>
      </w:r>
      <w:r>
        <w:br w:type="textWrapping"/>
      </w:r>
      <w:r>
        <w:br w:type="textWrapping"/>
      </w:r>
      <w:r>
        <w:t>• 错误信息</w:t>
      </w:r>
      <w:r>
        <w:br w:type="textWrapping"/>
      </w:r>
      <w:r>
        <w:t>• 虚假或不完整文件</w:t>
      </w:r>
      <w:r>
        <w:br w:type="textWrapping"/>
      </w:r>
      <w:r>
        <w:t>• 违反海关、税务或贸易法规</w:t>
      </w:r>
      <w:r>
        <w:br w:type="textWrapping"/>
      </w:r>
      <w:r>
        <w:t>• 包括法律辩护费、专业协助费、审计、检查、内部成本及监管损失</w:t>
      </w:r>
    </w:p>
    <w:p w14:paraId="27547648">
      <w:pPr>
        <w:pStyle w:val="4"/>
      </w:pPr>
      <w:r>
        <w:t>11. 违约罚则</w:t>
      </w:r>
    </w:p>
    <w:p w14:paraId="47D00630">
      <w:r>
        <w:t>11.1 如因</w:t>
      </w:r>
      <w:r>
        <w:rPr>
          <w:rFonts w:hint="eastAsia"/>
          <w:lang w:eastAsia="zh-CN"/>
        </w:rPr>
        <w:t>乙方</w:t>
      </w:r>
      <w:r>
        <w:t>的行为或疏忽导致：</w:t>
      </w:r>
      <w:r>
        <w:br w:type="textWrapping"/>
      </w:r>
      <w:r>
        <w:br w:type="textWrapping"/>
      </w:r>
      <w:r>
        <w:t>• 海关行政违法</w:t>
      </w:r>
      <w:r>
        <w:br w:type="textWrapping"/>
      </w:r>
      <w:r>
        <w:t>• 行政处罚</w:t>
      </w:r>
      <w:r>
        <w:br w:type="textWrapping"/>
      </w:r>
      <w:r>
        <w:t>• 或影响 GHUB 合规记录的重复违规行为</w:t>
      </w:r>
      <w:r>
        <w:br w:type="textWrapping"/>
      </w:r>
      <w:r>
        <w:br w:type="textWrapping"/>
      </w:r>
      <w:r>
        <w:rPr>
          <w:rFonts w:hint="eastAsia"/>
          <w:lang w:eastAsia="zh-CN"/>
        </w:rPr>
        <w:t>乙方</w:t>
      </w:r>
      <w:r>
        <w:t>应向 GHUB 支付每项违规300欧元的违约金。</w:t>
      </w:r>
      <w:r>
        <w:br w:type="textWrapping"/>
      </w:r>
      <w:r>
        <w:br w:type="textWrapping"/>
      </w:r>
      <w:r>
        <w:t>11.2 该违约金：</w:t>
      </w:r>
      <w:r>
        <w:br w:type="textWrapping"/>
      </w:r>
      <w:r>
        <w:br w:type="textWrapping"/>
      </w:r>
      <w:r>
        <w:t>• 不替代</w:t>
      </w:r>
      <w:r>
        <w:rPr>
          <w:rFonts w:hint="eastAsia"/>
          <w:lang w:eastAsia="zh-CN"/>
        </w:rPr>
        <w:t>乙方</w:t>
      </w:r>
      <w:r>
        <w:t>承担罚款、税费及其他费用的义务；</w:t>
      </w:r>
      <w:r>
        <w:br w:type="textWrapping"/>
      </w:r>
      <w:r>
        <w:t>• 具有警示及补偿性质；</w:t>
      </w:r>
      <w:r>
        <w:br w:type="textWrapping"/>
      </w:r>
      <w:r>
        <w:t>• 用于补偿相关违规行为对 GHUB 带来的监管、声誉及认证（包括 OEA）风险。</w:t>
      </w:r>
      <w:r>
        <w:br w:type="textWrapping"/>
      </w:r>
      <w:r>
        <w:br w:type="textWrapping"/>
      </w:r>
      <w:r>
        <w:t>11.3 如实际损失超过上述金额，GHUB 仍有权进一步追偿。</w:t>
      </w:r>
    </w:p>
    <w:p w14:paraId="374C11AE">
      <w:pPr>
        <w:pStyle w:val="4"/>
      </w:pPr>
      <w:r>
        <w:t>12. 合规与 OEA</w:t>
      </w:r>
    </w:p>
    <w:p w14:paraId="52321A9A">
      <w:r>
        <w:rPr>
          <w:rFonts w:hint="eastAsia"/>
          <w:lang w:eastAsia="zh-CN"/>
        </w:rPr>
        <w:t>乙方</w:t>
      </w:r>
      <w:r>
        <w:t>确认，GHUB 必须严格遵守海关及税务法规，包括《欧盟海关法典》第39条关于授权经济运营商（OEA）资格的要求。</w:t>
      </w:r>
      <w:r>
        <w:br w:type="textWrapping"/>
      </w:r>
      <w:r>
        <w:br w:type="textWrapping"/>
      </w:r>
      <w:r>
        <w:t>任何危及该合规要求的行为均构成严重违约。</w:t>
      </w:r>
    </w:p>
    <w:p w14:paraId="1218E79D">
      <w:pPr>
        <w:pStyle w:val="4"/>
      </w:pPr>
      <w:r>
        <w:t>13. 合同期限与解除</w:t>
      </w:r>
    </w:p>
    <w:p w14:paraId="02158837">
      <w:r>
        <w:t>本合同为无限期合同。如</w:t>
      </w:r>
      <w:r>
        <w:rPr>
          <w:rFonts w:hint="eastAsia"/>
          <w:lang w:eastAsia="zh-CN"/>
        </w:rPr>
        <w:t>乙方</w:t>
      </w:r>
      <w:r>
        <w:t>存在严重或重复违约行为，GHUB 有权立即解除合同。</w:t>
      </w:r>
    </w:p>
    <w:p w14:paraId="063616A7">
      <w:pPr>
        <w:pStyle w:val="4"/>
      </w:pPr>
      <w:r>
        <w:t>14. 适用法律与管辖</w:t>
      </w:r>
    </w:p>
    <w:p w14:paraId="6FEDDF94">
      <w:r>
        <w:t>本合同适用西班牙法律。双方明确接受马德里 Coslada 法院及法庭管辖，并放弃其他任何司法管辖权。</w:t>
      </w:r>
    </w:p>
    <w:p w14:paraId="6F614107">
      <w:pPr>
        <w:pStyle w:val="4"/>
      </w:pPr>
      <w:r>
        <w:t>签字盖章</w:t>
      </w:r>
    </w:p>
    <w:p w14:paraId="1B46C690">
      <w:r>
        <w:t>GHUB 签字：_________________________</w:t>
      </w:r>
      <w:r>
        <w:br w:type="textWrapping"/>
      </w:r>
      <w:r>
        <w:br w:type="textWrapping"/>
      </w:r>
      <w:r>
        <w:rPr>
          <w:rFonts w:hint="eastAsia"/>
          <w:lang w:eastAsia="zh-CN"/>
        </w:rPr>
        <w:t>乙方</w:t>
      </w:r>
      <w:r>
        <w:t>签字：_________________________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7867">
    <w:pPr>
      <w:keepNext w:val="0"/>
      <w:keepLines w:val="0"/>
      <w:widowControl/>
      <w:suppressLineNumbers w:val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654E4">
                          <w:pPr>
                            <w:pStyle w:val="24"/>
                            <w:tabs>
                              <w:tab w:val="center" w:pos="4153"/>
                              <w:tab w:val="right" w:pos="8306"/>
                              <w:tab w:val="clear" w:pos="4680"/>
                              <w:tab w:val="clear" w:pos="936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654E4">
                    <w:pPr>
                      <w:pStyle w:val="24"/>
                      <w:tabs>
                        <w:tab w:val="center" w:pos="4153"/>
                        <w:tab w:val="right" w:pos="8306"/>
                        <w:tab w:val="clear" w:pos="4680"/>
                        <w:tab w:val="clear" w:pos="936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color w:val="000000"/>
        <w:kern w:val="0"/>
        <w:sz w:val="18"/>
        <w:szCs w:val="18"/>
        <w:lang w:val="en-US" w:eastAsia="zh-CN" w:bidi="ar"/>
      </w:rPr>
      <w:t>GREEN HUB CUSTOM HANDLING S.L.(C.I.F:B21632740),Av. de la Industria, 4, 28823,Madrid,Spain.</w:t>
    </w:r>
  </w:p>
  <w:p w14:paraId="5F39CACB">
    <w:pPr>
      <w:keepNext w:val="0"/>
      <w:keepLines w:val="0"/>
      <w:widowControl/>
      <w:suppressLineNumbers w:val="0"/>
      <w:jc w:val="center"/>
      <w:rPr>
        <w:rFonts w:hint="default" w:ascii="Times New Roman" w:hAnsi="Times New Roman" w:eastAsia="宋体" w:cs="Times New Roman"/>
        <w:color w:val="000000"/>
        <w:kern w:val="0"/>
        <w:sz w:val="18"/>
        <w:szCs w:val="18"/>
        <w:lang w:val="en-US" w:eastAsia="zh-CN" w:bidi="ar"/>
      </w:rPr>
    </w:pPr>
    <w:r>
      <w:rPr>
        <w:rFonts w:hint="default" w:ascii="Times New Roman" w:hAnsi="Times New Roman" w:eastAsia="宋体" w:cs="Times New Roman"/>
        <w:color w:val="000000"/>
        <w:kern w:val="0"/>
        <w:sz w:val="18"/>
        <w:szCs w:val="18"/>
        <w:lang w:val="en-US" w:eastAsia="zh-CN" w:bidi="ar"/>
      </w:rPr>
      <w:t>Inscrita en el Registro Mercantil de Madrid, Sección 8, Hoja M-848124 Inscripción 1</w:t>
    </w:r>
  </w:p>
  <w:p w14:paraId="26A7A403">
    <w:pPr>
      <w:keepNext w:val="0"/>
      <w:keepLines w:val="0"/>
      <w:widowControl/>
      <w:suppressLineNumbers w:val="0"/>
      <w:jc w:val="center"/>
    </w:pPr>
    <w:r>
      <w:rPr>
        <w:rFonts w:hint="default" w:ascii="Times New Roman" w:hAnsi="Times New Roman" w:eastAsia="宋体" w:cs="Times New Roman"/>
        <w:color w:val="000000"/>
        <w:kern w:val="0"/>
        <w:sz w:val="18"/>
        <w:szCs w:val="18"/>
        <w:lang w:val="en-US" w:eastAsia="zh-CN" w:bidi="ar"/>
      </w:rPr>
      <w:t>Website</w:t>
    </w:r>
    <w:r>
      <w:rPr>
        <w:rFonts w:hint="eastAsia" w:ascii="宋体" w:hAnsi="宋体" w:eastAsia="宋体" w:cs="宋体"/>
        <w:color w:val="000000"/>
        <w:kern w:val="0"/>
        <w:sz w:val="18"/>
        <w:szCs w:val="18"/>
        <w:lang w:val="en-US" w:eastAsia="zh-CN" w:bidi="ar"/>
      </w:rPr>
      <w:t xml:space="preserve">： </w:t>
    </w:r>
    <w:r>
      <w:rPr>
        <w:rFonts w:hint="default" w:ascii="Times New Roman" w:hAnsi="Times New Roman" w:eastAsia="宋体" w:cs="Times New Roman"/>
        <w:color w:val="000000"/>
        <w:kern w:val="0"/>
        <w:sz w:val="18"/>
        <w:szCs w:val="18"/>
        <w:lang w:val="en-US" w:eastAsia="zh-CN" w:bidi="ar"/>
      </w:rPr>
      <w:t>www.customhandling.com Email: admin@customhandling.com Tel: +34 917 196 397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C4555">
    <w:pPr>
      <w:pStyle w:val="25"/>
      <w:jc w:val="center"/>
    </w:pPr>
    <w:r>
      <w:drawing>
        <wp:inline distT="0" distB="0" distL="114300" distR="114300">
          <wp:extent cx="3562985" cy="866775"/>
          <wp:effectExtent l="0" t="0" r="18415" b="9525"/>
          <wp:docPr id="5" name="image1.png" descr="2025-03-25 公司的LO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2025-03-25 公司的LOGO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98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4525"/>
    <w:rsid w:val="0015074B"/>
    <w:rsid w:val="0029639D"/>
    <w:rsid w:val="00326F90"/>
    <w:rsid w:val="00AA1D8D"/>
    <w:rsid w:val="00B47730"/>
    <w:rsid w:val="00CB0664"/>
    <w:rsid w:val="00FC693F"/>
    <w:rsid w:val="2FE95EE8"/>
    <w:rsid w:val="56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1557</Words>
  <Characters>1861</Characters>
  <Lines>0</Lines>
  <Paragraphs>0</Paragraphs>
  <TotalTime>3</TotalTime>
  <ScaleCrop>false</ScaleCrop>
  <LinksUpToDate>false</LinksUpToDate>
  <CharactersWithSpaces>1976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西班牙OYT财务2024</cp:lastModifiedBy>
  <dcterms:modified xsi:type="dcterms:W3CDTF">2026-05-28T13:59:56Z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eyJoZGlkIjoiYjFkNTI0NWEzZDllNDY3Y2M4M2E4NzViYTUzMGI3OTMiLCJ1c2VySWQiOiIxNDc5MjIyNTU4In0=</vt:lpwstr>
  </property>
  <property fmtid="{D5CDD505-2E9C-101B-9397-08002B2CF9AE}" pid="3" name="KSOProductBuildVer">
    <vt:lpwstr>2052-12.1.0.26375</vt:lpwstr>
  </property>
  <property fmtid="{D5CDD505-2E9C-101B-9397-08002B2CF9AE}" pid="4" name="ICV">
    <vt:lpwstr>780CF6A76CA046B08D7646EC9529FB9E_12</vt:lpwstr>
  </property>
</Properties>
</file>