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3"/>
        <w:jc w:val="center"/>
        <w:rPr>
          <w:rFonts w:hint="default" w:ascii="Arial" w:hAnsi="Arial" w:eastAsia="宋体" w:cs="Arial"/>
          <w:color w:val="000000"/>
          <w:sz w:val="36"/>
          <w:szCs w:val="36"/>
          <w:lang w:val="en-US" w:eastAsia="zh-CN"/>
        </w:rPr>
      </w:pPr>
      <w:r>
        <w:rPr>
          <w:rFonts w:hint="default" w:ascii="Arial" w:hAnsi="Arial" w:cs="Arial"/>
          <w:color w:val="000000"/>
          <w:sz w:val="36"/>
          <w:szCs w:val="36"/>
          <w:rtl w:val="0"/>
        </w:rPr>
        <w:t>CONTRATO DE PRESTACIÓN DE SERVICIOS ADUANEROS (B2B)</w:t>
      </w:r>
      <w:r>
        <w:rPr>
          <w:rFonts w:hint="default" w:ascii="Arial" w:hAnsi="Arial" w:cs="Arial"/>
          <w:color w:val="000000"/>
          <w:sz w:val="36"/>
          <w:szCs w:val="36"/>
          <w:rtl w:val="0"/>
        </w:rPr>
        <w:br w:type="textWrapping"/>
      </w:r>
      <w:r>
        <w:rPr>
          <w:rFonts w:hint="default" w:ascii="Arial" w:hAnsi="Arial" w:cs="Arial"/>
          <w:color w:val="000000"/>
          <w:sz w:val="36"/>
          <w:szCs w:val="36"/>
          <w:rtl w:val="0"/>
        </w:rPr>
        <w:br w:type="textWrapping"/>
      </w:r>
      <w:r>
        <w:rPr>
          <w:rFonts w:hint="default" w:ascii="Arial" w:hAnsi="Arial" w:cs="Arial"/>
          <w:b/>
          <w:bCs/>
          <w:color w:val="auto"/>
          <w:sz w:val="28"/>
          <w:szCs w:val="28"/>
          <w:rtl w:val="0"/>
        </w:rPr>
        <w:t>En Madrid, a dia</w:t>
      </w:r>
      <w:r>
        <w:rPr>
          <w:rFonts w:hint="eastAsia" w:ascii="Arial" w:hAnsi="Arial" w:eastAsia="宋体" w:cs="Arial"/>
          <w:b/>
          <w:bCs/>
          <w:color w:val="auto"/>
          <w:sz w:val="28"/>
          <w:szCs w:val="28"/>
          <w:rtl w:val="0"/>
          <w:lang w:val="en-US" w:eastAsia="zh-CN"/>
        </w:rPr>
        <w:t xml:space="preserve"> 18 TH</w:t>
      </w:r>
      <w:r>
        <w:rPr>
          <w:rFonts w:hint="default" w:ascii="Arial" w:hAnsi="Arial" w:cs="Arial"/>
          <w:b/>
          <w:bCs/>
          <w:color w:val="auto"/>
          <w:sz w:val="28"/>
          <w:szCs w:val="28"/>
          <w:rtl w:val="0"/>
        </w:rPr>
        <w:t xml:space="preserve"> de </w:t>
      </w:r>
      <w:r>
        <w:rPr>
          <w:rFonts w:hint="default" w:ascii="Arial" w:hAnsi="Arial" w:eastAsia="宋体" w:cs="Arial"/>
          <w:b/>
          <w:bCs/>
          <w:color w:val="auto"/>
          <w:sz w:val="28"/>
          <w:szCs w:val="28"/>
          <w:rtl w:val="0"/>
          <w:lang w:val="en-US" w:eastAsia="zh-CN"/>
        </w:rPr>
        <w:t>MAYO</w:t>
      </w:r>
      <w:r>
        <w:rPr>
          <w:rFonts w:hint="default" w:ascii="Arial" w:hAnsi="Arial" w:cs="Arial"/>
          <w:b/>
          <w:bCs/>
          <w:color w:val="auto"/>
          <w:sz w:val="28"/>
          <w:szCs w:val="28"/>
          <w:rtl w:val="0"/>
        </w:rPr>
        <w:t xml:space="preserve"> de 2026, Numero del Contrato: GHCH202</w:t>
      </w:r>
      <w:r>
        <w:rPr>
          <w:rFonts w:hint="eastAsia" w:ascii="Arial" w:hAnsi="Arial" w:eastAsia="宋体" w:cs="Arial"/>
          <w:b/>
          <w:bCs/>
          <w:color w:val="auto"/>
          <w:sz w:val="28"/>
          <w:szCs w:val="28"/>
          <w:rtl w:val="0"/>
          <w:lang w:val="en-US" w:eastAsia="zh-CN"/>
        </w:rPr>
        <w:t>6-027</w:t>
      </w:r>
    </w:p>
    <w:p w14:paraId="00000002">
      <w:pPr>
        <w:rPr>
          <w:rFonts w:hint="default" w:ascii="Calibri" w:hAnsi="Calibri" w:cs="Calibri"/>
          <w:sz w:val="28"/>
          <w:szCs w:val="28"/>
        </w:rPr>
      </w:pPr>
    </w:p>
    <w:p w14:paraId="00000003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REUNIDOS</w:t>
      </w:r>
    </w:p>
    <w:p w14:paraId="00000004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De una parte:</w:t>
      </w:r>
    </w:p>
    <w:p w14:paraId="00000005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GREEN HUB CUSTOM HANDLING, S.L. (en adelante, “GHUB”), con NIF B21632740 y domicilio en Av. de la Industria 4A, 28823 Coslada (Madrid), debidamente representada por D. JAVIER COTELO MIRALLES, con DNI 53672555P en su condición de Administrador.</w:t>
      </w:r>
    </w:p>
    <w:p w14:paraId="00000006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Y de otra:</w:t>
      </w:r>
    </w:p>
    <w:p w14:paraId="00000007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(en adelante,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), con número de registro mercantil o equivalente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 domicilio en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, debidamente facultado para este </w:t>
      </w:r>
      <w:bookmarkStart w:id="0" w:name="_GoBack"/>
      <w:bookmarkEnd w:id="0"/>
      <w:r>
        <w:rPr>
          <w:rFonts w:hint="default" w:ascii="Calibri" w:hAnsi="Calibri" w:cs="Calibri"/>
          <w:sz w:val="28"/>
          <w:szCs w:val="28"/>
          <w:rtl w:val="0"/>
        </w:rPr>
        <w:t xml:space="preserve">acto por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INTERNACIONAL],</w:t>
      </w:r>
      <w:r>
        <w:rPr>
          <w:rFonts w:hint="default" w:ascii="Calibri" w:hAnsi="Calibri" w:cs="Calibri"/>
          <w:sz w:val="28"/>
          <w:szCs w:val="28"/>
          <w:rtl w:val="0"/>
        </w:rPr>
        <w:t xml:space="preserve"> con pasaporte/documento identificativo nº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>, en su condición de Administrador.</w:t>
      </w:r>
    </w:p>
    <w:p w14:paraId="00000008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actúa como coordinador logístico y comercial de operaciones internacionales de transporte y operaciones aduaneras vinculadas a importadores establecidos en la Unión Europea. </w:t>
      </w:r>
    </w:p>
    <w:p w14:paraId="00000009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Ambas partes, reconociéndose capacidad legal suficiente, ACUERDAN formalizar el presente contrato, que se regirá por las siguientes:</w:t>
      </w:r>
    </w:p>
    <w:p w14:paraId="0000000A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CLÁUSULAS</w:t>
      </w:r>
    </w:p>
    <w:p w14:paraId="0000000B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1. Objeto del contrato</w:t>
      </w:r>
    </w:p>
    <w:p w14:paraId="0000000C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El presente contrato tiene por objeto la prestación por parte de GHUB de servicios de gestión y tramitación aduanera relacionados con operaciones de importación, exportación y demás regímenes aduaneros en territorio aduanero de la Unión Europea, y en particular en España.</w:t>
      </w:r>
    </w:p>
    <w:p w14:paraId="0000000D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Dichos servicios podrán ser solicitados y coordinados por el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en relación con operaciones vinculadas a importadores establecidos en la Unión Europea.</w:t>
      </w:r>
    </w:p>
    <w:p w14:paraId="0000000E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GHUB actuará exclusivamente como prestador de servicios aduaneros y de representación aduanera, conforme a las instrucciones y documentación facilitadas por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el importador correspondiente, sin participar en la relación comercial subyacente, compraventa internacional de mercancías, fijación de precios, condiciones comerciales o transmisión de la propiedad de las mercancías.</w:t>
      </w:r>
    </w:p>
    <w:p w14:paraId="0000000F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reconoce que las operaciones objeto del presente contrato podrán implicar la intervención de terceros importadores establecidos en la Unión Europea, quienes mantendrán en todo caso su condición de importadores, declarantes y sujetos obligados conforme a la normativa aduanera y tributaria aplicable.</w:t>
      </w:r>
    </w:p>
    <w:p w14:paraId="00000010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2. Modalidad de representación aduanera</w:t>
      </w:r>
    </w:p>
    <w:p w14:paraId="00000011">
      <w:pPr>
        <w:spacing w:after="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2.1 </w:t>
      </w:r>
      <w:r>
        <w:rPr>
          <w:rFonts w:hint="default" w:ascii="Calibri" w:hAnsi="Calibri" w:cs="Calibri"/>
          <w:sz w:val="28"/>
          <w:szCs w:val="28"/>
          <w:rtl w:val="0"/>
        </w:rPr>
        <w:t xml:space="preserve">GHUB actuará exclusivamente en modalidad de representación directa, conforme al artículo 18 del Código Aduanero de la Unión (CAU), en nombre y por cuenta del importador establecido en la Unión Europea que figure en cada operación aduanera. </w:t>
      </w:r>
    </w:p>
    <w:p w14:paraId="00000012">
      <w:pPr>
        <w:spacing w:after="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br w:type="textWrapping"/>
      </w:r>
      <w:r>
        <w:rPr>
          <w:rFonts w:hint="default" w:ascii="Calibri" w:hAnsi="Calibri" w:cs="Calibri"/>
          <w:b/>
          <w:bCs/>
          <w:sz w:val="28"/>
          <w:szCs w:val="28"/>
          <w:rtl w:val="0"/>
        </w:rPr>
        <w:t>2.2</w:t>
      </w:r>
      <w:r>
        <w:rPr>
          <w:rFonts w:hint="default" w:ascii="Calibri" w:hAnsi="Calibri" w:cs="Calibri"/>
          <w:sz w:val="28"/>
          <w:szCs w:val="28"/>
          <w:rtl w:val="0"/>
        </w:rPr>
        <w:t xml:space="preserve"> En consecuencia, el importador que figure en cada declaración aduanera ostentará la condición de declarante, deudor de la deuda aduanera y, en su caso, sujeto pasivo de los tributos que resulten aplicables conforme a la normativa aduanera y tributaria vigente, así como la responsabilidad derivada de cualquier incumplimiento, inexactitud o irregularidad imputable a la información, documentación o instrucciones facilitadas en relación con la operación. </w:t>
      </w:r>
    </w:p>
    <w:p w14:paraId="00000013">
      <w:pPr>
        <w:spacing w:after="0"/>
        <w:rPr>
          <w:rFonts w:hint="default" w:ascii="Calibri" w:hAnsi="Calibri" w:cs="Calibri"/>
          <w:sz w:val="28"/>
          <w:szCs w:val="28"/>
        </w:rPr>
      </w:pPr>
    </w:p>
    <w:p w14:paraId="00000014">
      <w:pPr>
        <w:spacing w:after="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2.3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 reconoce expresamente que su intervención como coordinador logístico y comercial de la operación no altera la condición jurídica del importador declarado ante las autoridades aduaneras y fiscales, ni desplaza las obligaciones, responsabilidades o deberes legales que correspondan a dicho importador conforme a la normativa aplicable. </w:t>
      </w:r>
    </w:p>
    <w:p w14:paraId="00000015">
      <w:pPr>
        <w:spacing w:after="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br w:type="textWrapping"/>
      </w: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2.4 </w:t>
      </w:r>
      <w:r>
        <w:rPr>
          <w:rFonts w:hint="default" w:ascii="Calibri" w:hAnsi="Calibri" w:cs="Calibri"/>
          <w:sz w:val="28"/>
          <w:szCs w:val="28"/>
          <w:rtl w:val="0"/>
        </w:rPr>
        <w:t xml:space="preserve">GHUB tramitará las declaraciones aduaneras conforme a las instrucciones, documentación e información facilitadas por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por el importador correspondiente, sin participar en la relación comercial subyacente ni asumir responsabilidad sobre la veracidad material, exactitud o autenticidad de la información y documentación recibidas, sin perjuicio de las obligaciones legalmente previstas. </w:t>
      </w:r>
    </w:p>
    <w:p w14:paraId="00000016">
      <w:pPr>
        <w:spacing w:after="0"/>
        <w:rPr>
          <w:rFonts w:hint="default" w:ascii="Calibri" w:hAnsi="Calibri" w:cs="Calibri"/>
          <w:sz w:val="28"/>
          <w:szCs w:val="28"/>
        </w:rPr>
      </w:pPr>
    </w:p>
    <w:p w14:paraId="00000017">
      <w:pPr>
        <w:spacing w:after="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2.5</w:t>
      </w:r>
      <w:r>
        <w:rPr>
          <w:rFonts w:hint="default" w:ascii="Calibri" w:hAnsi="Calibri" w:cs="Calibri"/>
          <w:sz w:val="28"/>
          <w:szCs w:val="28"/>
          <w:rtl w:val="0"/>
        </w:rPr>
        <w:t xml:space="preserve"> Las partes reconocen que toda persona que intervenga directa o indirectamente en la realización de formalidades o controles aduaneros deberá colaborar con las autoridades aduaneras y facilitar la documentación, información y asistencia que resulte exigible conforme al artículo 15 del Código Aduanero de la Unión (CAU). </w:t>
      </w:r>
    </w:p>
    <w:p w14:paraId="00000018">
      <w:pPr>
        <w:spacing w:after="0"/>
        <w:rPr>
          <w:rFonts w:hint="default" w:ascii="Calibri" w:hAnsi="Calibri" w:cs="Calibri"/>
          <w:sz w:val="28"/>
          <w:szCs w:val="28"/>
        </w:rPr>
      </w:pPr>
    </w:p>
    <w:p w14:paraId="00000019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3. Poder de representación</w:t>
      </w:r>
    </w:p>
    <w:p w14:paraId="0000001A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3.1</w:t>
      </w:r>
      <w:r>
        <w:rPr>
          <w:rFonts w:hint="default" w:ascii="Calibri" w:hAnsi="Calibri" w:cs="Calibri"/>
          <w:sz w:val="28"/>
          <w:szCs w:val="28"/>
          <w:rtl w:val="0"/>
        </w:rPr>
        <w:t xml:space="preserve"> El importador establecido en la Unión Europea que figure en cada operación deberá otorgar a GHUB el correspondiente poder de representación aduanera, válido y suficiente conforme a la normativa aplicable, con carácter previo a cualquier actuación ante las autoridades aduaneras. </w:t>
      </w:r>
    </w:p>
    <w:p w14:paraId="0000001B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3.2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 xml:space="preserve"> garantiza que dispone de autorización suficiente para coordinar las operaciones, transmitir instrucciones y facilitar documentación en nombre del importador correspondiente, sin que ello altere la condición jurídica de dicho importador como representado y declarante ante las autoridades aduaneras. </w:t>
      </w:r>
    </w:p>
    <w:p w14:paraId="0000001C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3.3 </w:t>
      </w:r>
      <w:r>
        <w:rPr>
          <w:rFonts w:hint="default" w:ascii="Calibri" w:hAnsi="Calibri" w:cs="Calibri"/>
          <w:sz w:val="28"/>
          <w:szCs w:val="28"/>
          <w:rtl w:val="0"/>
        </w:rPr>
        <w:t xml:space="preserve">En caso de ausencia, insuficiencia o irregularidad del poder de representación o de la documentación necesaria para la correcta tramitación aduanera, GHUB podrá suspender o rechazar la prestación de sus servicios sin asumir responsabilidad alguna por los perjuicios o retrasos que pudieran derivarse de ello. </w:t>
      </w:r>
    </w:p>
    <w:p w14:paraId="0000001D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4. Obligaciones documentales e informativas</w:t>
      </w:r>
    </w:p>
    <w:p w14:paraId="0000001E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4.1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el importador correspondiente se obligan a facilitar a GHUB, con carácter previo y en tiempo útil, toda la documentación, información e instrucciones necesarias para la correcta tramitación de las operaciones aduaneras, incluyendo, entre otros:</w:t>
      </w:r>
    </w:p>
    <w:p w14:paraId="0000001F">
      <w:pPr>
        <w:numPr>
          <w:ilvl w:val="0"/>
          <w:numId w:val="5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Factura comercial</w:t>
      </w:r>
    </w:p>
    <w:p w14:paraId="00000020">
      <w:pPr>
        <w:numPr>
          <w:ilvl w:val="0"/>
          <w:numId w:val="5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Documento de transporte</w:t>
      </w:r>
    </w:p>
    <w:p w14:paraId="00000021">
      <w:pPr>
        <w:numPr>
          <w:ilvl w:val="0"/>
          <w:numId w:val="5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Packing List</w:t>
      </w:r>
    </w:p>
    <w:p w14:paraId="00000022">
      <w:pPr>
        <w:numPr>
          <w:ilvl w:val="0"/>
          <w:numId w:val="5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Justificantes de pago</w:t>
      </w:r>
    </w:p>
    <w:p w14:paraId="00000023">
      <w:pPr>
        <w:numPr>
          <w:ilvl w:val="0"/>
          <w:numId w:val="5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Fichas técnicas, catálogos o descripciones de producto</w:t>
      </w:r>
    </w:p>
    <w:p w14:paraId="00000024">
      <w:pPr>
        <w:numPr>
          <w:ilvl w:val="0"/>
          <w:numId w:val="5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Certificados, licencias o autorizaciones administrativas</w:t>
      </w:r>
    </w:p>
    <w:p w14:paraId="00000025">
      <w:pPr>
        <w:numPr>
          <w:ilvl w:val="0"/>
          <w:numId w:val="5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Cualquier otra documentación o información exigida por la normativa aplicable o requerida por las autoridades competentes</w:t>
      </w:r>
    </w:p>
    <w:p w14:paraId="00000026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4.2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garantiza, tanto en nombre propio como respecto de la documentación e información facilitadas por terceros importadores o intervinientes en la operación, la exactitud, autenticidad, integridad, suficiencia y coherencia de toda la documentación, información e instrucciones transmitidas a GHUB, con independencia del medio utilizado para su remisión, incluyendo medios electrónicos o telemáticos.</w:t>
      </w:r>
    </w:p>
    <w:p w14:paraId="00000027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4.3 </w:t>
      </w:r>
      <w:r>
        <w:rPr>
          <w:rFonts w:hint="default" w:ascii="Calibri" w:hAnsi="Calibri" w:cs="Calibri"/>
          <w:sz w:val="28"/>
          <w:szCs w:val="28"/>
          <w:rtl w:val="0"/>
        </w:rPr>
        <w:t>GHUB podrá solicitar en cualquier momento documentación adicional, aclaraciones o confirmaciones cuando resulte necesario para el cumplimiento de la normativa aduanera, tributaria o comercial aplicable, o cuando existan dudas razonables sobre la veracidad, coherencia o suficiencia de la información recibida.</w:t>
      </w:r>
    </w:p>
    <w:p w14:paraId="00000028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4.4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el importador correspondiente se obligan a colaborar con GHUB y con las autoridades aduaneras ante cualquier control, comprobación, requerimiento o actuación administrativa relacionada con las operaciones objeto del presente contrato, facilitando toda la documentación, información y asistencia que resulte necesaria conforme a la normativa aplicable, incluyendo lo previsto en el artículo 15 del Código Aduanero de la Unión (CAU). </w:t>
      </w:r>
    </w:p>
    <w:p w14:paraId="00000029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4.5</w:t>
      </w:r>
      <w:r>
        <w:rPr>
          <w:rFonts w:hint="default" w:ascii="Calibri" w:hAnsi="Calibri" w:cs="Calibri"/>
          <w:sz w:val="28"/>
          <w:szCs w:val="28"/>
          <w:rtl w:val="0"/>
        </w:rPr>
        <w:t xml:space="preserve">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responderá frente a GHUB de cualquier perjuicio, coste, liquidación, sanción, recargo, interés, gasto administrativo o daño derivado de documentación, información o instrucciones incorrectas, falsas, incompletas, incoherentes o insuficientes facilitadas en relación con las operaciones aduaneras coordinadas por el mismo. </w:t>
      </w:r>
    </w:p>
    <w:p w14:paraId="0000002A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5. Clasificación arancelaria, valor y origen</w:t>
      </w:r>
    </w:p>
    <w:p w14:paraId="0000002B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5.1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el importador correspondiente facilitarán a GHUB la clasificación arancelaria de las mercancías, el valor en aduana, el origen declarado y cualquier documentación o información técnica, comercial o justificativa necesaria para la correcta tramitación aduanera de las operaciones, garantizando su exactitud, autenticidad, coherencia y suficiencia. </w:t>
      </w:r>
    </w:p>
    <w:p w14:paraId="0000002C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5.2 </w:t>
      </w:r>
      <w:r>
        <w:rPr>
          <w:rFonts w:hint="default" w:ascii="Calibri" w:hAnsi="Calibri" w:cs="Calibri"/>
          <w:sz w:val="28"/>
          <w:szCs w:val="28"/>
          <w:rtl w:val="0"/>
        </w:rPr>
        <w:t>GHUB podrá realizar revisiones razonables de la documentación e información recibidas y advertir sobre posibles incoherencias, riesgos o incidencias detectadas en relación con la clasificación arancelaria, el valor declarado, el origen de las mercancías o la aplicación de medidas arancelarias o no arancelarias.</w:t>
      </w:r>
    </w:p>
    <w:p w14:paraId="0000002D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Dichas advertencias tendrán carácter meramente informativo y preventivo, sin que impliquen validación, certificación o asunción de responsabilidad por parte de GHUB respecto de los datos facilitados.</w:t>
      </w:r>
    </w:p>
    <w:p w14:paraId="0000002E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5.3 </w:t>
      </w:r>
      <w:r>
        <w:rPr>
          <w:rFonts w:hint="default" w:ascii="Calibri" w:hAnsi="Calibri" w:cs="Calibri"/>
          <w:sz w:val="28"/>
          <w:szCs w:val="28"/>
          <w:rtl w:val="0"/>
        </w:rPr>
        <w:t xml:space="preserve">En caso de que GHUB detecte dudas razonables sobre la exactitud, coherencia, suficiencia o legalidad de la información o documentación facilitadas, podrá solicitar documentación adicional, aclaraciones o justificaciones complementarias, así como suspender o rechazar la tramitación de la operación correspondiente cuando considere que existen riesgos regulatorios, aduaneros, tributarios o sancionadores relevantes. </w:t>
      </w:r>
    </w:p>
    <w:p w14:paraId="0000002F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5.4 </w:t>
      </w:r>
      <w:r>
        <w:rPr>
          <w:rFonts w:hint="default" w:ascii="Calibri" w:hAnsi="Calibri" w:cs="Calibri"/>
          <w:sz w:val="28"/>
          <w:szCs w:val="28"/>
          <w:rtl w:val="0"/>
        </w:rPr>
        <w:t xml:space="preserve">La decisión final sobre la clasificación arancelaria, el valor declarado, el origen de las mercancías y demás elementos determinantes de la declaración aduanera corresponderá en todo caso al importador correspondiente, quien asumirá íntegramente cualquier regularización, liquidación complementaria, sanción, recargo, interés, medida restrictiva, consecuencia administrativa o coste derivado de inexactitudes, incoherencias o incumplimientos relacionados con dichos elementos. </w:t>
      </w:r>
    </w:p>
    <w:p w14:paraId="00000030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6. Medidas no arancelarias y mercancía restringida</w:t>
      </w:r>
    </w:p>
    <w:p w14:paraId="00000031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6.1</w:t>
      </w:r>
      <w:r>
        <w:rPr>
          <w:rFonts w:hint="default" w:ascii="Calibri" w:hAnsi="Calibri" w:cs="Calibri"/>
          <w:sz w:val="28"/>
          <w:szCs w:val="28"/>
          <w:rtl w:val="0"/>
        </w:rPr>
        <w:t xml:space="preserve">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 y/o el importador correspondiente garantizan que las mercancías objeto de las operaciones cumplen con toda la normativa aduanera, comercial, técnica, sanitaria, fitosanitaria, medioambiental y de seguridad aplicable en la Unión Europea y en España, incluyendo, entre otras, la relativa a productos sujetos a controles SOIVRE, marcado CE, CITES, productos de doble uso, productos sanitarios, seguridad de producto, RAEE, baterías, gases fluorados, sustancias restringidas o cualquier otra medida arancelaria o no arancelaria aplicable. </w:t>
      </w:r>
    </w:p>
    <w:p w14:paraId="00000032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6.2</w:t>
      </w:r>
      <w:r>
        <w:rPr>
          <w:rFonts w:hint="default" w:ascii="Calibri" w:hAnsi="Calibri" w:cs="Calibri"/>
          <w:sz w:val="28"/>
          <w:szCs w:val="28"/>
          <w:rtl w:val="0"/>
        </w:rPr>
        <w:t xml:space="preserve">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 y/o el importador correspondiente se obligan a facilitar a GHUB toda la documentación, certificados, licencias, autorizaciones, declaraciones responsables, fichas técnicas o información adicional que resulte necesaria para acreditar el cumplimiento de la normativa aplicable a las mercancías.</w:t>
      </w:r>
    </w:p>
    <w:p w14:paraId="00000033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6.3</w:t>
      </w:r>
      <w:r>
        <w:rPr>
          <w:rFonts w:hint="default" w:ascii="Calibri" w:hAnsi="Calibri" w:cs="Calibri"/>
          <w:sz w:val="28"/>
          <w:szCs w:val="28"/>
          <w:rtl w:val="0"/>
        </w:rPr>
        <w:t xml:space="preserve"> GHUB no asumirá funciones de fabricante, importador técnico, laboratorio, organismo certificador ni entidad verificadora del cumplimiento material o técnico de las mercancías, limitándose exclusivamente a la gestión y tramitación aduanera de las operaciones conforme a la documentación e información facilitadas. </w:t>
      </w:r>
    </w:p>
    <w:p w14:paraId="00000034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6.4</w:t>
      </w:r>
      <w:r>
        <w:rPr>
          <w:rFonts w:hint="default" w:ascii="Calibri" w:hAnsi="Calibri" w:cs="Calibri"/>
          <w:sz w:val="28"/>
          <w:szCs w:val="28"/>
          <w:rtl w:val="0"/>
        </w:rPr>
        <w:t xml:space="preserve"> GHUB podrá suspender, paralizar o rechazar cualquier operación cuando existan dudas razonables sobre la legalidad, seguridad, clasificación regulatoria o cumplimiento normativo de las mercancías, o cuando no se aporte documentación suficiente para acreditar dicho cumplimiento, sin asumir responsabilidad alguna por los costes, retrasos o perjuicios que pudieran derivarse de ello. </w:t>
      </w:r>
    </w:p>
    <w:p w14:paraId="00000035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7. Propiedad intelectual</w:t>
      </w:r>
    </w:p>
    <w:p w14:paraId="00000036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7.1.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el importador correspondiente garantizan que las mercancías objeto de las operaciones no infringen derechos de propiedad intelectual o industrial de terceros, incluyendo, entre otros, marcas, diseños, patentes, derechos de autor, modelos industriales o cualesquiera otros derechos protegidos conforme a la normativa aplicable. </w:t>
      </w:r>
    </w:p>
    <w:p w14:paraId="00000037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7.2.</w:t>
      </w:r>
      <w:r>
        <w:rPr>
          <w:rFonts w:hint="default" w:ascii="Calibri" w:hAnsi="Calibri" w:cs="Calibri"/>
          <w:sz w:val="28"/>
          <w:szCs w:val="28"/>
          <w:rtl w:val="0"/>
        </w:rPr>
        <w:t xml:space="preserve"> Asimismo, declaran disponer de las autorizaciones, licencias o derechos necesarios para la fabricación, comercialización, distribución, importación o utilización de las mercancías objeto de despacho aduanero. </w:t>
      </w:r>
    </w:p>
    <w:p w14:paraId="00000038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7.3. </w:t>
      </w:r>
      <w:r>
        <w:rPr>
          <w:rFonts w:hint="default" w:ascii="Calibri" w:hAnsi="Calibri" w:cs="Calibri"/>
          <w:sz w:val="28"/>
          <w:szCs w:val="28"/>
          <w:rtl w:val="0"/>
        </w:rPr>
        <w:t>GHUB podrá suspender, paralizar o rechazar la tramitación de cualquier operación respecto de la cual existan indicios razonables de posible infracción de derechos de propiedad intelectual o industrial, o cuando considere insuficiente la documentación aportada para acreditar la legalidad de las mercancías.</w:t>
      </w:r>
    </w:p>
    <w:p w14:paraId="00000039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7.4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el importador correspondiente asumirán íntegramente cualquier responsabilidad, coste, gasto, daño, retención, inmovilización, destrucción, intervención aduanera, sanción o reclamación derivada de una eventual infracción de derechos de propiedad intelectual o industrial relacionada con las mercancías objeto de las operaciones, manteniendo indemne a GHUB frente a cualquier consecuencia económica o jurídica derivada de las mismas. </w:t>
      </w:r>
      <w:r>
        <w:rPr>
          <w:rFonts w:hint="default" w:ascii="Calibri" w:hAnsi="Calibri" w:cs="Calibri"/>
          <w:sz w:val="28"/>
          <w:szCs w:val="28"/>
          <w:rtl w:val="0"/>
        </w:rPr>
        <w:tab/>
      </w:r>
    </w:p>
    <w:p w14:paraId="0000003A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8. Facultades de GHUB ante incumplimientos o riesgos regulatorios </w:t>
      </w:r>
    </w:p>
    <w:p w14:paraId="0000003B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8.1</w:t>
      </w:r>
      <w:r>
        <w:rPr>
          <w:rFonts w:hint="default" w:ascii="Calibri" w:hAnsi="Calibri" w:cs="Calibri"/>
          <w:sz w:val="28"/>
          <w:szCs w:val="28"/>
          <w:rtl w:val="0"/>
        </w:rPr>
        <w:t xml:space="preserve"> GHUB podrá suspender, paralizar, rechazar o cesar la tramitación de cualquier operación cuando:</w:t>
      </w:r>
    </w:p>
    <w:p w14:paraId="0000003C">
      <w:pPr>
        <w:numPr>
          <w:ilvl w:val="0"/>
          <w:numId w:val="6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Existan incumplimientos contractuales o normativos imputables al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al importador correspondiente</w:t>
      </w:r>
    </w:p>
    <w:p w14:paraId="0000003D">
      <w:pPr>
        <w:numPr>
          <w:ilvl w:val="0"/>
          <w:numId w:val="6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Se detecten incoherencias, irregularidades o indicios razonables de incumplimiento de la normativa aplicable</w:t>
      </w:r>
    </w:p>
    <w:p w14:paraId="0000003E">
      <w:pPr>
        <w:numPr>
          <w:ilvl w:val="0"/>
          <w:numId w:val="6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No se facilite documentación o información suficiente</w:t>
      </w:r>
    </w:p>
    <w:p w14:paraId="0000003F">
      <w:pPr>
        <w:numPr>
          <w:ilvl w:val="0"/>
          <w:numId w:val="6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Existan riesgos regulatorios, aduaneros, tributarios, sancionadores o reputacionales relevantes para GHUB</w:t>
      </w:r>
    </w:p>
    <w:p w14:paraId="00000040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8.2 </w:t>
      </w:r>
      <w:r>
        <w:rPr>
          <w:rFonts w:hint="default" w:ascii="Calibri" w:hAnsi="Calibri" w:cs="Calibri"/>
          <w:sz w:val="28"/>
          <w:szCs w:val="28"/>
          <w:rtl w:val="0"/>
        </w:rPr>
        <w:t>En tales supuestos, GHUB podrá adoptar las medidas que considere razonablemente necesarias para la protección de sus intereses y el cumplimiento de la normativa aplicable, incluyendo, entre otras:</w:t>
      </w:r>
    </w:p>
    <w:p w14:paraId="00000041">
      <w:pPr>
        <w:numPr>
          <w:ilvl w:val="0"/>
          <w:numId w:val="2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Rechazar la mercancía</w:t>
      </w:r>
    </w:p>
    <w:p w14:paraId="00000042">
      <w:pPr>
        <w:numPr>
          <w:ilvl w:val="0"/>
          <w:numId w:val="2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No presentar la declaración aduanera</w:t>
      </w:r>
    </w:p>
    <w:p w14:paraId="00000043">
      <w:pPr>
        <w:numPr>
          <w:ilvl w:val="0"/>
          <w:numId w:val="2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Suspender servicios</w:t>
      </w:r>
    </w:p>
    <w:p w14:paraId="00000044">
      <w:pPr>
        <w:numPr>
          <w:ilvl w:val="0"/>
          <w:numId w:val="2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Solicitar, cuando proceda, la rectificación, invalidación o regularización de declaraciones aduaneras</w:t>
      </w:r>
    </w:p>
    <w:p w14:paraId="00000045">
      <w:pPr>
        <w:numPr>
          <w:ilvl w:val="0"/>
          <w:numId w:val="2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Gestionar operaciones de reexportación, destrucción, abandono o cualquier otra medida autorizada legalmente</w:t>
      </w:r>
    </w:p>
    <w:p w14:paraId="00000046">
      <w:pPr>
        <w:numPr>
          <w:ilvl w:val="0"/>
          <w:numId w:val="2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Resolver el presente contrato de forma inmediata</w:t>
      </w:r>
    </w:p>
    <w:p w14:paraId="00000047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8.3 </w:t>
      </w:r>
      <w:r>
        <w:rPr>
          <w:rFonts w:hint="default" w:ascii="Calibri" w:hAnsi="Calibri" w:cs="Calibri"/>
          <w:sz w:val="28"/>
          <w:szCs w:val="28"/>
          <w:rtl w:val="0"/>
        </w:rPr>
        <w:t xml:space="preserve">El ejercicio de las facultades previstas en la presente cláusula no generará responsabilidad alguna para GHUB por los retrasos, costes, almacenajes, demoras, pérdidas comerciales o perjuicios que pudieran derivarse para el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>, el importador o terceros intervinientes en la operación.</w:t>
      </w:r>
    </w:p>
    <w:p w14:paraId="00000048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9. Gastos, tributos y responsabilidad económica</w:t>
      </w:r>
    </w:p>
    <w:p w14:paraId="00000049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9.1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y/o el importador correspondiente asumirán íntegramente todos los derechos arancelarios, IVA a la importación, Impuestos Especiales, recargos, intereses, almacenajes, inspecciones, demoras, gastos portuarios, gastos administrativos, costes logísticos, honorarios profesionales y cualesquiera otros costes o tributos derivados directa o indirectamente de las operaciones objeto del presente contrato. </w:t>
      </w:r>
    </w:p>
    <w:p w14:paraId="0000004A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9.2 </w:t>
      </w:r>
      <w:r>
        <w:rPr>
          <w:rFonts w:hint="default" w:ascii="Calibri" w:hAnsi="Calibri" w:cs="Calibri"/>
          <w:sz w:val="28"/>
          <w:szCs w:val="28"/>
          <w:rtl w:val="0"/>
        </w:rPr>
        <w:t xml:space="preserve">En aquellos casos en que GHUB adelante cantidades por cuenta del importador o del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, incluyendo tributos, garantías, inspecciones, almacenajes o cualquier otro gasto asociado a la operación, dichas cantidades deberán ser reembolsadas de forma inmediata a GHUB desde el momento de su requerimiento o facturación. </w:t>
      </w:r>
    </w:p>
    <w:p w14:paraId="0000004B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9.3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 xml:space="preserve">reconoce expresamente que la utilización por parte de GHUB de garantías globales, cuentas de aplazamiento o mecanismos de pago vinculados a operaciones aduaneras no implica asunción de la deuda aduanera, tributaria o comercial por parte de GHUB, manteniéndose en todo caso la responsabilidad económica del importador correspondiente y, en su caso, del propio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 xml:space="preserve">conforme al presente contrato. </w:t>
      </w:r>
    </w:p>
    <w:p w14:paraId="0000004C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9.4 </w:t>
      </w:r>
      <w:r>
        <w:rPr>
          <w:rFonts w:hint="default" w:ascii="Calibri" w:hAnsi="Calibri" w:cs="Calibri"/>
          <w:sz w:val="28"/>
          <w:szCs w:val="28"/>
          <w:rtl w:val="0"/>
        </w:rPr>
        <w:t>El incumplimiento de las obligaciones de pago facultará a GHUB para suspender inmediatamente la prestación de servicios, retener documentación no oficial pendiente de entrega y rechazar nuevas operaciones hasta la completa regularización de las cantidades adeudadas, sin asumir responsabilidad alguna por los perjuicios o retrasos derivados de dicha suspensión.</w:t>
      </w:r>
    </w:p>
    <w:p w14:paraId="0000004D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9.5</w:t>
      </w:r>
      <w:r>
        <w:rPr>
          <w:rFonts w:hint="default" w:ascii="Calibri" w:hAnsi="Calibri" w:cs="Calibri"/>
          <w:sz w:val="28"/>
          <w:szCs w:val="28"/>
          <w:rtl w:val="0"/>
        </w:rPr>
        <w:t xml:space="preserve"> Las partes reconocen expresamente que las condiciones comerciales pactadas entre vendedor y comprador, incluyendo operaciones realizadas bajo Incoterm DDP o similares, no alteran las obligaciones legales, tributarias y económicas asumidas por el importador declarado ni las responsabilidades contractuales asumidas por el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 xml:space="preserve">frente a GHUB. </w:t>
      </w:r>
    </w:p>
    <w:p w14:paraId="0000004E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10. Cláusula de indemnidad</w:t>
      </w:r>
    </w:p>
    <w:p w14:paraId="0000004F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10.1</w:t>
      </w:r>
      <w:r>
        <w:rPr>
          <w:rFonts w:hint="default" w:ascii="Calibri" w:hAnsi="Calibri" w:cs="Calibri"/>
          <w:sz w:val="28"/>
          <w:szCs w:val="28"/>
          <w:rtl w:val="0"/>
        </w:rPr>
        <w:t xml:space="preserve">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se obliga a indemnizar, defender y mantener indemne a GHUB frente a cualquier liquidación, sanción, reclamación, requerimiento, regularización, daño, perjuicio, coste, gasto o responsabilidad derivada directa o indirectamente de:</w:t>
      </w:r>
    </w:p>
    <w:p w14:paraId="00000050">
      <w:pPr>
        <w:numPr>
          <w:ilvl w:val="0"/>
          <w:numId w:val="7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Información, documentación o instrucciones incorrectas, falsas, incompletas, insuficientes o incoherentes</w:t>
      </w:r>
    </w:p>
    <w:p w14:paraId="00000051">
      <w:pPr>
        <w:numPr>
          <w:ilvl w:val="0"/>
          <w:numId w:val="7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Incumplimientos de la normativa aduanera, tributaria, comercial, técnica o regulatoria aplicable</w:t>
      </w:r>
    </w:p>
    <w:p w14:paraId="00000052">
      <w:pPr>
        <w:numPr>
          <w:ilvl w:val="0"/>
          <w:numId w:val="7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Inexactitudes relativas a clasificación arancelaria, valor en aduana, origen, restricciones o medidas no arancelarias</w:t>
      </w:r>
    </w:p>
    <w:p w14:paraId="00000053">
      <w:pPr>
        <w:numPr>
          <w:ilvl w:val="0"/>
          <w:numId w:val="7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Infracciones relacionadas con propiedad intelectual o industrial</w:t>
      </w:r>
    </w:p>
    <w:p w14:paraId="00000054">
      <w:pPr>
        <w:numPr>
          <w:ilvl w:val="0"/>
          <w:numId w:val="7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Actuaciones u omisiones imputables al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>, al importador correspondiente o a terceros vinculados a la operación</w:t>
      </w:r>
    </w:p>
    <w:p w14:paraId="00000055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10.2</w:t>
      </w:r>
      <w:r>
        <w:rPr>
          <w:rFonts w:hint="default" w:ascii="Calibri" w:hAnsi="Calibri" w:cs="Calibri"/>
          <w:sz w:val="28"/>
          <w:szCs w:val="28"/>
          <w:rtl w:val="0"/>
        </w:rPr>
        <w:t xml:space="preserve"> La obligación de indemnidad comprenderá igualmente:</w:t>
      </w:r>
    </w:p>
    <w:p w14:paraId="00000056">
      <w:pPr>
        <w:numPr>
          <w:ilvl w:val="0"/>
          <w:numId w:val="1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Derechos arancelarios, tributos, recargos e intereses</w:t>
      </w:r>
    </w:p>
    <w:p w14:paraId="00000057">
      <w:pPr>
        <w:numPr>
          <w:ilvl w:val="0"/>
          <w:numId w:val="1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Gastos de defensa jurídica y asistencia profesional</w:t>
      </w:r>
    </w:p>
    <w:p w14:paraId="00000058">
      <w:pPr>
        <w:numPr>
          <w:ilvl w:val="0"/>
          <w:numId w:val="1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Costes derivados de inspecciones, controles, auditorías o requerimientos administrativos</w:t>
      </w:r>
    </w:p>
    <w:p w14:paraId="00000059">
      <w:pPr>
        <w:numPr>
          <w:ilvl w:val="0"/>
          <w:numId w:val="1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Costes internos de gestión y cumplimiento asumidos por GHUB</w:t>
      </w:r>
    </w:p>
    <w:p w14:paraId="0000005A">
      <w:pPr>
        <w:numPr>
          <w:ilvl w:val="0"/>
          <w:numId w:val="1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Gastos de almacenaje, inmovilización, destrucción, devolución o regularización de mercancías</w:t>
      </w:r>
    </w:p>
    <w:p w14:paraId="0000005B">
      <w:pPr>
        <w:numPr>
          <w:ilvl w:val="0"/>
          <w:numId w:val="1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Daños reputacionales o regulatorios razonablemente acreditables, incluyendo aquellos que pudieran afectar al perfil de cumplimiento normativo de GHUB o a la obtención, mantenimiento o revisión de autorizaciones o certificaciones aduaneras, incluido el estatuto OEA</w:t>
      </w:r>
    </w:p>
    <w:p w14:paraId="0000005C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10.3 </w:t>
      </w:r>
      <w:r>
        <w:rPr>
          <w:rFonts w:hint="default" w:ascii="Calibri" w:hAnsi="Calibri" w:cs="Calibri"/>
          <w:sz w:val="28"/>
          <w:szCs w:val="28"/>
          <w:rtl w:val="0"/>
        </w:rPr>
        <w:t>La presente obligación de indemnidad subsistirá incluso después de la finalización del presente contrato respecto de operaciones tramitadas durante su vigencia.</w:t>
      </w:r>
    </w:p>
    <w:p w14:paraId="0000005D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11. Cláusula penal por incumplimiento</w:t>
      </w:r>
    </w:p>
    <w:p w14:paraId="0000005E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11.1 </w:t>
      </w:r>
      <w:r>
        <w:rPr>
          <w:rFonts w:hint="default" w:ascii="Calibri" w:hAnsi="Calibri" w:cs="Calibri"/>
          <w:sz w:val="28"/>
          <w:szCs w:val="28"/>
          <w:rtl w:val="0"/>
        </w:rPr>
        <w:t xml:space="preserve">En caso de que, como consecuencia de acciones u omisiones imputables al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>, al importador correspondiente o a terceros vinculados a la operación coordinada por aquel, se produzca:</w:t>
      </w:r>
    </w:p>
    <w:p w14:paraId="0000005F">
      <w:pPr>
        <w:numPr>
          <w:ilvl w:val="0"/>
          <w:numId w:val="4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Una infracción administrativa aduanera, tributaria o comercial</w:t>
      </w:r>
    </w:p>
    <w:p w14:paraId="00000060">
      <w:pPr>
        <w:numPr>
          <w:ilvl w:val="0"/>
          <w:numId w:val="4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Una sanción o regularización administrativa</w:t>
      </w:r>
    </w:p>
    <w:p w14:paraId="00000061">
      <w:pPr>
        <w:numPr>
          <w:ilvl w:val="0"/>
          <w:numId w:val="4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La apertura de actuaciones inspectoras o procedimientos sancionadores</w:t>
      </w:r>
    </w:p>
    <w:p w14:paraId="00000062">
      <w:pPr>
        <w:numPr>
          <w:ilvl w:val="0"/>
          <w:numId w:val="4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O una reiteración de irregularidades que afecte razonablemente al perfil de cumplimiento normativo, reputacional o regulatorio de GHUB</w:t>
      </w:r>
    </w:p>
    <w:p w14:paraId="00000063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el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 xml:space="preserve"> abonará a GHUB, en concepto de cláusula penal, la cantidad de TRESCIENTOS EUROS (300 €) por cada incumplimiento suficientemente acreditado, sin perjuicio de daños adicionales acreditables.</w:t>
      </w:r>
    </w:p>
    <w:p w14:paraId="00000064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11.2 </w:t>
      </w:r>
      <w:r>
        <w:rPr>
          <w:rFonts w:hint="default" w:ascii="Calibri" w:hAnsi="Calibri" w:cs="Calibri"/>
          <w:sz w:val="28"/>
          <w:szCs w:val="28"/>
          <w:rtl w:val="0"/>
        </w:rPr>
        <w:t xml:space="preserve">La presente cláusula penal tendrá carácter disuasorio y compensatorio, y no sustituirá en ningún caso la obligación del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 xml:space="preserve">[OPERADOR LOGÍSTICO INTERNACIONAL] </w:t>
      </w:r>
      <w:r>
        <w:rPr>
          <w:rFonts w:hint="default" w:ascii="Calibri" w:hAnsi="Calibri" w:cs="Calibri"/>
          <w:sz w:val="28"/>
          <w:szCs w:val="28"/>
          <w:rtl w:val="0"/>
        </w:rPr>
        <w:t>de asumir íntegramente:</w:t>
      </w:r>
    </w:p>
    <w:p w14:paraId="00000065">
      <w:pPr>
        <w:numPr>
          <w:ilvl w:val="0"/>
          <w:numId w:val="3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Tributos</w:t>
      </w:r>
    </w:p>
    <w:p w14:paraId="00000066">
      <w:pPr>
        <w:numPr>
          <w:ilvl w:val="0"/>
          <w:numId w:val="3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Sanciones</w:t>
      </w:r>
    </w:p>
    <w:p w14:paraId="00000067">
      <w:pPr>
        <w:numPr>
          <w:ilvl w:val="0"/>
          <w:numId w:val="3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Regularizaciones</w:t>
      </w:r>
    </w:p>
    <w:p w14:paraId="00000068">
      <w:pPr>
        <w:numPr>
          <w:ilvl w:val="0"/>
          <w:numId w:val="3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Gastos</w:t>
      </w:r>
    </w:p>
    <w:p w14:paraId="00000069">
      <w:pPr>
        <w:numPr>
          <w:ilvl w:val="0"/>
          <w:numId w:val="3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Costes administrativos</w:t>
      </w:r>
    </w:p>
    <w:p w14:paraId="0000006A">
      <w:pPr>
        <w:numPr>
          <w:ilvl w:val="0"/>
          <w:numId w:val="3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Perjuicios económicos</w:t>
      </w:r>
    </w:p>
    <w:p w14:paraId="0000006B">
      <w:pPr>
        <w:numPr>
          <w:ilvl w:val="0"/>
          <w:numId w:val="3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Obligaciones de indemnidad previstas en el presente contrato</w:t>
      </w:r>
    </w:p>
    <w:p w14:paraId="0000006C">
      <w:pPr>
        <w:rPr>
          <w:rFonts w:hint="default" w:ascii="Calibri" w:hAnsi="Calibri" w:cs="Calibri"/>
          <w:sz w:val="28"/>
          <w:szCs w:val="28"/>
        </w:rPr>
      </w:pPr>
    </w:p>
    <w:p w14:paraId="0000006D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11.3 </w:t>
      </w:r>
      <w:r>
        <w:rPr>
          <w:rFonts w:hint="default" w:ascii="Calibri" w:hAnsi="Calibri" w:cs="Calibri"/>
          <w:sz w:val="28"/>
          <w:szCs w:val="28"/>
          <w:rtl w:val="0"/>
        </w:rPr>
        <w:t xml:space="preserve">La aplicación de la presente cláusula penal será compatible con el ejercicio por parte de GHUB de cualesquiera otras acciones legales, contractuales o indemnizatorias que pudieran corresponderle cuando los daños o perjuicios efectivamente sufridos superen el importe de la penalización establecida. </w:t>
      </w:r>
    </w:p>
    <w:p w14:paraId="0000006E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12. Cumplimiento normativo y estándares de compliance</w:t>
      </w:r>
    </w:p>
    <w:p w14:paraId="0000006F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12.1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reconoce que GHUB desarrolla su actividad bajo criterios estrictos de cumplimiento normativo, diligencia profesional y gestión del riesgo aduanero, tributario y regulatorio, debiendo cumplir con las obligaciones previstas en la normativa nacional y de la Unión Europea aplicable a las operaciones aduaneras y de comercio internacional. </w:t>
      </w:r>
    </w:p>
    <w:p w14:paraId="00000070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12.2 </w:t>
      </w:r>
      <w:r>
        <w:rPr>
          <w:rFonts w:hint="default" w:ascii="Calibri" w:hAnsi="Calibri" w:cs="Calibri"/>
          <w:sz w:val="28"/>
          <w:szCs w:val="28"/>
          <w:rtl w:val="0"/>
        </w:rPr>
        <w:t xml:space="preserve">Asimismo,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reconoce que determinadas actuaciones, irregularidades o incumplimientos vinculados a las operaciones coordinadas por el mismo pueden afectar negativamente al perfil de riesgo, historial de cumplimiento, reputación regulatoria o situación administrativa de GHUB ante las autoridades aduaneras y fiscales, incluyendo, en su caso, procedimientos relacionados con autorizaciones aduaneras, simplificaciones o el estatuto de Operador Económico Autorizado (OEA) previsto en el artículo 39 del Código Aduanero de la Unión (CAU). </w:t>
      </w:r>
    </w:p>
    <w:p w14:paraId="00000071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12.3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se compromete a colaborar de buena fe con GHUB en el cumplimiento de la normativa aplicable, facilitando la documentación, información y asistencia necesarias ante cualquier comprobación, requerimiento o actuación administrativa relacionada con las operaciones objeto del presente contrato. </w:t>
      </w:r>
    </w:p>
    <w:p w14:paraId="00000072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12.4 </w:t>
      </w:r>
      <w:r>
        <w:rPr>
          <w:rFonts w:hint="default" w:ascii="Calibri" w:hAnsi="Calibri" w:cs="Calibri"/>
          <w:sz w:val="28"/>
          <w:szCs w:val="28"/>
          <w:rtl w:val="0"/>
        </w:rPr>
        <w:t xml:space="preserve">Cualquier incumplimiento grave, reiterado o especialmente relevante de las obligaciones previstas en el presente contrato o en la normativa aplicable facultará a GHUB para suspender operaciones o resolver el contrato de forma inmediata, sin perjuicio de cualesquiera otras acciones o derechos que pudieran corresponderle. </w:t>
      </w:r>
    </w:p>
    <w:p w14:paraId="00000073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13. Duración y resolución</w:t>
      </w:r>
    </w:p>
    <w:p w14:paraId="00000074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13.1 </w:t>
      </w:r>
      <w:r>
        <w:rPr>
          <w:rFonts w:hint="default" w:ascii="Calibri" w:hAnsi="Calibri" w:cs="Calibri"/>
          <w:sz w:val="28"/>
          <w:szCs w:val="28"/>
          <w:rtl w:val="0"/>
        </w:rPr>
        <w:t xml:space="preserve">El presente contrato tendrá duración indefinida desde la fecha de su firma. </w:t>
      </w:r>
    </w:p>
    <w:p w14:paraId="00000075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13.2</w:t>
      </w:r>
      <w:r>
        <w:rPr>
          <w:rFonts w:hint="default" w:ascii="Calibri" w:hAnsi="Calibri" w:cs="Calibri"/>
          <w:sz w:val="28"/>
          <w:szCs w:val="28"/>
          <w:rtl w:val="0"/>
        </w:rPr>
        <w:t xml:space="preserve"> Cualquiera de las partes podrá resolver el presente contrato mediante comunicación escrita dirigida a la otra parte con un preaviso mínimo de QUINCE (15) días naturales. </w:t>
      </w:r>
    </w:p>
    <w:p w14:paraId="00000076">
      <w:pPr>
        <w:spacing w:before="240" w:after="24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13.3</w:t>
      </w:r>
      <w:r>
        <w:rPr>
          <w:rFonts w:hint="default" w:ascii="Calibri" w:hAnsi="Calibri" w:cs="Calibri"/>
          <w:sz w:val="28"/>
          <w:szCs w:val="28"/>
          <w:rtl w:val="0"/>
        </w:rPr>
        <w:t xml:space="preserve"> GHUB podrá suspender operaciones o resolver el contrato de forma inmediata, sin necesidad de preaviso, en cualquiera de los siguientes supuestos:</w:t>
      </w:r>
    </w:p>
    <w:p w14:paraId="00000077">
      <w:pPr>
        <w:numPr>
          <w:ilvl w:val="0"/>
          <w:numId w:val="8"/>
        </w:numPr>
        <w:spacing w:before="24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Incumplimiento grave o reiterado de las obligaciones contractuales</w:t>
      </w:r>
    </w:p>
    <w:p w14:paraId="00000078">
      <w:pPr>
        <w:numPr>
          <w:ilvl w:val="0"/>
          <w:numId w:val="8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Impago de cantidades adeudadas</w:t>
      </w:r>
    </w:p>
    <w:p w14:paraId="00000079">
      <w:pPr>
        <w:numPr>
          <w:ilvl w:val="0"/>
          <w:numId w:val="8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Falta de cooperación documental o informativa</w:t>
      </w:r>
    </w:p>
    <w:p w14:paraId="0000007A">
      <w:pPr>
        <w:numPr>
          <w:ilvl w:val="0"/>
          <w:numId w:val="8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Aportación de documentación falsa, incorrecta, insuficiente o incoherente</w:t>
      </w:r>
    </w:p>
    <w:p w14:paraId="0000007B">
      <w:pPr>
        <w:numPr>
          <w:ilvl w:val="0"/>
          <w:numId w:val="8"/>
        </w:numPr>
        <w:spacing w:before="0" w:beforeAutospacing="0" w:after="0" w:afterAutospacing="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Existencia de riesgos regulatorios, aduaneros, tributarios, reputacionales o sancionadores relevantes para GHUB</w:t>
      </w:r>
    </w:p>
    <w:p w14:paraId="0000007C">
      <w:pPr>
        <w:numPr>
          <w:ilvl w:val="0"/>
          <w:numId w:val="8"/>
        </w:numPr>
        <w:spacing w:before="0" w:beforeAutospacing="0" w:after="240"/>
        <w:ind w:left="720" w:hanging="36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Pérdida de confianza razonable derivada de actuaciones vinculadas al OPERADOR LOGÍSTICO INTERNACIONAL, al importador correspondiente o a terceros relacionados con la operación</w:t>
      </w:r>
    </w:p>
    <w:p w14:paraId="0000007D">
      <w:pPr>
        <w:spacing w:before="240" w:after="240"/>
        <w:ind w:left="0" w:firstLine="0"/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13.4 </w:t>
      </w:r>
      <w:r>
        <w:rPr>
          <w:rFonts w:hint="default" w:ascii="Calibri" w:hAnsi="Calibri" w:cs="Calibri"/>
          <w:sz w:val="28"/>
          <w:szCs w:val="28"/>
          <w:rtl w:val="0"/>
        </w:rPr>
        <w:t xml:space="preserve">La resolución del presente contrato no afectará a las obligaciones económicas, responsabilidades, deberes de colaboración, obligaciones de indemnidad o actuaciones administrativas derivadas de operaciones tramitadas durante la vigencia del mismo, que continuarán plenamente vigentes hasta su total regularización o finalización. </w:t>
      </w:r>
    </w:p>
    <w:p w14:paraId="0000007E">
      <w:pPr>
        <w:rPr>
          <w:rFonts w:hint="default" w:ascii="Calibri" w:hAnsi="Calibri" w:cs="Calibri"/>
          <w:b/>
          <w:bCs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14. Ley aplicable y jurisdicción</w:t>
      </w:r>
    </w:p>
    <w:p w14:paraId="0000007F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14.1</w:t>
      </w:r>
      <w:r>
        <w:rPr>
          <w:rFonts w:hint="default" w:ascii="Calibri" w:hAnsi="Calibri" w:cs="Calibri"/>
          <w:sz w:val="28"/>
          <w:szCs w:val="28"/>
          <w:rtl w:val="0"/>
        </w:rPr>
        <w:t xml:space="preserve"> El presente contrato tendrá naturaleza mercantil y se regirá e interpretará conforme a la legislación española. </w:t>
      </w:r>
    </w:p>
    <w:p w14:paraId="00000080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 xml:space="preserve">14.2 </w:t>
      </w:r>
      <w:r>
        <w:rPr>
          <w:rFonts w:hint="default" w:ascii="Calibri" w:hAnsi="Calibri" w:cs="Calibri"/>
          <w:sz w:val="28"/>
          <w:szCs w:val="28"/>
          <w:rtl w:val="0"/>
        </w:rPr>
        <w:t xml:space="preserve">Para cualquier controversia, discrepancia, reclamación o conflicto derivado de la interpretación, ejecución, cumplimiento o resolución del presente contrato, las partes se someten expresamente a los Juzgados y Tribunales de Coslada (Madrid), con renuncia expresa a cualquier otro fuero que pudiera corresponderles. </w:t>
      </w:r>
    </w:p>
    <w:p w14:paraId="00000081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14.3</w:t>
      </w:r>
      <w:r>
        <w:rPr>
          <w:rFonts w:hint="default" w:ascii="Calibri" w:hAnsi="Calibri" w:cs="Calibri"/>
          <w:sz w:val="28"/>
          <w:szCs w:val="28"/>
          <w:rtl w:val="0"/>
        </w:rPr>
        <w:t xml:space="preserve"> En caso de traducción del presente contrato a otro idioma, la versión redactada en español prevalecerá sobre cualquier otra versión a efectos de interpretación jurídica. </w:t>
      </w:r>
    </w:p>
    <w:p w14:paraId="00000082">
      <w:pPr>
        <w:rPr>
          <w:rFonts w:hint="default" w:ascii="Calibri" w:hAnsi="Calibri" w:cs="Calibri"/>
          <w:b/>
          <w:bCs/>
          <w:sz w:val="28"/>
          <w:szCs w:val="28"/>
        </w:rPr>
      </w:pPr>
    </w:p>
    <w:p w14:paraId="00000083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Y en prueba de conformidad, ambas partes firman el presente contrato, en Madrid, a 26 de mayo de 2026. </w:t>
      </w:r>
    </w:p>
    <w:p w14:paraId="00000084">
      <w:pPr>
        <w:rPr>
          <w:rFonts w:hint="default" w:ascii="Calibri" w:hAnsi="Calibri" w:cs="Calibri"/>
          <w:b/>
          <w:bCs/>
          <w:sz w:val="28"/>
          <w:szCs w:val="28"/>
        </w:rPr>
      </w:pPr>
    </w:p>
    <w:p w14:paraId="00000085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b/>
          <w:bCs/>
          <w:sz w:val="28"/>
          <w:szCs w:val="28"/>
          <w:rtl w:val="0"/>
        </w:rPr>
        <w:t>Firmas</w:t>
      </w:r>
      <w:r>
        <w:rPr>
          <w:rFonts w:hint="default" w:ascii="Calibri" w:hAnsi="Calibri" w:cs="Calibri"/>
          <w:sz w:val="28"/>
          <w:szCs w:val="28"/>
          <w:rtl w:val="0"/>
        </w:rPr>
        <w:t>:</w:t>
      </w:r>
    </w:p>
    <w:p w14:paraId="00000086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Por GHUB: </w:t>
      </w:r>
    </w:p>
    <w:p w14:paraId="00000087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Nombre: </w:t>
      </w:r>
    </w:p>
    <w:p w14:paraId="00000088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Cargo: </w:t>
      </w:r>
    </w:p>
    <w:p w14:paraId="00000089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Por </w:t>
      </w:r>
      <w:r>
        <w:rPr>
          <w:rFonts w:hint="default" w:ascii="Calibri" w:hAnsi="Calibri" w:cs="Calibri"/>
          <w:color w:val="FF0000"/>
          <w:sz w:val="28"/>
          <w:szCs w:val="28"/>
          <w:rtl w:val="0"/>
        </w:rPr>
        <w:t>[OPERADOR LOGÍSTICO INTERNACIONAL]</w:t>
      </w:r>
      <w:r>
        <w:rPr>
          <w:rFonts w:hint="default" w:ascii="Calibri" w:hAnsi="Calibri" w:cs="Calibri"/>
          <w:sz w:val="28"/>
          <w:szCs w:val="28"/>
          <w:rtl w:val="0"/>
        </w:rPr>
        <w:t xml:space="preserve"> :</w:t>
      </w:r>
    </w:p>
    <w:p w14:paraId="0000008A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>Nombre:</w:t>
      </w:r>
    </w:p>
    <w:p w14:paraId="0000008B">
      <w:pPr>
        <w:rPr>
          <w:rFonts w:hint="default" w:ascii="Calibri" w:hAnsi="Calibri" w:cs="Calibri"/>
          <w:sz w:val="28"/>
          <w:szCs w:val="28"/>
        </w:rPr>
      </w:pPr>
      <w:r>
        <w:rPr>
          <w:rFonts w:hint="default" w:ascii="Calibri" w:hAnsi="Calibri" w:cs="Calibri"/>
          <w:sz w:val="28"/>
          <w:szCs w:val="28"/>
          <w:rtl w:val="0"/>
        </w:rPr>
        <w:t xml:space="preserve">Cargo: </w:t>
      </w:r>
    </w:p>
    <w:sectPr>
      <w:headerReference r:id="rId5" w:type="default"/>
      <w:footerReference r:id="rId6" w:type="default"/>
      <w:pgSz w:w="12240" w:h="15840"/>
      <w:pgMar w:top="1440" w:right="1800" w:bottom="1440" w:left="180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EEF5EFF4-D365-41A6-B147-E9943D6656F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84D862A-924E-468D-ABEB-971B9860EEA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DC642B7B-2748-48A3-8E82-92054EBE26E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135FF722-A6F1-4B61-A475-47207E8C61A1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0F7C6CC1-39AC-447A-BC2C-136644B6B8C0}"/>
  </w:font>
  <w:font w:name="Cambria">
    <w:panose1 w:val="02040503050406030204"/>
    <w:charset w:val="86"/>
    <w:family w:val="auto"/>
    <w:pitch w:val="default"/>
    <w:sig w:usb0="E00006FF" w:usb1="420024FF" w:usb2="02000000" w:usb3="00000000" w:csb0="2000019F" w:csb1="00000000"/>
    <w:embedRegular r:id="rId6" w:fontKey="{E37D3DA6-B7E9-4789-8584-AF3014FE37AC}"/>
  </w:font>
  <w:font w:name="Courier">
    <w:altName w:val="Courier Ne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  <w:embedRegular r:id="rId7" w:fontKey="{7C33675A-0463-4BE7-A361-9997A7055389}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8" w:fontKey="{7CC7AC7A-1EB2-447D-BCBC-C9CF74D0986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D084CF">
    <w:pPr>
      <w:keepNext w:val="0"/>
      <w:keepLines w:val="0"/>
      <w:widowControl/>
      <w:suppressLineNumbers w:val="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020F284">
                          <w:pPr>
                            <w:pStyle w:val="2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020F284">
                    <w:pPr>
                      <w:pStyle w:val="2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default" w:ascii="Times New Roman" w:hAnsi="Times New Roman" w:eastAsia="宋体" w:cs="Times New Roman"/>
        <w:color w:val="000000"/>
        <w:kern w:val="0"/>
        <w:sz w:val="18"/>
        <w:szCs w:val="18"/>
        <w:lang w:val="en-US" w:eastAsia="zh-CN" w:bidi="ar"/>
      </w:rPr>
      <w:t>GREEN HUB CUSTOM HANDLING S.L.(C.I.F:B21632740),Av. de la Industria, 4, 28823,Madrid,Spain.</w:t>
    </w:r>
  </w:p>
  <w:p w14:paraId="38B1A4BF">
    <w:pPr>
      <w:keepNext w:val="0"/>
      <w:keepLines w:val="0"/>
      <w:widowControl/>
      <w:suppressLineNumbers w:val="0"/>
      <w:jc w:val="center"/>
      <w:rPr>
        <w:rFonts w:hint="default" w:ascii="Times New Roman" w:hAnsi="Times New Roman" w:eastAsia="宋体" w:cs="Times New Roman"/>
        <w:color w:val="000000"/>
        <w:kern w:val="0"/>
        <w:sz w:val="18"/>
        <w:szCs w:val="18"/>
        <w:lang w:val="en-US" w:eastAsia="zh-CN" w:bidi="ar"/>
      </w:rPr>
    </w:pPr>
    <w:r>
      <w:rPr>
        <w:rFonts w:hint="default" w:ascii="Times New Roman" w:hAnsi="Times New Roman" w:eastAsia="宋体" w:cs="Times New Roman"/>
        <w:color w:val="000000"/>
        <w:kern w:val="0"/>
        <w:sz w:val="18"/>
        <w:szCs w:val="18"/>
        <w:lang w:val="en-US" w:eastAsia="zh-CN" w:bidi="ar"/>
      </w:rPr>
      <w:t>Inscrita en el Registro Mercantil de Madrid, Sección 8, Hoja M-848124 Inscripción 1</w:t>
    </w:r>
  </w:p>
  <w:p w14:paraId="1764FE78">
    <w:pPr>
      <w:keepNext w:val="0"/>
      <w:keepLines w:val="0"/>
      <w:widowControl/>
      <w:suppressLineNumbers w:val="0"/>
      <w:jc w:val="center"/>
    </w:pPr>
    <w:r>
      <w:rPr>
        <w:rFonts w:hint="default" w:ascii="Times New Roman" w:hAnsi="Times New Roman" w:eastAsia="宋体" w:cs="Times New Roman"/>
        <w:color w:val="000000"/>
        <w:kern w:val="0"/>
        <w:sz w:val="18"/>
        <w:szCs w:val="18"/>
        <w:lang w:val="en-US" w:eastAsia="zh-CN" w:bidi="ar"/>
      </w:rPr>
      <w:t>Website</w:t>
    </w:r>
    <w:r>
      <w:rPr>
        <w:rFonts w:hint="eastAsia" w:ascii="宋体" w:hAnsi="宋体" w:eastAsia="宋体" w:cs="宋体"/>
        <w:color w:val="000000"/>
        <w:kern w:val="0"/>
        <w:sz w:val="18"/>
        <w:szCs w:val="18"/>
        <w:lang w:val="en-US" w:eastAsia="zh-CN" w:bidi="ar"/>
      </w:rPr>
      <w:t xml:space="preserve">： </w:t>
    </w:r>
    <w:r>
      <w:rPr>
        <w:rFonts w:hint="default" w:ascii="Times New Roman" w:hAnsi="Times New Roman" w:eastAsia="宋体" w:cs="Times New Roman"/>
        <w:color w:val="000000"/>
        <w:kern w:val="0"/>
        <w:sz w:val="18"/>
        <w:szCs w:val="18"/>
        <w:lang w:val="en-US" w:eastAsia="zh-CN" w:bidi="ar"/>
      </w:rPr>
      <w:t>www.customhandling.com Email: admin@customhandling.com Tel: +34 917 196 397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8C">
    <w:pPr>
      <w:jc w:val="right"/>
    </w:pPr>
    <w:r>
      <w:drawing>
        <wp:anchor distT="114300" distB="114300" distL="114300" distR="114300" simplePos="0" relativeHeight="251659264" behindDoc="0" locked="0" layoutInCell="1" allowOverlap="1">
          <wp:simplePos x="0" y="0"/>
          <wp:positionH relativeFrom="column">
            <wp:posOffset>1101725</wp:posOffset>
          </wp:positionH>
          <wp:positionV relativeFrom="paragraph">
            <wp:posOffset>-353695</wp:posOffset>
          </wp:positionV>
          <wp:extent cx="2911475" cy="780415"/>
          <wp:effectExtent l="0" t="0" r="3175" b="635"/>
          <wp:wrapNone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911475" cy="7804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1"/>
      <w:numFmt w:val="bullet"/>
      <w:pStyle w:val="13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bullet"/>
      <w:pStyle w:val="14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CF092B84"/>
    <w:multiLevelType w:val="multilevel"/>
    <w:tmpl w:val="CF092B84"/>
    <w:lvl w:ilvl="0" w:tentative="0">
      <w:start w:val="1"/>
      <w:numFmt w:val="bullet"/>
      <w:pStyle w:val="23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053208E"/>
    <w:multiLevelType w:val="multilevel"/>
    <w:tmpl w:val="0053208E"/>
    <w:lvl w:ilvl="0" w:tentative="0">
      <w:start w:val="1"/>
      <w:numFmt w:val="bullet"/>
      <w:pStyle w:val="16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03D62ECE"/>
    <w:multiLevelType w:val="multilevel"/>
    <w:tmpl w:val="03D62ECE"/>
    <w:lvl w:ilvl="0" w:tentative="0">
      <w:start w:val="1"/>
      <w:numFmt w:val="bullet"/>
      <w:pStyle w:val="20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25B654F3"/>
    <w:multiLevelType w:val="multilevel"/>
    <w:tmpl w:val="25B654F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59ADCABA"/>
    <w:multiLevelType w:val="multilevel"/>
    <w:tmpl w:val="59ADCABA"/>
    <w:lvl w:ilvl="0" w:tentative="0">
      <w:start w:val="1"/>
      <w:numFmt w:val="bullet"/>
      <w:pStyle w:val="18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72183CF9"/>
    <w:multiLevelType w:val="multilevel"/>
    <w:tmpl w:val="72183CF9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6"/>
  </w:num>
  <w:num w:numId="5">
    <w:abstractNumId w:val="4"/>
  </w:num>
  <w:num w:numId="6">
    <w:abstractNumId w:val="2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8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</w:compat>
  <w:rsids>
    <w:rsidRoot w:val="00000000"/>
    <w:rsid w:val="476C3FA5"/>
    <w:rsid w:val="4DA32E3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mbria" w:hAnsi="Cambria" w:eastAsia="Cambria" w:cs="Cambria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iPriority="99" w:semiHidden="0" w:name="macro"/>
    <w:lsdException w:unhideWhenUsed="0" w:uiPriority="0" w:semiHidden="0" w:name="toa heading"/>
    <w:lsdException w:uiPriority="99" w:semiHidden="0" w:name="List"/>
    <w:lsdException w:uiPriority="99" w:semiHidden="0" w:name="List Bullet"/>
    <w:lsdException w:uiPriority="99" w:semiHidden="0" w:name="List Number"/>
    <w:lsdException w:uiPriority="99" w:semiHidden="0" w:name="List 2"/>
    <w:lsdException w:uiPriority="99" w:semiHidden="0" w:name="List 3"/>
    <w:lsdException w:unhideWhenUsed="0" w:uiPriority="0" w:semiHidden="0" w:name="List 4"/>
    <w:lsdException w:unhideWhenUsed="0" w:uiPriority="0" w:semiHidden="0" w:name="List 5"/>
    <w:lsdException w:uiPriority="99" w:semiHidden="0" w:name="List Bullet 2"/>
    <w:lsdException w:uiPriority="99" w:semiHidden="0" w:name="List Bullet 3"/>
    <w:lsdException w:unhideWhenUsed="0" w:uiPriority="0" w:semiHidden="0" w:name="List Bullet 4"/>
    <w:lsdException w:unhideWhenUsed="0" w:uiPriority="0" w:semiHidden="0" w:name="List Bullet 5"/>
    <w:lsdException w:uiPriority="99" w:semiHidden="0" w:name="List Number 2"/>
    <w:lsdException w:uiPriority="99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iPriority="99" w:semiHidden="0" w:name="Body Text"/>
    <w:lsdException w:unhideWhenUsed="0" w:uiPriority="0" w:semiHidden="0" w:name="Body Text Indent"/>
    <w:lsdException w:uiPriority="99" w:semiHidden="0" w:name="List Continue"/>
    <w:lsdException w:uiPriority="99" w:semiHidden="0" w:name="List Continue 2"/>
    <w:lsdException w:uiPriority="99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iPriority="99" w:semiHidden="0" w:name="Body Text 2"/>
    <w:lsdException w:uiPriority="99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after="200" w:line="276" w:lineRule="auto"/>
    </w:pPr>
    <w:rPr>
      <w:rFonts w:ascii="Cambria" w:hAnsi="Cambria" w:eastAsia="Cambria" w:cs="Cambria"/>
      <w:sz w:val="22"/>
      <w:szCs w:val="22"/>
      <w:lang w:val="en"/>
    </w:rPr>
  </w:style>
  <w:style w:type="paragraph" w:styleId="3">
    <w:name w:val="heading 1"/>
    <w:basedOn w:val="1"/>
    <w:next w:val="1"/>
    <w:link w:val="139"/>
    <w:uiPriority w:val="0"/>
    <w:pPr>
      <w:keepNext/>
      <w:keepLines/>
      <w:spacing w:before="480" w:after="0"/>
    </w:pPr>
    <w:rPr>
      <w:rFonts w:ascii="Calibri" w:hAnsi="Calibri" w:eastAsia="Calibri" w:cs="Calibri"/>
      <w:b/>
      <w:bCs/>
      <w:color w:val="366091"/>
      <w:sz w:val="28"/>
      <w:szCs w:val="28"/>
    </w:rPr>
  </w:style>
  <w:style w:type="paragraph" w:styleId="4">
    <w:name w:val="heading 2"/>
    <w:basedOn w:val="1"/>
    <w:next w:val="1"/>
    <w:link w:val="140"/>
    <w:uiPriority w:val="0"/>
    <w:pPr>
      <w:keepNext/>
      <w:keepLines/>
      <w:spacing w:before="200" w:after="0"/>
    </w:pPr>
    <w:rPr>
      <w:rFonts w:ascii="Calibri" w:hAnsi="Calibri" w:eastAsia="Calibri" w:cs="Calibri"/>
      <w:b/>
      <w:bCs/>
      <w:color w:val="4F81BD"/>
      <w:sz w:val="26"/>
      <w:szCs w:val="26"/>
    </w:rPr>
  </w:style>
  <w:style w:type="paragraph" w:styleId="5">
    <w:name w:val="heading 3"/>
    <w:basedOn w:val="1"/>
    <w:next w:val="1"/>
    <w:link w:val="141"/>
    <w:uiPriority w:val="0"/>
    <w:pPr>
      <w:keepNext/>
      <w:keepLines/>
      <w:spacing w:before="200" w:after="0"/>
    </w:pPr>
    <w:rPr>
      <w:rFonts w:ascii="Calibri" w:hAnsi="Calibri" w:eastAsia="Calibri" w:cs="Calibri"/>
      <w:b/>
      <w:bCs/>
      <w:color w:val="4F81BD"/>
    </w:rPr>
  </w:style>
  <w:style w:type="paragraph" w:styleId="6">
    <w:name w:val="heading 4"/>
    <w:basedOn w:val="1"/>
    <w:next w:val="1"/>
    <w:link w:val="151"/>
    <w:uiPriority w:val="0"/>
    <w:pPr>
      <w:keepNext/>
      <w:keepLines/>
      <w:spacing w:before="200" w:after="0"/>
    </w:pPr>
    <w:rPr>
      <w:rFonts w:ascii="Calibri" w:hAnsi="Calibri" w:eastAsia="Calibri" w:cs="Calibri"/>
      <w:b/>
      <w:bCs/>
      <w:i/>
      <w:iCs/>
      <w:color w:val="4F81BD"/>
    </w:rPr>
  </w:style>
  <w:style w:type="paragraph" w:styleId="7">
    <w:name w:val="heading 5"/>
    <w:basedOn w:val="1"/>
    <w:next w:val="1"/>
    <w:link w:val="152"/>
    <w:uiPriority w:val="0"/>
    <w:pPr>
      <w:keepNext/>
      <w:keepLines/>
      <w:spacing w:before="200" w:after="0"/>
    </w:pPr>
    <w:rPr>
      <w:rFonts w:ascii="Calibri" w:hAnsi="Calibri" w:eastAsia="Calibri" w:cs="Calibri"/>
      <w:color w:val="243F61"/>
    </w:rPr>
  </w:style>
  <w:style w:type="paragraph" w:styleId="8">
    <w:name w:val="heading 6"/>
    <w:basedOn w:val="1"/>
    <w:next w:val="1"/>
    <w:link w:val="153"/>
    <w:uiPriority w:val="0"/>
    <w:pPr>
      <w:keepNext/>
      <w:keepLines/>
      <w:spacing w:before="200" w:after="0"/>
    </w:pPr>
    <w:rPr>
      <w:rFonts w:ascii="Calibri" w:hAnsi="Calibri" w:eastAsia="Calibri" w:cs="Calibri"/>
      <w:i/>
      <w:iCs/>
      <w:color w:val="243F61"/>
    </w:rPr>
  </w:style>
  <w:style w:type="paragraph" w:styleId="9">
    <w:name w:val="heading 7"/>
    <w:basedOn w:val="1"/>
    <w:next w:val="1"/>
    <w:link w:val="154"/>
    <w:semiHidden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0">
    <w:name w:val="heading 8"/>
    <w:basedOn w:val="1"/>
    <w:next w:val="1"/>
    <w:link w:val="155"/>
    <w:semiHidden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paragraph" w:styleId="11">
    <w:name w:val="heading 9"/>
    <w:basedOn w:val="1"/>
    <w:next w:val="1"/>
    <w:link w:val="156"/>
    <w:semiHidden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133">
    <w:name w:val="Default Paragraph Font"/>
    <w:semiHidden/>
    <w:unhideWhenUsed/>
    <w:uiPriority w:val="1"/>
  </w:style>
  <w:style w:type="table" w:default="1" w:styleId="3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link w:val="148"/>
    <w:unhideWhenUsed/>
    <w:uiPriority w:val="99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hAnsi="Courier" w:eastAsia="Cambria" w:cs="Cambria"/>
      <w:sz w:val="20"/>
      <w:szCs w:val="20"/>
      <w:lang w:val="en"/>
    </w:rPr>
  </w:style>
  <w:style w:type="paragraph" w:styleId="12">
    <w:name w:val="List 3"/>
    <w:basedOn w:val="1"/>
    <w:unhideWhenUsed/>
    <w:uiPriority w:val="99"/>
    <w:pPr>
      <w:ind w:left="1080" w:hanging="360"/>
      <w:contextualSpacing/>
    </w:pPr>
  </w:style>
  <w:style w:type="paragraph" w:styleId="13">
    <w:name w:val="List Number 2"/>
    <w:basedOn w:val="1"/>
    <w:unhideWhenUsed/>
    <w:uiPriority w:val="99"/>
    <w:pPr>
      <w:numPr>
        <w:ilvl w:val="0"/>
        <w:numId w:val="1"/>
      </w:numPr>
      <w:contextualSpacing/>
    </w:pPr>
  </w:style>
  <w:style w:type="paragraph" w:styleId="14">
    <w:name w:val="List Number"/>
    <w:basedOn w:val="1"/>
    <w:unhideWhenUsed/>
    <w:uiPriority w:val="99"/>
    <w:pPr>
      <w:numPr>
        <w:ilvl w:val="0"/>
        <w:numId w:val="2"/>
      </w:numPr>
      <w:contextualSpacing/>
    </w:pPr>
  </w:style>
  <w:style w:type="paragraph" w:styleId="15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  <w14:textFill>
        <w14:solidFill>
          <w14:schemeClr w14:val="accent1"/>
        </w14:solidFill>
      </w14:textFill>
    </w:rPr>
  </w:style>
  <w:style w:type="paragraph" w:styleId="16">
    <w:name w:val="List Bullet"/>
    <w:basedOn w:val="1"/>
    <w:unhideWhenUsed/>
    <w:uiPriority w:val="99"/>
    <w:pPr>
      <w:numPr>
        <w:ilvl w:val="0"/>
        <w:numId w:val="3"/>
      </w:numPr>
      <w:contextualSpacing/>
    </w:pPr>
  </w:style>
  <w:style w:type="paragraph" w:styleId="17">
    <w:name w:val="Body Text 3"/>
    <w:basedOn w:val="1"/>
    <w:link w:val="147"/>
    <w:unhideWhenUsed/>
    <w:uiPriority w:val="99"/>
    <w:pPr>
      <w:spacing w:after="120"/>
    </w:pPr>
    <w:rPr>
      <w:sz w:val="16"/>
      <w:szCs w:val="16"/>
    </w:rPr>
  </w:style>
  <w:style w:type="paragraph" w:styleId="18">
    <w:name w:val="List Bullet 3"/>
    <w:basedOn w:val="1"/>
    <w:unhideWhenUsed/>
    <w:uiPriority w:val="99"/>
    <w:pPr>
      <w:numPr>
        <w:ilvl w:val="0"/>
        <w:numId w:val="4"/>
      </w:numPr>
      <w:contextualSpacing/>
    </w:pPr>
  </w:style>
  <w:style w:type="paragraph" w:styleId="19">
    <w:name w:val="Body Text"/>
    <w:basedOn w:val="1"/>
    <w:link w:val="145"/>
    <w:unhideWhenUsed/>
    <w:uiPriority w:val="99"/>
    <w:pPr>
      <w:spacing w:after="120"/>
    </w:pPr>
  </w:style>
  <w:style w:type="paragraph" w:styleId="20">
    <w:name w:val="List Number 3"/>
    <w:basedOn w:val="1"/>
    <w:unhideWhenUsed/>
    <w:uiPriority w:val="99"/>
    <w:pPr>
      <w:numPr>
        <w:ilvl w:val="0"/>
        <w:numId w:val="5"/>
      </w:numPr>
      <w:contextualSpacing/>
    </w:pPr>
  </w:style>
  <w:style w:type="paragraph" w:styleId="21">
    <w:name w:val="List 2"/>
    <w:basedOn w:val="1"/>
    <w:unhideWhenUsed/>
    <w:uiPriority w:val="99"/>
    <w:pPr>
      <w:ind w:left="720" w:hanging="360"/>
      <w:contextualSpacing/>
    </w:pPr>
  </w:style>
  <w:style w:type="paragraph" w:styleId="22">
    <w:name w:val="List Continue"/>
    <w:basedOn w:val="1"/>
    <w:unhideWhenUsed/>
    <w:uiPriority w:val="99"/>
    <w:pPr>
      <w:spacing w:after="120"/>
      <w:ind w:left="360"/>
      <w:contextualSpacing/>
    </w:pPr>
  </w:style>
  <w:style w:type="paragraph" w:styleId="23">
    <w:name w:val="List Bullet 2"/>
    <w:basedOn w:val="1"/>
    <w:unhideWhenUsed/>
    <w:uiPriority w:val="99"/>
    <w:pPr>
      <w:numPr>
        <w:ilvl w:val="0"/>
        <w:numId w:val="6"/>
      </w:numPr>
      <w:contextualSpacing/>
    </w:pPr>
  </w:style>
  <w:style w:type="paragraph" w:styleId="24">
    <w:name w:val="footer"/>
    <w:basedOn w:val="1"/>
    <w:link w:val="137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5">
    <w:name w:val="header"/>
    <w:basedOn w:val="1"/>
    <w:link w:val="136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6">
    <w:name w:val="Subtitle"/>
    <w:basedOn w:val="1"/>
    <w:next w:val="1"/>
    <w:uiPriority w:val="0"/>
    <w:rPr>
      <w:rFonts w:ascii="Calibri" w:hAnsi="Calibri" w:eastAsia="Calibri" w:cs="Calibri"/>
      <w:i/>
      <w:iCs/>
      <w:color w:val="4F81BD"/>
      <w:sz w:val="24"/>
      <w:szCs w:val="24"/>
    </w:rPr>
  </w:style>
  <w:style w:type="paragraph" w:styleId="27">
    <w:name w:val="List"/>
    <w:basedOn w:val="1"/>
    <w:unhideWhenUsed/>
    <w:uiPriority w:val="99"/>
    <w:pPr>
      <w:ind w:left="360" w:hanging="360"/>
      <w:contextualSpacing/>
    </w:pPr>
  </w:style>
  <w:style w:type="paragraph" w:styleId="28">
    <w:name w:val="Body Text 2"/>
    <w:basedOn w:val="1"/>
    <w:link w:val="146"/>
    <w:unhideWhenUsed/>
    <w:uiPriority w:val="99"/>
    <w:pPr>
      <w:spacing w:after="120" w:line="480" w:lineRule="auto"/>
    </w:pPr>
  </w:style>
  <w:style w:type="paragraph" w:styleId="29">
    <w:name w:val="List Continue 2"/>
    <w:basedOn w:val="1"/>
    <w:unhideWhenUsed/>
    <w:uiPriority w:val="99"/>
    <w:pPr>
      <w:spacing w:after="120"/>
      <w:ind w:left="720"/>
      <w:contextualSpacing/>
    </w:pPr>
  </w:style>
  <w:style w:type="paragraph" w:styleId="30">
    <w:name w:val="List Continue 3"/>
    <w:basedOn w:val="1"/>
    <w:unhideWhenUsed/>
    <w:uiPriority w:val="99"/>
    <w:pPr>
      <w:spacing w:after="120"/>
      <w:ind w:left="1080"/>
      <w:contextualSpacing/>
    </w:pPr>
  </w:style>
  <w:style w:type="paragraph" w:styleId="31">
    <w:name w:val="Title"/>
    <w:basedOn w:val="1"/>
    <w:next w:val="1"/>
    <w:link w:val="142"/>
    <w:uiPriority w:val="0"/>
    <w:pPr>
      <w:pBdr>
        <w:bottom w:val="single" w:color="4F81BD" w:sz="8" w:space="4"/>
      </w:pBdr>
      <w:spacing w:after="300" w:line="240" w:lineRule="auto"/>
    </w:pPr>
    <w:rPr>
      <w:rFonts w:ascii="Calibri" w:hAnsi="Calibri" w:eastAsia="Calibri" w:cs="Calibri"/>
      <w:color w:val="17365D"/>
      <w:sz w:val="52"/>
      <w:szCs w:val="52"/>
    </w:rPr>
  </w:style>
  <w:style w:type="table" w:styleId="33">
    <w:name w:val="Table Grid"/>
    <w:basedOn w:val="34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styleId="35">
    <w:name w:val="Light Shading"/>
    <w:basedOn w:val="34"/>
    <w:uiPriority w:val="60"/>
    <w:pPr>
      <w:spacing w:after="0" w:line="240" w:lineRule="auto"/>
    </w:pPr>
    <w:rPr>
      <w:color w:val="000000" w:themeColor="text1" w:themeShade="BF"/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</w:style>
  <w:style w:type="table" w:styleId="36">
    <w:name w:val="Light Shading Accent 1"/>
    <w:basedOn w:val="34"/>
    <w:uiPriority w:val="60"/>
    <w:pPr>
      <w:spacing w:after="0" w:line="240" w:lineRule="auto"/>
    </w:pPr>
    <w:rPr>
      <w:color w:val="376092" w:themeColor="accent1" w:themeShade="BF"/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37">
    <w:name w:val="Light Shading Accent 2"/>
    <w:basedOn w:val="34"/>
    <w:uiPriority w:val="60"/>
    <w:pPr>
      <w:spacing w:after="0" w:line="240" w:lineRule="auto"/>
    </w:pPr>
    <w:rPr>
      <w:color w:val="953735" w:themeColor="accent2" w:themeShade="BF"/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</w:style>
  <w:style w:type="table" w:styleId="38">
    <w:name w:val="Light Shading Accent 3"/>
    <w:basedOn w:val="34"/>
    <w:uiPriority w:val="60"/>
    <w:pPr>
      <w:spacing w:after="0" w:line="240" w:lineRule="auto"/>
    </w:pPr>
    <w:rPr>
      <w:color w:val="77933C" w:themeColor="accent3" w:themeShade="BF"/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9">
    <w:name w:val="Light Shading Accent 4"/>
    <w:basedOn w:val="34"/>
    <w:uiPriority w:val="60"/>
    <w:pPr>
      <w:spacing w:after="0" w:line="240" w:lineRule="auto"/>
    </w:pPr>
    <w:rPr>
      <w:color w:val="604A7B" w:themeColor="accent4" w:themeShade="BF"/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40">
    <w:name w:val="Light Shading Accent 5"/>
    <w:basedOn w:val="34"/>
    <w:uiPriority w:val="60"/>
    <w:pPr>
      <w:spacing w:after="0" w:line="240" w:lineRule="auto"/>
    </w:pPr>
    <w:rPr>
      <w:color w:val="31859C" w:themeColor="accent5" w:themeShade="BF"/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</w:style>
  <w:style w:type="table" w:styleId="41">
    <w:name w:val="Light Shading Accent 6"/>
    <w:basedOn w:val="34"/>
    <w:uiPriority w:val="60"/>
    <w:pPr>
      <w:spacing w:after="0" w:line="240" w:lineRule="auto"/>
    </w:pPr>
    <w:rPr>
      <w:color w:val="E46C0A" w:themeColor="accent6" w:themeShade="BF"/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</w:style>
  <w:style w:type="table" w:styleId="42">
    <w:name w:val="Light List"/>
    <w:basedOn w:val="34"/>
    <w:uiPriority w:val="61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43">
    <w:name w:val="Light List Accent 1"/>
    <w:basedOn w:val="34"/>
    <w:uiPriority w:val="61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44">
    <w:name w:val="Light List Accent 2"/>
    <w:basedOn w:val="34"/>
    <w:uiPriority w:val="61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45">
    <w:name w:val="Light List Accent 3"/>
    <w:basedOn w:val="34"/>
    <w:uiPriority w:val="61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46">
    <w:name w:val="Light List Accent 4"/>
    <w:basedOn w:val="34"/>
    <w:uiPriority w:val="61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47">
    <w:name w:val="Light List Accent 5"/>
    <w:basedOn w:val="34"/>
    <w:uiPriority w:val="61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48">
    <w:name w:val="Light List Accent 6"/>
    <w:basedOn w:val="34"/>
    <w:uiPriority w:val="61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49">
    <w:name w:val="Light Grid"/>
    <w:basedOn w:val="34"/>
    <w:uiPriority w:val="62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  <w:shd w:val="clear" w:color="auto" w:fill="BFBFBF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</w:tcPr>
    </w:tblStylePr>
  </w:style>
  <w:style w:type="table" w:styleId="50">
    <w:name w:val="Light Grid Accent 1"/>
    <w:basedOn w:val="34"/>
    <w:uiPriority w:val="62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</w:tcPr>
    </w:tblStylePr>
  </w:style>
  <w:style w:type="table" w:styleId="51">
    <w:name w:val="Light Grid Accent 2"/>
    <w:basedOn w:val="34"/>
    <w:uiPriority w:val="62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  <w:shd w:val="clear" w:color="auto" w:fill="EFD3D3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</w:tcPr>
    </w:tblStylePr>
  </w:style>
  <w:style w:type="table" w:styleId="52">
    <w:name w:val="Light Grid Accent 3"/>
    <w:basedOn w:val="34"/>
    <w:uiPriority w:val="62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</w:tcPr>
    </w:tblStylePr>
  </w:style>
  <w:style w:type="table" w:styleId="53">
    <w:name w:val="Light Grid Accent 4"/>
    <w:basedOn w:val="34"/>
    <w:uiPriority w:val="62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</w:tcPr>
    </w:tblStylePr>
  </w:style>
  <w:style w:type="table" w:styleId="54">
    <w:name w:val="Light Grid Accent 5"/>
    <w:basedOn w:val="34"/>
    <w:uiPriority w:val="62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  <w:shd w:val="clear" w:color="auto" w:fill="D2EAF0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</w:tcPr>
    </w:tblStylePr>
  </w:style>
  <w:style w:type="table" w:styleId="55">
    <w:name w:val="Light Grid Accent 6"/>
    <w:basedOn w:val="34"/>
    <w:uiPriority w:val="62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  <w:shd w:val="clear" w:color="auto" w:fill="FDE5D1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</w:tcPr>
    </w:tblStylePr>
  </w:style>
  <w:style w:type="table" w:styleId="56">
    <w:name w:val="Medium Shading 1"/>
    <w:basedOn w:val="34"/>
    <w:uiPriority w:val="63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3F3F3F" w:themeColor="text1" w:themeTint="BF" w:sz="8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3F3F3F" w:themeColor="text1" w:themeTint="BF" w:sz="6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BFBF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7">
    <w:name w:val="Medium Shading 1 Accent 1"/>
    <w:basedOn w:val="34"/>
    <w:uiPriority w:val="63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1 Accent 2"/>
    <w:basedOn w:val="34"/>
    <w:uiPriority w:val="63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9">
    <w:name w:val="Medium Shading 1 Accent 3"/>
    <w:basedOn w:val="34"/>
    <w:uiPriority w:val="63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B4CC82" w:themeColor="accent3" w:themeTint="BF" w:sz="8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4CC82" w:themeColor="accent3" w:themeTint="BF" w:sz="6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0">
    <w:name w:val="Medium Shading 1 Accent 4"/>
    <w:basedOn w:val="34"/>
    <w:uiPriority w:val="63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1">
    <w:name w:val="Medium Shading 1 Accent 5"/>
    <w:basedOn w:val="34"/>
    <w:uiPriority w:val="63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2">
    <w:name w:val="Medium Shading 1 Accent 6"/>
    <w:basedOn w:val="34"/>
    <w:uiPriority w:val="63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5D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3">
    <w:name w:val="Medium Shading 2"/>
    <w:basedOn w:val="34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4">
    <w:name w:val="Medium Shading 2 Accent 1"/>
    <w:basedOn w:val="34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5">
    <w:name w:val="Medium Shading 2 Accent 2"/>
    <w:basedOn w:val="34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6">
    <w:name w:val="Medium Shading 2 Accent 3"/>
    <w:basedOn w:val="34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7">
    <w:name w:val="Medium Shading 2 Accent 4"/>
    <w:basedOn w:val="34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8">
    <w:name w:val="Medium Shading 2 Accent 5"/>
    <w:basedOn w:val="34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9">
    <w:name w:val="Medium Shading 2 Accent 6"/>
    <w:basedOn w:val="34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70">
    <w:name w:val="Medium List 1"/>
    <w:basedOn w:val="34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shd w:val="clear" w:color="auto" w:fill="BFBFBF" w:themeFill="text1" w:themeFillTint="3F"/>
      </w:tcPr>
    </w:tblStylePr>
  </w:style>
  <w:style w:type="table" w:styleId="71">
    <w:name w:val="Medium List 1 Accent 1"/>
    <w:basedOn w:val="34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72">
    <w:name w:val="Medium List 1 Accent 2"/>
    <w:basedOn w:val="34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shd w:val="clear" w:color="auto" w:fill="EFD3D3" w:themeFill="accent2" w:themeFillTint="3F"/>
      </w:tcPr>
    </w:tblStylePr>
  </w:style>
  <w:style w:type="table" w:styleId="73">
    <w:name w:val="Medium List 1 Accent 3"/>
    <w:basedOn w:val="34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74">
    <w:name w:val="Medium List 1 Accent 4"/>
    <w:basedOn w:val="34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75">
    <w:name w:val="Medium List 1 Accent 5"/>
    <w:basedOn w:val="34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shd w:val="clear" w:color="auto" w:fill="D2EAF0" w:themeFill="accent5" w:themeFillTint="3F"/>
      </w:tcPr>
    </w:tblStylePr>
  </w:style>
  <w:style w:type="table" w:styleId="76">
    <w:name w:val="Medium List 1 Accent 6"/>
    <w:basedOn w:val="34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shd w:val="clear" w:color="auto" w:fill="FDE5D1" w:themeFill="accent6" w:themeFillTint="3F"/>
      </w:tcPr>
    </w:tblStylePr>
  </w:style>
  <w:style w:type="table" w:styleId="77">
    <w:name w:val="Medium List 2"/>
    <w:basedOn w:val="34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000000" w:themeColor="tex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BFBF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1"/>
    <w:basedOn w:val="34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2"/>
    <w:basedOn w:val="34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C0504D" w:themeColor="accent2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0">
    <w:name w:val="Medium List 2 Accent 3"/>
    <w:basedOn w:val="34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9BBB59" w:themeColor="accent3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1">
    <w:name w:val="Medium List 2 Accent 4"/>
    <w:basedOn w:val="34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8064A2" w:themeColor="accent4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2">
    <w:name w:val="Medium List 2 Accent 5"/>
    <w:basedOn w:val="34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BACC6" w:themeColor="accent5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3">
    <w:name w:val="Medium List 2 Accent 6"/>
    <w:basedOn w:val="34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F79646" w:themeColor="accent6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5D1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4">
    <w:name w:val="Medium Grid 1"/>
    <w:basedOn w:val="34"/>
    <w:uiPriority w:val="67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  <w:insideV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3F3F3F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85">
    <w:name w:val="Medium Grid 1 Accent 1"/>
    <w:basedOn w:val="34"/>
    <w:uiPriority w:val="67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86">
    <w:name w:val="Medium Grid 1 Accent 2"/>
    <w:basedOn w:val="34"/>
    <w:uiPriority w:val="67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87">
    <w:name w:val="Medium Grid 1 Accent 3"/>
    <w:basedOn w:val="34"/>
    <w:uiPriority w:val="67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  <w:insideV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4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88">
    <w:name w:val="Medium Grid 1 Accent 4"/>
    <w:basedOn w:val="34"/>
    <w:uiPriority w:val="67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89">
    <w:name w:val="Medium Grid 1 Accent 5"/>
    <w:basedOn w:val="34"/>
    <w:uiPriority w:val="67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90">
    <w:name w:val="Medium Grid 1 Accent 6"/>
    <w:basedOn w:val="34"/>
    <w:uiPriority w:val="67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91">
    <w:name w:val="Medium Grid 2"/>
    <w:basedOn w:val="34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E5E5" w:themeFill="tex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7F7F7F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2">
    <w:name w:val="Medium Grid 2 Accent 1"/>
    <w:basedOn w:val="34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C0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2"/>
    <w:basedOn w:val="34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3"/>
    <w:basedOn w:val="34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4"/>
    <w:basedOn w:val="34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2EFF5" w:themeFill="accent4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5"/>
    <w:basedOn w:val="34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2 Accent 6"/>
    <w:basedOn w:val="34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8">
    <w:name w:val="Medium Grid 3"/>
    <w:basedOn w:val="34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7F7F7F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7F7F7F" w:themeFill="text1" w:themeFillTint="7F"/>
      </w:tcPr>
    </w:tblStylePr>
  </w:style>
  <w:style w:type="table" w:styleId="99">
    <w:name w:val="Medium Grid 3 Accent 1"/>
    <w:basedOn w:val="34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C0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7C0DE" w:themeFill="accent1" w:themeFillTint="7F"/>
      </w:tcPr>
    </w:tblStylePr>
  </w:style>
  <w:style w:type="table" w:styleId="100">
    <w:name w:val="Medium Grid 3 Accent 2"/>
    <w:basedOn w:val="34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DFA7A6" w:themeFill="accent2" w:themeFillTint="7F"/>
      </w:tcPr>
    </w:tblStylePr>
  </w:style>
  <w:style w:type="table" w:styleId="101">
    <w:name w:val="Medium Grid 3 Accent 3"/>
    <w:basedOn w:val="34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CDDDAC" w:themeFill="accent3" w:themeFillTint="7F"/>
      </w:tcPr>
    </w:tblStylePr>
  </w:style>
  <w:style w:type="table" w:styleId="102">
    <w:name w:val="Medium Grid 3 Accent 4"/>
    <w:basedOn w:val="34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BFB1D0" w:themeFill="accent4" w:themeFillTint="7F"/>
      </w:tcPr>
    </w:tblStylePr>
  </w:style>
  <w:style w:type="table" w:styleId="103">
    <w:name w:val="Medium Grid 3 Accent 5"/>
    <w:basedOn w:val="34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5D5E2" w:themeFill="accent5" w:themeFillTint="7F"/>
      </w:tcPr>
    </w:tblStylePr>
  </w:style>
  <w:style w:type="table" w:styleId="104">
    <w:name w:val="Medium Grid 3 Accent 6"/>
    <w:basedOn w:val="34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FBCAA2" w:themeFill="accent6" w:themeFillTint="7F"/>
      </w:tcPr>
    </w:tblStylePr>
  </w:style>
  <w:style w:type="table" w:styleId="105">
    <w:name w:val="Dark List"/>
    <w:basedOn w:val="34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06">
    <w:name w:val="Dark List Accent 1"/>
    <w:basedOn w:val="34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1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60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</w:style>
  <w:style w:type="table" w:styleId="107">
    <w:name w:val="Dark List Accent 2"/>
    <w:basedOn w:val="34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7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</w:style>
  <w:style w:type="table" w:styleId="108">
    <w:name w:val="Dark List Accent 3"/>
    <w:basedOn w:val="34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109">
    <w:name w:val="Dark List Accent 4"/>
    <w:basedOn w:val="34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0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110">
    <w:name w:val="Dark List Accent 5"/>
    <w:basedOn w:val="34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111">
    <w:name w:val="Dark List Accent 6"/>
    <w:basedOn w:val="34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9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</w:style>
  <w:style w:type="table" w:styleId="112">
    <w:name w:val="Colorful Shading"/>
    <w:basedOn w:val="34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7F7F7F" w:themeFill="tex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3">
    <w:name w:val="Colorful Shading Accent 1"/>
    <w:basedOn w:val="34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B4D74" w:themeFill="accen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B4D74" w:themeFill="accen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D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C0DE" w:themeFill="accen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4">
    <w:name w:val="Colorful Shading Accent 2"/>
    <w:basedOn w:val="34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5">
    <w:name w:val="Colorful Shading Accent 3"/>
    <w:basedOn w:val="34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16">
    <w:name w:val="Colorful Shading Accent 4"/>
    <w:basedOn w:val="34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4C3A62" w:themeFill="accent4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A62" w:themeFill="accent4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A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7">
    <w:name w:val="Colorful Shading Accent 5"/>
    <w:basedOn w:val="34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8">
    <w:name w:val="Colorful Shading Accent 6"/>
    <w:basedOn w:val="34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B65607" w:themeFill="accent6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7" w:themeFill="accent6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7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9">
    <w:name w:val="Colorful List"/>
    <w:basedOn w:val="34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20">
    <w:name w:val="Colorful List Accent 1"/>
    <w:basedOn w:val="34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21">
    <w:name w:val="Colorful List Accent 2"/>
    <w:basedOn w:val="34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122">
    <w:name w:val="Colorful List Accent 3"/>
    <w:basedOn w:val="34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F83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123">
    <w:name w:val="Colorful List Accent 4"/>
    <w:basedOn w:val="34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D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124">
    <w:name w:val="Colorful List Accent 5"/>
    <w:basedOn w:val="34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F3730A" w:themeFill="accent6" w:themeFillShade="CC"/>
      </w:tcPr>
    </w:tblStylePr>
    <w:tblStylePr w:type="lastRow">
      <w:rPr>
        <w:b/>
        <w:bCs/>
        <w:color w:val="F3740B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25">
    <w:name w:val="Colorful List Accent 6"/>
    <w:basedOn w:val="34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58EA6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126">
    <w:name w:val="Colorful Grid"/>
    <w:basedOn w:val="34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127">
    <w:name w:val="Colorful Grid Accent 1"/>
    <w:basedOn w:val="34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128">
    <w:name w:val="Colorful Grid Accent 2"/>
    <w:basedOn w:val="34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29">
    <w:name w:val="Colorful Grid Accent 3"/>
    <w:basedOn w:val="34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30">
    <w:name w:val="Colorful Grid Accent 4"/>
    <w:basedOn w:val="34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31">
    <w:name w:val="Colorful Grid Accent 5"/>
    <w:basedOn w:val="34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32">
    <w:name w:val="Colorful Grid Accent 6"/>
    <w:basedOn w:val="34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134">
    <w:name w:val="Strong"/>
    <w:basedOn w:val="133"/>
    <w:qFormat/>
    <w:uiPriority w:val="22"/>
    <w:rPr>
      <w:b/>
      <w:bCs/>
    </w:rPr>
  </w:style>
  <w:style w:type="character" w:styleId="135">
    <w:name w:val="Emphasis"/>
    <w:basedOn w:val="133"/>
    <w:qFormat/>
    <w:uiPriority w:val="20"/>
    <w:rPr>
      <w:i/>
      <w:iCs/>
    </w:rPr>
  </w:style>
  <w:style w:type="character" w:customStyle="1" w:styleId="136">
    <w:name w:val="Header Char"/>
    <w:basedOn w:val="133"/>
    <w:link w:val="25"/>
    <w:uiPriority w:val="99"/>
  </w:style>
  <w:style w:type="character" w:customStyle="1" w:styleId="137">
    <w:name w:val="Footer Char"/>
    <w:basedOn w:val="133"/>
    <w:link w:val="24"/>
    <w:uiPriority w:val="99"/>
  </w:style>
  <w:style w:type="paragraph" w:styleId="138">
    <w:name w:val="No Spacing"/>
    <w:qFormat/>
    <w:uiPriority w:val="1"/>
    <w:pPr>
      <w:spacing w:after="0" w:line="240" w:lineRule="auto"/>
    </w:pPr>
    <w:rPr>
      <w:rFonts w:ascii="Cambria" w:hAnsi="Cambria" w:eastAsia="Cambria" w:cs="Cambria"/>
      <w:sz w:val="22"/>
      <w:szCs w:val="22"/>
      <w:lang w:val="en"/>
    </w:rPr>
  </w:style>
  <w:style w:type="character" w:customStyle="1" w:styleId="139">
    <w:name w:val="Heading 1 Char"/>
    <w:basedOn w:val="133"/>
    <w:link w:val="3"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character" w:customStyle="1" w:styleId="140">
    <w:name w:val="Heading 2 Char"/>
    <w:basedOn w:val="133"/>
    <w:link w:val="4"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character" w:customStyle="1" w:styleId="141">
    <w:name w:val="Heading 3 Char"/>
    <w:basedOn w:val="133"/>
    <w:link w:val="5"/>
    <w:uiPriority w:val="9"/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42">
    <w:name w:val="Title Char"/>
    <w:basedOn w:val="133"/>
    <w:link w:val="31"/>
    <w:uiPriority w:val="10"/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character" w:customStyle="1" w:styleId="143">
    <w:name w:val="Subtitle Char"/>
    <w:basedOn w:val="133"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144">
    <w:name w:val="List Paragraph"/>
    <w:basedOn w:val="1"/>
    <w:qFormat/>
    <w:uiPriority w:val="34"/>
    <w:pPr>
      <w:ind w:left="720"/>
      <w:contextualSpacing/>
    </w:pPr>
  </w:style>
  <w:style w:type="character" w:customStyle="1" w:styleId="145">
    <w:name w:val="Body Text Char"/>
    <w:basedOn w:val="133"/>
    <w:link w:val="19"/>
    <w:uiPriority w:val="99"/>
  </w:style>
  <w:style w:type="character" w:customStyle="1" w:styleId="146">
    <w:name w:val="Body Text 2 Char"/>
    <w:basedOn w:val="133"/>
    <w:link w:val="28"/>
    <w:uiPriority w:val="99"/>
  </w:style>
  <w:style w:type="character" w:customStyle="1" w:styleId="147">
    <w:name w:val="Body Text 3 Char"/>
    <w:basedOn w:val="133"/>
    <w:link w:val="17"/>
    <w:uiPriority w:val="99"/>
    <w:rPr>
      <w:sz w:val="16"/>
      <w:szCs w:val="16"/>
    </w:rPr>
  </w:style>
  <w:style w:type="character" w:customStyle="1" w:styleId="148">
    <w:name w:val="Macro Text Char"/>
    <w:basedOn w:val="133"/>
    <w:link w:val="2"/>
    <w:qFormat/>
    <w:uiPriority w:val="99"/>
    <w:rPr>
      <w:rFonts w:ascii="Courier" w:hAnsi="Courier"/>
      <w:sz w:val="20"/>
      <w:szCs w:val="20"/>
    </w:rPr>
  </w:style>
  <w:style w:type="paragraph" w:styleId="149">
    <w:name w:val="Quote"/>
    <w:basedOn w:val="1"/>
    <w:next w:val="1"/>
    <w:link w:val="150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0">
    <w:name w:val="Quote Char"/>
    <w:basedOn w:val="133"/>
    <w:link w:val="149"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1">
    <w:name w:val="Heading 4 Char"/>
    <w:basedOn w:val="133"/>
    <w:link w:val="6"/>
    <w:semiHidden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2">
    <w:name w:val="Heading 5 Char"/>
    <w:basedOn w:val="133"/>
    <w:link w:val="7"/>
    <w:semiHidden/>
    <w:uiPriority w:val="9"/>
    <w:rPr>
      <w:rFonts w:asciiTheme="majorHAnsi" w:hAnsiTheme="majorHAnsi" w:eastAsiaTheme="majorEastAsia" w:cstheme="majorBidi"/>
      <w:color w:val="254061" w:themeColor="accent1" w:themeShade="80"/>
    </w:rPr>
  </w:style>
  <w:style w:type="character" w:customStyle="1" w:styleId="153">
    <w:name w:val="Heading 6 Char"/>
    <w:basedOn w:val="133"/>
    <w:link w:val="8"/>
    <w:semiHidden/>
    <w:uiPriority w:val="9"/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character" w:customStyle="1" w:styleId="154">
    <w:name w:val="Heading 7 Char"/>
    <w:basedOn w:val="133"/>
    <w:link w:val="9"/>
    <w:semiHidden/>
    <w:uiPriority w:val="9"/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155">
    <w:name w:val="Heading 8 Char"/>
    <w:basedOn w:val="133"/>
    <w:link w:val="10"/>
    <w:semiHidden/>
    <w:uiPriority w:val="9"/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character" w:customStyle="1" w:styleId="156">
    <w:name w:val="Heading 9 Char"/>
    <w:basedOn w:val="133"/>
    <w:link w:val="11"/>
    <w:semiHidden/>
    <w:uiPriority w:val="9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57">
    <w:name w:val="Intense Quote"/>
    <w:basedOn w:val="1"/>
    <w:next w:val="1"/>
    <w:link w:val="158"/>
    <w:qFormat/>
    <w:uiPriority w:val="30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8">
    <w:name w:val="Intense Quote Char"/>
    <w:basedOn w:val="133"/>
    <w:link w:val="157"/>
    <w:uiPriority w:val="30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9">
    <w:name w:val="Subtle Emphasis"/>
    <w:basedOn w:val="133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160">
    <w:name w:val="Intense Emphasis"/>
    <w:basedOn w:val="133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61">
    <w:name w:val="Subtle Reference"/>
    <w:basedOn w:val="133"/>
    <w:qFormat/>
    <w:uiPriority w:val="31"/>
    <w:rPr>
      <w:smallCaps/>
      <w:color w:val="C0504D" w:themeColor="accent2"/>
      <w:u w:val="single"/>
      <w14:textFill>
        <w14:solidFill>
          <w14:schemeClr w14:val="accent2"/>
        </w14:solidFill>
      </w14:textFill>
    </w:rPr>
  </w:style>
  <w:style w:type="character" w:customStyle="1" w:styleId="162">
    <w:name w:val="Intense Reference"/>
    <w:basedOn w:val="133"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character" w:customStyle="1" w:styleId="163">
    <w:name w:val="Book Title"/>
    <w:basedOn w:val="133"/>
    <w:qFormat/>
    <w:uiPriority w:val="33"/>
    <w:rPr>
      <w:b/>
      <w:bCs/>
      <w:smallCaps/>
      <w:spacing w:val="5"/>
    </w:rPr>
  </w:style>
  <w:style w:type="paragraph" w:customStyle="1" w:styleId="164">
    <w:name w:val="TOC Heading"/>
    <w:basedOn w:val="3"/>
    <w:next w:val="1"/>
    <w:semiHidden/>
    <w:unhideWhenUsed/>
    <w:qFormat/>
    <w:uiPriority w:val="39"/>
    <w:pPr>
      <w:outlineLvl w:val="9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MJSWsGKbMbgH45Hh1wpzNt36fPA==">CgMxLjA4AHIhMWx1WmJmdkIwb0hKSXlmdEhpc25NdW03NHVnLU9Pc3li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15</Pages>
  <Words>693</Words>
  <Characters>4454</Characters>
  <TotalTime>3</TotalTime>
  <ScaleCrop>false</ScaleCrop>
  <LinksUpToDate>false</LinksUpToDate>
  <CharactersWithSpaces>5135</CharactersWithSpaces>
  <Application>WPS Office_12.1.0.26375_F1E327BC-269C-435d-A152-05C5408002CA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2013-12-23T23:15:00Z</dcterms:created>
  <dc:creator>python-docx</dc:creator>
  <cp:lastModifiedBy>西班牙OYT财务2024</cp:lastModifiedBy>
  <dcterms:modified xsi:type="dcterms:W3CDTF">2026-05-26T14:05:31Z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eyJoZGlkIjoiYjFkNTI0NWEzZDllNDY3Y2M4M2E4NzViYTUzMGI3OTMiLCJ1c2VySWQiOiIxNDc5MjIyNTU4In0=</vt:lpwstr>
  </property>
  <property fmtid="{D5CDD505-2E9C-101B-9397-08002B2CF9AE}" pid="3" name="KSOProductBuildVer">
    <vt:lpwstr>2052-12.1.0.26375</vt:lpwstr>
  </property>
  <property fmtid="{D5CDD505-2E9C-101B-9397-08002B2CF9AE}" pid="4" name="ICV">
    <vt:lpwstr>B060ECF646364D0499E2C463307B6C1E_12</vt:lpwstr>
  </property>
</Properties>
</file>