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542D" w14:textId="77777777" w:rsidR="00C517D9" w:rsidRPr="00C517D9" w:rsidRDefault="00C517D9" w:rsidP="00C517D9">
      <w:pPr>
        <w:ind w:left="2124" w:firstLine="708"/>
        <w:jc w:val="both"/>
        <w:rPr>
          <w:rFonts w:ascii="Times New Roman" w:hAnsi="Times New Roman" w:cs="Times New Roman"/>
          <w:sz w:val="24"/>
          <w:szCs w:val="24"/>
        </w:rPr>
      </w:pPr>
      <w:r w:rsidRPr="00C517D9">
        <w:rPr>
          <w:rFonts w:ascii="Times New Roman" w:hAnsi="Times New Roman" w:cs="Times New Roman"/>
          <w:b/>
          <w:bCs/>
          <w:sz w:val="24"/>
          <w:szCs w:val="24"/>
        </w:rPr>
        <w:t>… SULH CEZA HAKİMLİĞİNE</w:t>
      </w:r>
      <w:r w:rsidRPr="00C517D9">
        <w:rPr>
          <w:rFonts w:ascii="Times New Roman" w:hAnsi="Times New Roman" w:cs="Times New Roman"/>
          <w:sz w:val="24"/>
          <w:szCs w:val="24"/>
        </w:rPr>
        <w:t> </w:t>
      </w:r>
    </w:p>
    <w:p w14:paraId="3A703B5C"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Sorgu Dosya No: …/…</w:t>
      </w:r>
      <w:r w:rsidRPr="00C517D9">
        <w:rPr>
          <w:rFonts w:ascii="Times New Roman" w:hAnsi="Times New Roman" w:cs="Times New Roman"/>
          <w:sz w:val="24"/>
          <w:szCs w:val="24"/>
        </w:rPr>
        <w:t> </w:t>
      </w:r>
      <w:r w:rsidRPr="00C517D9">
        <w:rPr>
          <w:rFonts w:ascii="Times New Roman" w:hAnsi="Times New Roman" w:cs="Times New Roman"/>
          <w:b/>
          <w:bCs/>
          <w:sz w:val="24"/>
          <w:szCs w:val="24"/>
        </w:rPr>
        <w:t> </w:t>
      </w:r>
      <w:r w:rsidRPr="00C517D9">
        <w:rPr>
          <w:rFonts w:ascii="Times New Roman" w:hAnsi="Times New Roman" w:cs="Times New Roman"/>
          <w:sz w:val="24"/>
          <w:szCs w:val="24"/>
        </w:rPr>
        <w:t> </w:t>
      </w:r>
    </w:p>
    <w:p w14:paraId="7EA1F94E"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TUTUKLAMA KARARINA </w:t>
      </w:r>
    </w:p>
    <w:p w14:paraId="26E63114" w14:textId="4DC5A4C3"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 </w:t>
      </w:r>
      <w:r w:rsidRPr="00C517D9">
        <w:rPr>
          <w:rFonts w:ascii="Times New Roman" w:hAnsi="Times New Roman" w:cs="Times New Roman"/>
          <w:b/>
          <w:bCs/>
          <w:sz w:val="24"/>
          <w:szCs w:val="24"/>
        </w:rPr>
        <w:t>İTİRAZ EDEN ŞÜPHELİ                    </w:t>
      </w:r>
      <w:proofErr w:type="gramStart"/>
      <w:r w:rsidRPr="00C517D9">
        <w:rPr>
          <w:rFonts w:ascii="Times New Roman" w:hAnsi="Times New Roman" w:cs="Times New Roman"/>
          <w:b/>
          <w:bCs/>
          <w:sz w:val="24"/>
          <w:szCs w:val="24"/>
        </w:rPr>
        <w:t xml:space="preserve">  :</w:t>
      </w:r>
      <w:proofErr w:type="gramEnd"/>
      <w:r w:rsidRPr="00C517D9">
        <w:rPr>
          <w:rFonts w:ascii="Times New Roman" w:hAnsi="Times New Roman" w:cs="Times New Roman"/>
          <w:sz w:val="24"/>
          <w:szCs w:val="24"/>
        </w:rPr>
        <w:t> </w:t>
      </w:r>
      <w:r w:rsidRPr="00C517D9">
        <w:rPr>
          <w:rFonts w:ascii="Times New Roman" w:hAnsi="Times New Roman" w:cs="Times New Roman"/>
          <w:b/>
          <w:bCs/>
          <w:sz w:val="24"/>
          <w:szCs w:val="24"/>
        </w:rPr>
        <w:t> </w:t>
      </w:r>
      <w:r w:rsidRPr="00C517D9">
        <w:rPr>
          <w:rFonts w:ascii="Times New Roman" w:hAnsi="Times New Roman" w:cs="Times New Roman"/>
          <w:sz w:val="24"/>
          <w:szCs w:val="24"/>
        </w:rPr>
        <w:t> </w:t>
      </w:r>
    </w:p>
    <w:p w14:paraId="67F59CF6" w14:textId="2212FECC"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MÜDAFİİ                                                </w:t>
      </w:r>
      <w:proofErr w:type="gramStart"/>
      <w:r w:rsidRPr="00C517D9">
        <w:rPr>
          <w:rFonts w:ascii="Times New Roman" w:hAnsi="Times New Roman" w:cs="Times New Roman"/>
          <w:b/>
          <w:bCs/>
          <w:sz w:val="24"/>
          <w:szCs w:val="24"/>
        </w:rPr>
        <w:t xml:space="preserve">  :</w:t>
      </w:r>
      <w:proofErr w:type="gramEnd"/>
      <w:r w:rsidRPr="00C517D9">
        <w:rPr>
          <w:rFonts w:ascii="Times New Roman" w:hAnsi="Times New Roman" w:cs="Times New Roman"/>
          <w:sz w:val="24"/>
          <w:szCs w:val="24"/>
        </w:rPr>
        <w:t> </w:t>
      </w:r>
      <w:r w:rsidRPr="00C517D9">
        <w:rPr>
          <w:rFonts w:ascii="Times New Roman" w:hAnsi="Times New Roman" w:cs="Times New Roman"/>
          <w:b/>
          <w:bCs/>
          <w:sz w:val="24"/>
          <w:szCs w:val="24"/>
        </w:rPr>
        <w:t> Av. Mert APAYDIN  </w:t>
      </w:r>
      <w:r w:rsidRPr="00C517D9">
        <w:rPr>
          <w:rFonts w:ascii="Times New Roman" w:hAnsi="Times New Roman" w:cs="Times New Roman"/>
          <w:sz w:val="24"/>
          <w:szCs w:val="24"/>
        </w:rPr>
        <w:t> </w:t>
      </w:r>
    </w:p>
    <w:p w14:paraId="54937B42"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TUTUKLAMA TARİHİ                        </w:t>
      </w:r>
      <w:proofErr w:type="gramStart"/>
      <w:r w:rsidRPr="00C517D9">
        <w:rPr>
          <w:rFonts w:ascii="Times New Roman" w:hAnsi="Times New Roman" w:cs="Times New Roman"/>
          <w:b/>
          <w:bCs/>
          <w:sz w:val="24"/>
          <w:szCs w:val="24"/>
        </w:rPr>
        <w:t xml:space="preserve">  :</w:t>
      </w:r>
      <w:proofErr w:type="gramEnd"/>
    </w:p>
    <w:p w14:paraId="38EC706A"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 xml:space="preserve">AÇIKLAMALAR                                   </w:t>
      </w:r>
      <w:proofErr w:type="gramStart"/>
      <w:r w:rsidRPr="00C517D9">
        <w:rPr>
          <w:rFonts w:ascii="Times New Roman" w:hAnsi="Times New Roman" w:cs="Times New Roman"/>
          <w:b/>
          <w:bCs/>
          <w:sz w:val="24"/>
          <w:szCs w:val="24"/>
        </w:rPr>
        <w:t>  :</w:t>
      </w:r>
      <w:proofErr w:type="gramEnd"/>
      <w:r w:rsidRPr="00C517D9">
        <w:rPr>
          <w:rFonts w:ascii="Times New Roman" w:hAnsi="Times New Roman" w:cs="Times New Roman"/>
          <w:b/>
          <w:bCs/>
          <w:sz w:val="24"/>
          <w:szCs w:val="24"/>
        </w:rPr>
        <w:t> </w:t>
      </w:r>
      <w:r w:rsidRPr="00C517D9">
        <w:rPr>
          <w:rFonts w:ascii="Times New Roman" w:hAnsi="Times New Roman" w:cs="Times New Roman"/>
          <w:sz w:val="24"/>
          <w:szCs w:val="24"/>
        </w:rPr>
        <w:t> </w:t>
      </w:r>
      <w:r w:rsidRPr="00C517D9">
        <w:rPr>
          <w:rFonts w:ascii="Times New Roman" w:hAnsi="Times New Roman" w:cs="Times New Roman"/>
          <w:b/>
          <w:bCs/>
          <w:sz w:val="24"/>
          <w:szCs w:val="24"/>
        </w:rPr>
        <w:t> </w:t>
      </w:r>
      <w:r w:rsidRPr="00C517D9">
        <w:rPr>
          <w:rFonts w:ascii="Times New Roman" w:hAnsi="Times New Roman" w:cs="Times New Roman"/>
          <w:sz w:val="24"/>
          <w:szCs w:val="24"/>
        </w:rPr>
        <w:t> </w:t>
      </w:r>
    </w:p>
    <w:p w14:paraId="61A15963"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1-) </w:t>
      </w:r>
      <w:r w:rsidRPr="00C517D9">
        <w:rPr>
          <w:rFonts w:ascii="Times New Roman" w:hAnsi="Times New Roman" w:cs="Times New Roman"/>
          <w:sz w:val="24"/>
          <w:szCs w:val="24"/>
        </w:rPr>
        <w:t>Müvekkilim şüpheli, …/…</w:t>
      </w:r>
      <w:proofErr w:type="gramStart"/>
      <w:r w:rsidRPr="00C517D9">
        <w:rPr>
          <w:rFonts w:ascii="Times New Roman" w:hAnsi="Times New Roman" w:cs="Times New Roman"/>
          <w:sz w:val="24"/>
          <w:szCs w:val="24"/>
        </w:rPr>
        <w:t>/….</w:t>
      </w:r>
      <w:proofErr w:type="gramEnd"/>
      <w:r w:rsidRPr="00C517D9">
        <w:rPr>
          <w:rFonts w:ascii="Times New Roman" w:hAnsi="Times New Roman" w:cs="Times New Roman"/>
          <w:sz w:val="24"/>
          <w:szCs w:val="24"/>
        </w:rPr>
        <w:t xml:space="preserve">. </w:t>
      </w:r>
      <w:proofErr w:type="gramStart"/>
      <w:r w:rsidRPr="00C517D9">
        <w:rPr>
          <w:rFonts w:ascii="Times New Roman" w:hAnsi="Times New Roman" w:cs="Times New Roman"/>
          <w:sz w:val="24"/>
          <w:szCs w:val="24"/>
        </w:rPr>
        <w:t>tarihinde</w:t>
      </w:r>
      <w:proofErr w:type="gramEnd"/>
      <w:r w:rsidRPr="00C517D9">
        <w:rPr>
          <w:rFonts w:ascii="Times New Roman" w:hAnsi="Times New Roman" w:cs="Times New Roman"/>
          <w:sz w:val="24"/>
          <w:szCs w:val="24"/>
        </w:rPr>
        <w:t>, mahkemenizin yukarıda numarası belirtilen sorgu dosyası üzerinden verilen tutuklama kararı gereği tutuklanmıştır.</w:t>
      </w:r>
    </w:p>
    <w:p w14:paraId="05EF24BA"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Tutuklama hukuka aykırı olup kaldırılması gerekmektedir. Tutuklama kararı verilebilmesi için CMK m.100’de belirtilen kuvvetli suç şüphesi,</w:t>
      </w:r>
      <w:r w:rsidRPr="00C517D9">
        <w:rPr>
          <w:rFonts w:ascii="Times New Roman" w:hAnsi="Times New Roman" w:cs="Times New Roman"/>
          <w:b/>
          <w:bCs/>
          <w:sz w:val="24"/>
          <w:szCs w:val="24"/>
        </w:rPr>
        <w:t> </w:t>
      </w:r>
      <w:r w:rsidRPr="00C517D9">
        <w:rPr>
          <w:rFonts w:ascii="Times New Roman" w:hAnsi="Times New Roman" w:cs="Times New Roman"/>
          <w:sz w:val="24"/>
          <w:szCs w:val="24"/>
        </w:rPr>
        <w:t xml:space="preserve">tutuklama </w:t>
      </w:r>
      <w:proofErr w:type="spellStart"/>
      <w:proofErr w:type="gramStart"/>
      <w:r w:rsidRPr="00C517D9">
        <w:rPr>
          <w:rFonts w:ascii="Times New Roman" w:hAnsi="Times New Roman" w:cs="Times New Roman"/>
          <w:sz w:val="24"/>
          <w:szCs w:val="24"/>
        </w:rPr>
        <w:t>nedenleri,ölçülülük</w:t>
      </w:r>
      <w:proofErr w:type="spellEnd"/>
      <w:proofErr w:type="gramEnd"/>
      <w:r w:rsidRPr="00C517D9">
        <w:rPr>
          <w:rFonts w:ascii="Times New Roman" w:hAnsi="Times New Roman" w:cs="Times New Roman"/>
          <w:sz w:val="24"/>
          <w:szCs w:val="24"/>
        </w:rPr>
        <w:t xml:space="preserve"> ilkesiyle beraber üç şartın birlikte bulunması gerekir. </w:t>
      </w:r>
    </w:p>
    <w:p w14:paraId="4260AD6A"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Bu şartlar sağlanmadığı için tutuklama hukuka aykırıdır. Kuvvetli suç şüphesi somut delillerle gösterilmelidir. </w:t>
      </w:r>
    </w:p>
    <w:p w14:paraId="11E99E0B"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Yargıtay Ceza Genel Kurulunun ilke kararları gereğince tutuklama için kuvvetli suç şüphesinin varlığı, soyut değerlendirmelerle değil, somut delillerle ortaya konulmalıdır.</w:t>
      </w:r>
    </w:p>
    <w:p w14:paraId="4A60BA00"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Yargıtay Ceza Genel Kurulunun 01.04.2014 tarih, 2013/10-247 E., 2014/135 K. sayılı ilke kararında açıkça belirtildiği üzere; tutuklama için aranan kuvvetli suç şüphesinin varlığı, soyut değerlendirmelerle değil, somut ve denetlenebilir delillerle ortaya konulmalıdır. </w:t>
      </w:r>
    </w:p>
    <w:p w14:paraId="7BCC8011"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Somut olayda bu şart gerçekleşmemiştir.</w:t>
      </w:r>
    </w:p>
    <w:p w14:paraId="6F5A05DB"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Tutuklama kararında kuvvetli suç şüphesini gösteren somut deliller açıkça ortaya konulmamıştır. </w:t>
      </w:r>
      <w:r w:rsidRPr="00C517D9">
        <w:rPr>
          <w:rFonts w:ascii="Times New Roman" w:hAnsi="Times New Roman" w:cs="Times New Roman"/>
          <w:b/>
          <w:bCs/>
          <w:sz w:val="24"/>
          <w:szCs w:val="24"/>
        </w:rPr>
        <w:t> </w:t>
      </w:r>
      <w:r w:rsidRPr="00C517D9">
        <w:rPr>
          <w:rFonts w:ascii="Times New Roman" w:hAnsi="Times New Roman" w:cs="Times New Roman"/>
          <w:sz w:val="24"/>
          <w:szCs w:val="24"/>
        </w:rPr>
        <w:t> </w:t>
      </w:r>
    </w:p>
    <w:p w14:paraId="6B9FA229"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2-) </w:t>
      </w:r>
      <w:r w:rsidRPr="00C517D9">
        <w:rPr>
          <w:rFonts w:ascii="Times New Roman" w:hAnsi="Times New Roman" w:cs="Times New Roman"/>
          <w:sz w:val="24"/>
          <w:szCs w:val="24"/>
        </w:rPr>
        <w:t>Tutuklama nedenleri gerekçeli ve somut olmadığı gibi tutuklama nedenleri soyut ve klişe ifadelerle gerekçelendirilmiştir.”  Tutuklama, en son başvurulacak koruma tedbiri olup CMK m.109 adli kontrolde belirtilen yurt dışı çıkış yasağı, imza yükümlülüğü, güvence bedeli ile de ölçülülük kapsamında aynı sonuca ulaşılabilir. “Adli kontrol tedbirleri değerlendirilmeden tutuklama yoluna gidilmiştir.”  Katalog suç olsa bile OTOMATİK tutuklama olmaz.</w:t>
      </w:r>
    </w:p>
    <w:p w14:paraId="661CE59F"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Katalog suçlar tutuklamaya karine oluşturabilir ama mutlak neden değildir.</w:t>
      </w:r>
    </w:p>
    <w:p w14:paraId="7DA1DFCC"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3-) </w:t>
      </w:r>
      <w:r w:rsidRPr="00C517D9">
        <w:rPr>
          <w:rFonts w:ascii="Times New Roman" w:hAnsi="Times New Roman" w:cs="Times New Roman"/>
          <w:sz w:val="24"/>
          <w:szCs w:val="24"/>
        </w:rPr>
        <w:t>Tutuklama kararları aynı ve kalıp gerekçelerle verilemez. Yargıtayın görüşüne göre Tutuklama kararlarının kişiye ve olaya özgü gerekçe içermesi zorunludur. </w:t>
      </w:r>
    </w:p>
    <w:p w14:paraId="4613898C"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Soruşturma evresinde zaten delillerin büyük kısmı toplanmıştır. </w:t>
      </w:r>
      <w:r w:rsidRPr="00C517D9">
        <w:rPr>
          <w:rFonts w:ascii="Times New Roman" w:hAnsi="Times New Roman" w:cs="Times New Roman"/>
          <w:b/>
          <w:bCs/>
          <w:sz w:val="24"/>
          <w:szCs w:val="24"/>
        </w:rPr>
        <w:t>“Delillerin büyük ölçüde toplandığı aşamada delil karartma ihtimali zayıflar.”</w:t>
      </w:r>
    </w:p>
    <w:p w14:paraId="7690A42F"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4-) </w:t>
      </w:r>
      <w:r w:rsidRPr="00C517D9">
        <w:rPr>
          <w:rFonts w:ascii="Times New Roman" w:hAnsi="Times New Roman" w:cs="Times New Roman"/>
          <w:sz w:val="24"/>
          <w:szCs w:val="24"/>
        </w:rPr>
        <w:t>Müvekkilimin ifadeleri ve dosyada mevcut deliller dikkate alındığında, müvekkilimin, üzerine atılı bulunan … suçunun maddi ve manevi unsurlarının oluşmadığı açıkça görülecektir. </w:t>
      </w:r>
    </w:p>
    <w:p w14:paraId="25F7A798"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5-) </w:t>
      </w:r>
      <w:r w:rsidRPr="00C517D9">
        <w:rPr>
          <w:rFonts w:ascii="Times New Roman" w:hAnsi="Times New Roman" w:cs="Times New Roman"/>
          <w:sz w:val="24"/>
          <w:szCs w:val="24"/>
        </w:rPr>
        <w:t>Kaldı ki, müvekkilimin tutuklanması için 5271 Sayılı Ceza Muhakemeleri Kanunu’nun 100. maddesinde öngörülen şartlar da oluşmamıştır. </w:t>
      </w:r>
    </w:p>
    <w:p w14:paraId="28E54A43"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lastRenderedPageBreak/>
        <w:t>Öncelikle, söz konusu eylemin müvekkilim tarafından gerçekleştirildiğine ilişkin ‘kuvvetli bir şüphe’ bulunmamaktadır. </w:t>
      </w:r>
    </w:p>
    <w:p w14:paraId="7F5EB039"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Ayrıca, müvekkilim, işyeri sahibi bir zanaatkar olup, ailesi ve sabit bir konutu olan, çevresinde tanınmış bir kimsedir. </w:t>
      </w:r>
    </w:p>
    <w:p w14:paraId="6E9B6A46" w14:textId="77777777"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sz w:val="24"/>
          <w:szCs w:val="24"/>
        </w:rPr>
        <w:t>Soruşturma evresinde kaçma ve/veya delilleri ortadan kaldırma ya da gizleme gibi bir girişimde bulunacak durumda da değildir. </w:t>
      </w:r>
    </w:p>
    <w:p w14:paraId="62C6B8F7" w14:textId="77777777" w:rsid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6-) </w:t>
      </w:r>
      <w:r w:rsidRPr="00C517D9">
        <w:rPr>
          <w:rFonts w:ascii="Times New Roman" w:hAnsi="Times New Roman" w:cs="Times New Roman"/>
          <w:sz w:val="24"/>
          <w:szCs w:val="24"/>
        </w:rPr>
        <w:t>Açıklanan nedenlerle, anılan tutuklama kararına itiraz ediyoruz. </w:t>
      </w:r>
    </w:p>
    <w:p w14:paraId="5B48EB1A" w14:textId="1C7F82B9" w:rsidR="00C517D9" w:rsidRP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HUKUKİ NEDENLER                                    </w:t>
      </w:r>
      <w:proofErr w:type="gramStart"/>
      <w:r w:rsidRPr="00C517D9">
        <w:rPr>
          <w:rFonts w:ascii="Times New Roman" w:hAnsi="Times New Roman" w:cs="Times New Roman"/>
          <w:b/>
          <w:bCs/>
          <w:sz w:val="24"/>
          <w:szCs w:val="24"/>
        </w:rPr>
        <w:t xml:space="preserve">  :</w:t>
      </w:r>
      <w:proofErr w:type="gramEnd"/>
      <w:r w:rsidRPr="00C517D9">
        <w:rPr>
          <w:rFonts w:ascii="Times New Roman" w:hAnsi="Times New Roman" w:cs="Times New Roman"/>
          <w:b/>
          <w:bCs/>
          <w:sz w:val="24"/>
          <w:szCs w:val="24"/>
        </w:rPr>
        <w:t> </w:t>
      </w:r>
      <w:r w:rsidRPr="00C517D9">
        <w:rPr>
          <w:rFonts w:ascii="Times New Roman" w:hAnsi="Times New Roman" w:cs="Times New Roman"/>
          <w:sz w:val="24"/>
          <w:szCs w:val="24"/>
        </w:rPr>
        <w:t>5271 S. K. m. 100, 101. </w:t>
      </w:r>
    </w:p>
    <w:p w14:paraId="17701F09" w14:textId="3140A692" w:rsidR="00C517D9" w:rsidRDefault="00C517D9" w:rsidP="00C517D9">
      <w:pPr>
        <w:jc w:val="both"/>
        <w:rPr>
          <w:rFonts w:ascii="Times New Roman" w:hAnsi="Times New Roman" w:cs="Times New Roman"/>
          <w:sz w:val="24"/>
          <w:szCs w:val="24"/>
        </w:rPr>
      </w:pPr>
      <w:r w:rsidRPr="00C517D9">
        <w:rPr>
          <w:rFonts w:ascii="Times New Roman" w:hAnsi="Times New Roman" w:cs="Times New Roman"/>
          <w:b/>
          <w:bCs/>
          <w:sz w:val="24"/>
          <w:szCs w:val="24"/>
        </w:rPr>
        <w:t xml:space="preserve">SONUÇ VE İSTEM                       </w:t>
      </w:r>
      <w:proofErr w:type="gramStart"/>
      <w:r w:rsidRPr="00C517D9">
        <w:rPr>
          <w:rFonts w:ascii="Times New Roman" w:hAnsi="Times New Roman" w:cs="Times New Roman"/>
          <w:b/>
          <w:bCs/>
          <w:sz w:val="24"/>
          <w:szCs w:val="24"/>
        </w:rPr>
        <w:t>  :</w:t>
      </w:r>
      <w:proofErr w:type="gramEnd"/>
      <w:r w:rsidRPr="00C517D9">
        <w:rPr>
          <w:rFonts w:ascii="Times New Roman" w:hAnsi="Times New Roman" w:cs="Times New Roman"/>
          <w:b/>
          <w:bCs/>
          <w:sz w:val="24"/>
          <w:szCs w:val="24"/>
        </w:rPr>
        <w:t> </w:t>
      </w:r>
      <w:r w:rsidRPr="00C517D9">
        <w:rPr>
          <w:rFonts w:ascii="Times New Roman" w:hAnsi="Times New Roman" w:cs="Times New Roman"/>
          <w:sz w:val="24"/>
          <w:szCs w:val="24"/>
        </w:rPr>
        <w:t xml:space="preserve">Yukarıda açıklamaya çalıştığımız nedenlerle, müvekkilim şüpheli hakkındaki tutuklama kararının kaldırılarak, kendisinin salıverilmesine karar verilmesini vekaleten talep ederiz. …/…/…   </w:t>
      </w:r>
    </w:p>
    <w:p w14:paraId="5B5FD7F3" w14:textId="74DDE5D4" w:rsidR="00C517D9" w:rsidRDefault="00C517D9" w:rsidP="00C517D9">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Şüpheli </w:t>
      </w:r>
      <w:proofErr w:type="spellStart"/>
      <w:r>
        <w:rPr>
          <w:rFonts w:ascii="Times New Roman" w:hAnsi="Times New Roman" w:cs="Times New Roman"/>
          <w:b/>
          <w:bCs/>
          <w:sz w:val="24"/>
          <w:szCs w:val="24"/>
        </w:rPr>
        <w:t>Müdafii</w:t>
      </w:r>
      <w:proofErr w:type="spellEnd"/>
    </w:p>
    <w:p w14:paraId="0AAD8476" w14:textId="17F7D9B1" w:rsidR="00C517D9" w:rsidRPr="00C517D9" w:rsidRDefault="00C517D9" w:rsidP="00C517D9">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Av. Mert APAYDIN</w:t>
      </w:r>
    </w:p>
    <w:p w14:paraId="37BF88AE" w14:textId="77777777" w:rsidR="00B62569" w:rsidRPr="00C517D9" w:rsidRDefault="00B62569" w:rsidP="00C517D9">
      <w:pPr>
        <w:jc w:val="both"/>
        <w:rPr>
          <w:rFonts w:ascii="Times New Roman" w:hAnsi="Times New Roman" w:cs="Times New Roman"/>
          <w:sz w:val="24"/>
          <w:szCs w:val="24"/>
        </w:rPr>
      </w:pPr>
    </w:p>
    <w:sectPr w:rsidR="00B62569" w:rsidRPr="00C51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40"/>
    <w:rsid w:val="005F11D6"/>
    <w:rsid w:val="00704EC5"/>
    <w:rsid w:val="00A735D3"/>
    <w:rsid w:val="00B62569"/>
    <w:rsid w:val="00BE4E5B"/>
    <w:rsid w:val="00C517D9"/>
    <w:rsid w:val="00EA6540"/>
    <w:rsid w:val="00F13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D0EE"/>
  <w15:chartTrackingRefBased/>
  <w15:docId w15:val="{2EC4522D-2FA5-4321-9E11-176090B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6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A6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A654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A654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A654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A65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65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65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65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654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A654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A654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A654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A654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A65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65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65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6540"/>
    <w:rPr>
      <w:rFonts w:eastAsiaTheme="majorEastAsia" w:cstheme="majorBidi"/>
      <w:color w:val="272727" w:themeColor="text1" w:themeTint="D8"/>
    </w:rPr>
  </w:style>
  <w:style w:type="paragraph" w:styleId="KonuBal">
    <w:name w:val="Title"/>
    <w:basedOn w:val="Normal"/>
    <w:next w:val="Normal"/>
    <w:link w:val="KonuBalChar"/>
    <w:uiPriority w:val="10"/>
    <w:qFormat/>
    <w:rsid w:val="00EA6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65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65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65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65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6540"/>
    <w:rPr>
      <w:i/>
      <w:iCs/>
      <w:color w:val="404040" w:themeColor="text1" w:themeTint="BF"/>
    </w:rPr>
  </w:style>
  <w:style w:type="paragraph" w:styleId="ListeParagraf">
    <w:name w:val="List Paragraph"/>
    <w:basedOn w:val="Normal"/>
    <w:uiPriority w:val="34"/>
    <w:qFormat/>
    <w:rsid w:val="00EA6540"/>
    <w:pPr>
      <w:ind w:left="720"/>
      <w:contextualSpacing/>
    </w:pPr>
  </w:style>
  <w:style w:type="character" w:styleId="GlVurgulama">
    <w:name w:val="Intense Emphasis"/>
    <w:basedOn w:val="VarsaylanParagrafYazTipi"/>
    <w:uiPriority w:val="21"/>
    <w:qFormat/>
    <w:rsid w:val="00EA6540"/>
    <w:rPr>
      <w:i/>
      <w:iCs/>
      <w:color w:val="2F5496" w:themeColor="accent1" w:themeShade="BF"/>
    </w:rPr>
  </w:style>
  <w:style w:type="paragraph" w:styleId="GlAlnt">
    <w:name w:val="Intense Quote"/>
    <w:basedOn w:val="Normal"/>
    <w:next w:val="Normal"/>
    <w:link w:val="GlAlntChar"/>
    <w:uiPriority w:val="30"/>
    <w:qFormat/>
    <w:rsid w:val="00EA6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A6540"/>
    <w:rPr>
      <w:i/>
      <w:iCs/>
      <w:color w:val="2F5496" w:themeColor="accent1" w:themeShade="BF"/>
    </w:rPr>
  </w:style>
  <w:style w:type="character" w:styleId="GlBavuru">
    <w:name w:val="Intense Reference"/>
    <w:basedOn w:val="VarsaylanParagrafYazTipi"/>
    <w:uiPriority w:val="32"/>
    <w:qFormat/>
    <w:rsid w:val="00EA6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APAYDIN</dc:creator>
  <cp:keywords/>
  <dc:description/>
  <cp:lastModifiedBy>Mert APAYDIN</cp:lastModifiedBy>
  <cp:revision>2</cp:revision>
  <dcterms:created xsi:type="dcterms:W3CDTF">2025-12-20T12:18:00Z</dcterms:created>
  <dcterms:modified xsi:type="dcterms:W3CDTF">2025-12-20T12:18:00Z</dcterms:modified>
</cp:coreProperties>
</file>