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EB04">
      <w:pPr>
        <w:ind w:right="85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uk-UA" w:eastAsia="uk-UA"/>
        </w:rPr>
        <w:drawing>
          <wp:inline distT="0" distB="0" distL="0" distR="0">
            <wp:extent cx="546100" cy="5588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 l="-117" t="-113" r="-117" b="-113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5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AC1D8">
      <w:pPr>
        <w:pStyle w:val="4"/>
        <w:ind w:firstLine="840" w:firstLineChars="3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МОСТИСЬКА МІСЬКА  РАДА ЛЬВІВСЬКОЇ ОБЛАСТІ</w:t>
      </w:r>
    </w:p>
    <w:p w14:paraId="39EBA1E9">
      <w:pPr>
        <w:pStyle w:val="4"/>
        <w:ind w:firstLine="2241" w:firstLineChars="8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БЕРЕГІВСЬКА ГІМНАЗІЯ</w:t>
      </w:r>
    </w:p>
    <w:p w14:paraId="3E87C322">
      <w:pPr>
        <w:pStyle w:val="4"/>
        <w:rPr>
          <w:rFonts w:ascii="Times New Roman" w:hAnsi="Times New Roman" w:cs="Times New Roman"/>
        </w:rPr>
      </w:pPr>
    </w:p>
    <w:p w14:paraId="42C87106">
      <w:pPr>
        <w:ind w:left="284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НАКАЗ</w:t>
      </w:r>
    </w:p>
    <w:p w14:paraId="3413ECF4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uk-UA"/>
        </w:rPr>
        <w:t>29</w:t>
      </w:r>
      <w:r>
        <w:rPr>
          <w:rFonts w:ascii="Times New Roman" w:hAnsi="Times New Roman" w:cs="Times New Roman"/>
          <w:sz w:val="28"/>
          <w:lang w:val="ru-RU"/>
        </w:rPr>
        <w:t>.0</w:t>
      </w:r>
      <w:r>
        <w:rPr>
          <w:rFonts w:ascii="Times New Roman" w:hAnsi="Times New Roman" w:cs="Times New Roman"/>
          <w:sz w:val="28"/>
          <w:lang w:val="uk-UA"/>
        </w:rPr>
        <w:t>8</w:t>
      </w:r>
      <w:r>
        <w:rPr>
          <w:rFonts w:ascii="Times New Roman" w:hAnsi="Times New Roman" w:cs="Times New Roman"/>
          <w:sz w:val="28"/>
          <w:lang w:val="ru-RU"/>
        </w:rPr>
        <w:t>.202</w:t>
      </w:r>
      <w:r>
        <w:rPr>
          <w:rFonts w:ascii="Times New Roman" w:hAnsi="Times New Roman" w:cs="Times New Roman"/>
          <w:sz w:val="28"/>
          <w:lang w:val="uk-UA"/>
        </w:rPr>
        <w:t>5</w:t>
      </w: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sz w:val="28"/>
          <w:lang w:val="uk-UA"/>
        </w:rPr>
        <w:t xml:space="preserve">  с.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 xml:space="preserve">  Берегове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№01-0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66</w:t>
      </w:r>
    </w:p>
    <w:p w14:paraId="78FB2856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12CF8D78">
      <w:pPr>
        <w:shd w:val="clear" w:color="auto" w:fill="FFFFFF"/>
        <w:ind w:right="-908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Про створення комісії з розгляду</w:t>
      </w:r>
    </w:p>
    <w:p w14:paraId="5117B2E0">
      <w:pPr>
        <w:shd w:val="clear" w:color="auto" w:fill="FFFFFF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Calibri" w:hAnsi="Calibri" w:eastAsia="Times New Roman" w:cs="Calibri"/>
          <w:b/>
          <w:bCs/>
          <w:color w:val="333333"/>
          <w:sz w:val="22"/>
          <w:szCs w:val="22"/>
          <w:shd w:val="clear" w:color="auto" w:fill="FFFFFF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випадків булінгу у закладі</w:t>
      </w:r>
    </w:p>
    <w:p w14:paraId="0A03B9EB">
      <w:pPr>
        <w:shd w:val="clear" w:color="auto" w:fill="FFFFFF"/>
        <w:spacing w:line="360" w:lineRule="auto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Calibri" w:hAnsi="Calibri" w:eastAsia="Times New Roman" w:cs="Calibri"/>
          <w:color w:val="333333"/>
          <w:sz w:val="22"/>
          <w:szCs w:val="22"/>
          <w:shd w:val="clear" w:color="auto" w:fill="FFFFFF"/>
        </w:rPr>
        <w:t> </w:t>
      </w:r>
    </w:p>
    <w:p w14:paraId="3F4E18D7">
      <w:pPr>
        <w:shd w:val="clear" w:color="auto" w:fill="FFFFFF"/>
        <w:spacing w:line="360" w:lineRule="auto"/>
        <w:ind w:right="-1077" w:firstLine="700"/>
        <w:jc w:val="both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На виконання Закону України № 8584 від 18.12.2018р. «Про внесення змін до деяких законодавчих актів України щодо протидії булінгу», відповідно до методичних рекомендацій Міністерства освіти, науки та молоді, з метою виявлення та протидії булінгу серед учасників освітнього процесу, швидкого реагування на такі випадки,</w:t>
      </w:r>
    </w:p>
    <w:p w14:paraId="3E2F6071">
      <w:pPr>
        <w:shd w:val="clear" w:color="auto" w:fill="FFFFFF"/>
        <w:spacing w:line="360" w:lineRule="auto"/>
        <w:ind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Calibri" w:hAnsi="Calibri" w:eastAsia="Times New Roman" w:cs="Calibri"/>
          <w:color w:val="333333"/>
          <w:sz w:val="22"/>
          <w:szCs w:val="22"/>
          <w:shd w:val="clear" w:color="auto" w:fill="FFFFFF"/>
        </w:rPr>
        <w:t> </w:t>
      </w:r>
    </w:p>
    <w:p w14:paraId="030A5D82">
      <w:pPr>
        <w:shd w:val="clear" w:color="auto" w:fill="FFFFFF"/>
        <w:spacing w:line="360" w:lineRule="auto"/>
        <w:ind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НАКАЗУЮ:</w:t>
      </w:r>
    </w:p>
    <w:p w14:paraId="02E1A446">
      <w:pPr>
        <w:numPr>
          <w:ilvl w:val="0"/>
          <w:numId w:val="1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Створити комісію з розгляду випадків булінгу серед учасників освітнього процесу у такому складі:</w:t>
      </w:r>
    </w:p>
    <w:p w14:paraId="6A8D6268">
      <w:pPr>
        <w:shd w:val="clear" w:color="auto" w:fill="FFFFFF"/>
        <w:spacing w:line="360" w:lineRule="auto"/>
        <w:ind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Голова комісії – директор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/>
        </w:rPr>
        <w:t>Валерій Куцериб</w:t>
      </w:r>
    </w:p>
    <w:p w14:paraId="6135874A">
      <w:pPr>
        <w:shd w:val="clear" w:color="auto" w:fill="FFFFFF"/>
        <w:spacing w:line="360" w:lineRule="auto"/>
        <w:ind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Секретар –заступник директора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Оксана Скабара</w:t>
      </w:r>
    </w:p>
    <w:p w14:paraId="65A1BEF8">
      <w:pPr>
        <w:shd w:val="clear" w:color="auto" w:fill="FFFFFF"/>
        <w:spacing w:line="360" w:lineRule="auto"/>
        <w:ind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Члени комісії:</w:t>
      </w:r>
    </w:p>
    <w:p w14:paraId="050BC194">
      <w:pPr>
        <w:shd w:val="clear" w:color="auto" w:fill="FFFFFF"/>
        <w:spacing w:line="360" w:lineRule="auto"/>
        <w:ind w:right="-1077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/>
        </w:rPr>
        <w:t>Марія Куцериб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– практичний психолог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 соціальний педагог</w:t>
      </w:r>
    </w:p>
    <w:p w14:paraId="39F53D55">
      <w:pPr>
        <w:shd w:val="clear" w:color="auto" w:fill="FFFFFF"/>
        <w:spacing w:line="360" w:lineRule="auto"/>
        <w:ind w:right="-1077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/>
        </w:rPr>
        <w:t>Романія Ящишин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–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/>
        </w:rPr>
        <w:t>вчитель української  мови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5C8416B">
      <w:pPr>
        <w:shd w:val="clear" w:color="auto" w:fill="FFFFFF"/>
        <w:spacing w:line="360" w:lineRule="auto"/>
        <w:ind w:right="-1077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/>
        </w:rPr>
        <w:t>Зоряна Андрусевич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–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/>
        </w:rPr>
        <w:t>вчитель англійської і польської мови</w:t>
      </w:r>
    </w:p>
    <w:p w14:paraId="4B09454F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Затвердити Положення про комісію з розгляду  випадків булінгу у ліцеї.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shd w:val="clear" w:color="auto" w:fill="FFFFFF"/>
        </w:rPr>
        <w:t>(додаток 1)</w:t>
      </w:r>
    </w:p>
    <w:p w14:paraId="4604B35F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Затвердити План заходів з протидії булінгу.</w:t>
      </w:r>
      <w:r>
        <w:rPr>
          <w:rFonts w:ascii="Calibri" w:hAnsi="Calibri" w:eastAsia="Times New Roman" w:cs="Calibri"/>
          <w:color w:val="333333"/>
          <w:sz w:val="22"/>
          <w:szCs w:val="22"/>
          <w:shd w:val="clear" w:color="auto" w:fill="FFFFFF"/>
        </w:rPr>
        <w:t> 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shd w:val="clear" w:color="auto" w:fill="FFFFFF"/>
        </w:rPr>
        <w:t>(додаток 2)</w:t>
      </w:r>
    </w:p>
    <w:p w14:paraId="79ADB1E5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Затвердити Порядок  реагування на доведені випадки булінгу.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shd w:val="clear" w:color="auto" w:fill="FFFFFF"/>
        </w:rPr>
        <w:t>(додаток 3)</w:t>
      </w:r>
    </w:p>
    <w:p w14:paraId="102D8CFA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Затвердити Пам’ятку про відповідальність осіб, причетних до булінгу 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shd w:val="clear" w:color="auto" w:fill="FFFFFF"/>
        </w:rPr>
        <w:t>(додаток 4)</w:t>
      </w:r>
    </w:p>
    <w:p w14:paraId="2450560A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У випадках скликання комісій до її роботи залучати батьків, чиї діти причетні до випадків булінгу.</w:t>
      </w:r>
    </w:p>
    <w:p w14:paraId="3F835E2E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Засідання комісії проводити у випадку письмової заяви керівнику закладу освіти.</w:t>
      </w:r>
    </w:p>
    <w:p w14:paraId="6488925B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З метою профілактики проявів негативної поведінки учнів, чиї дії у майбутньому можуть кваліфікуватися як булінг, невідкладно скликати засідання комісій та залучати батьків учнів до її засідань.</w:t>
      </w:r>
    </w:p>
    <w:p w14:paraId="61CD0A0B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Класним керівникам постійно проводити роз’яснювальну роботу з учнями та батьками щодо їх відповідальності за дії, які прирівнюються до булінгу.</w:t>
      </w:r>
    </w:p>
    <w:p w14:paraId="35A2469F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Довести до відома усіх педагогічних працівників про персональну  відповідальність за випадки булінгу з їх боку чи спробу втаємничення таких випадків зі сторони учнів чи колег по роботі.</w:t>
      </w:r>
    </w:p>
    <w:p w14:paraId="5C6B43C8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З даним наказом ознайомити усіх педагогічних працівників.</w:t>
      </w:r>
    </w:p>
    <w:p w14:paraId="400EB197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Копію  наказу розмістити на офіційному сайті.</w:t>
      </w:r>
    </w:p>
    <w:p w14:paraId="4109696F">
      <w:pPr>
        <w:numPr>
          <w:ilvl w:val="0"/>
          <w:numId w:val="2"/>
        </w:numPr>
        <w:shd w:val="clear" w:color="auto" w:fill="FFFFFF"/>
        <w:spacing w:line="360" w:lineRule="auto"/>
        <w:ind w:left="0" w:right="-1077"/>
        <w:rPr>
          <w:rFonts w:ascii="Arial" w:hAnsi="Arial" w:eastAsia="Times New Roman" w:cs="Arial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Контроль за виконанням  наказу залишаю за собою</w:t>
      </w:r>
    </w:p>
    <w:p w14:paraId="0F38D7CB">
      <w:pPr>
        <w:shd w:val="clear" w:color="auto" w:fill="FFFFFF"/>
        <w:spacing w:line="360" w:lineRule="auto"/>
        <w:ind w:right="-1077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</w:p>
    <w:p w14:paraId="45E2C6C5">
      <w:pPr>
        <w:ind w:right="-107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lang w:val="ru-RU"/>
        </w:rPr>
        <w:t xml:space="preserve"> </w:t>
      </w:r>
      <w:r>
        <w:rPr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алерій 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УЦЕРИБ</w:t>
      </w:r>
    </w:p>
    <w:p w14:paraId="1ECD184D">
      <w:pPr>
        <w:ind w:right="-1077"/>
        <w:rPr>
          <w:rFonts w:ascii="Times New Roman" w:hAnsi="Times New Roman" w:cs="Times New Roman"/>
          <w:sz w:val="28"/>
          <w:szCs w:val="28"/>
          <w:lang w:val="uk-UA"/>
        </w:rPr>
      </w:pPr>
    </w:p>
    <w:p w14:paraId="3FE307E8">
      <w:pPr>
        <w:ind w:right="-107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З наказом ознайомлені: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Оксана С</w:t>
      </w:r>
      <w:r>
        <w:rPr>
          <w:rFonts w:ascii="Times New Roman" w:hAnsi="Times New Roman" w:cs="Times New Roman"/>
          <w:sz w:val="28"/>
          <w:szCs w:val="28"/>
          <w:lang w:val="uk-UA"/>
        </w:rPr>
        <w:t>КАБАРА</w:t>
      </w:r>
    </w:p>
    <w:p w14:paraId="353ABFD1">
      <w:pPr>
        <w:ind w:left="567" w:right="-1077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Марія ПІХ</w:t>
      </w:r>
    </w:p>
    <w:p w14:paraId="41846636">
      <w:pPr>
        <w:ind w:left="567" w:right="-1077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Світлана КАРПЛЮК</w:t>
      </w:r>
    </w:p>
    <w:p w14:paraId="03F6F9FA">
      <w:pPr>
        <w:ind w:left="567" w:right="-1077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Романія  ЯЩИШИН</w:t>
      </w:r>
    </w:p>
    <w:p w14:paraId="092AE8A0">
      <w:pPr>
        <w:ind w:left="567" w:right="-1077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Марія НОВІЦЬКА</w:t>
      </w:r>
    </w:p>
    <w:p w14:paraId="4813DBFE">
      <w:pPr>
        <w:ind w:left="567" w:right="-1077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Юлія ПЕНХЕРСЬКА</w:t>
      </w:r>
    </w:p>
    <w:p w14:paraId="17715F2E">
      <w:pPr>
        <w:ind w:left="567" w:right="-1077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Людмила ЧУБАК</w:t>
      </w:r>
    </w:p>
    <w:p w14:paraId="63F41379">
      <w:pPr>
        <w:ind w:left="567" w:right="-1077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Андрій КОЗАК</w:t>
      </w:r>
    </w:p>
    <w:p w14:paraId="6D341B64">
      <w:pPr>
        <w:ind w:right="-1077" w:firstLine="5180" w:firstLineChars="185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Оксана ПІХ</w:t>
      </w:r>
    </w:p>
    <w:p w14:paraId="3896F53F">
      <w:pPr>
        <w:tabs>
          <w:tab w:val="left" w:pos="5690"/>
        </w:tabs>
        <w:ind w:right="-107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Любов АНТОНИК</w:t>
      </w:r>
    </w:p>
    <w:p w14:paraId="5DF89CE6">
      <w:pPr>
        <w:tabs>
          <w:tab w:val="left" w:pos="5690"/>
        </w:tabs>
        <w:ind w:right="-107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Іванна КРИСА</w:t>
      </w:r>
    </w:p>
    <w:p w14:paraId="7B0C5682">
      <w:pPr>
        <w:tabs>
          <w:tab w:val="left" w:pos="5690"/>
        </w:tabs>
        <w:ind w:right="-107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Анастасія ШМІГЕЛЬ</w:t>
      </w:r>
    </w:p>
    <w:p w14:paraId="732AF3B6">
      <w:pPr>
        <w:tabs>
          <w:tab w:val="left" w:pos="5690"/>
        </w:tabs>
        <w:ind w:right="-107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Марія КУЦЕРИБ</w:t>
      </w:r>
    </w:p>
    <w:p w14:paraId="78744308">
      <w:pPr>
        <w:tabs>
          <w:tab w:val="left" w:pos="5690"/>
        </w:tabs>
        <w:ind w:right="-107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Ольга СОЛТИС</w:t>
      </w:r>
    </w:p>
    <w:p w14:paraId="2A94963F">
      <w:pPr>
        <w:tabs>
          <w:tab w:val="left" w:pos="5690"/>
        </w:tabs>
        <w:ind w:right="-107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Зоряна АНДРУСЕВИЧ</w:t>
      </w:r>
    </w:p>
    <w:p w14:paraId="7024814C">
      <w:pPr>
        <w:tabs>
          <w:tab w:val="left" w:pos="5690"/>
        </w:tabs>
        <w:ind w:right="-107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Василь ВЕСЕЛІВСЬКИЙ</w:t>
      </w:r>
    </w:p>
    <w:p w14:paraId="7B28D90B">
      <w:pPr>
        <w:shd w:val="clear" w:color="auto" w:fill="FFFFFF"/>
        <w:spacing w:line="360" w:lineRule="auto"/>
        <w:ind w:right="-1077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</w:p>
    <w:p w14:paraId="0F3508FD">
      <w:pPr>
        <w:shd w:val="clear" w:color="auto" w:fill="FFFFFF"/>
        <w:spacing w:line="360" w:lineRule="auto"/>
        <w:ind w:right="-1077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</w:p>
    <w:p w14:paraId="30CCAE80">
      <w:pPr>
        <w:ind w:right="-1077"/>
        <w:rPr>
          <w:lang w:val="ru-RU"/>
        </w:rPr>
      </w:pPr>
      <w:r>
        <w:rPr>
          <w:b/>
          <w:sz w:val="28"/>
          <w:szCs w:val="28"/>
          <w:lang w:val="uk-UA"/>
        </w:rPr>
        <w:t xml:space="preserve">               </w:t>
      </w:r>
    </w:p>
    <w:p w14:paraId="3035C41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4934F"/>
    <w:multiLevelType w:val="multilevel"/>
    <w:tmpl w:val="D2B4934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B554B6E"/>
    <w:multiLevelType w:val="multilevel"/>
    <w:tmpl w:val="2B554B6E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2025-10-15T08:07:04Z</dcterms:created>
  <dc:creator>ПК</dc:creator>
  <cp:lastModifiedBy>Оксана Скабара</cp:lastModifiedBy>
  <dcterms:modified xsi:type="dcterms:W3CDTF">2025-10-15T08:07:55Z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B4143AFF56B0403BB83A1E782FD48132_12</vt:lpwstr>
  </property>
</Properties>
</file>