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3C" w:rsidRDefault="00A6673C" w:rsidP="00A6673C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A6673C" w:rsidRDefault="00A6673C" w:rsidP="00A6673C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D113B" w:rsidRPr="0001169A" w:rsidRDefault="00091624" w:rsidP="004D113B">
      <w:pPr>
        <w:spacing w:after="0" w:line="240" w:lineRule="auto"/>
        <w:jc w:val="right"/>
        <w:rPr>
          <w:rFonts w:eastAsia="Calibri" w:cs="Arial"/>
          <w:b/>
          <w:sz w:val="24"/>
          <w:szCs w:val="24"/>
          <w:lang w:eastAsia="en-US"/>
        </w:rPr>
      </w:pPr>
      <w:r w:rsidRPr="0001169A">
        <w:rPr>
          <w:rFonts w:eastAsia="Calibri" w:cs="Arial"/>
          <w:b/>
          <w:sz w:val="24"/>
          <w:szCs w:val="24"/>
          <w:lang w:eastAsia="en-US"/>
        </w:rPr>
        <w:t xml:space="preserve">Αθήνα </w:t>
      </w:r>
      <w:r w:rsidR="00AD03F9" w:rsidRPr="0001169A">
        <w:rPr>
          <w:rFonts w:eastAsia="Calibri" w:cs="Arial"/>
          <w:b/>
          <w:sz w:val="24"/>
          <w:szCs w:val="24"/>
          <w:lang w:eastAsia="en-US"/>
        </w:rPr>
        <w:t>10/02</w:t>
      </w:r>
      <w:r w:rsidR="00293C69" w:rsidRPr="0001169A">
        <w:rPr>
          <w:rFonts w:eastAsia="Calibri" w:cs="Arial"/>
          <w:b/>
          <w:sz w:val="24"/>
          <w:szCs w:val="24"/>
          <w:lang w:eastAsia="en-US"/>
        </w:rPr>
        <w:t>/2021</w:t>
      </w:r>
    </w:p>
    <w:p w:rsidR="004D113B" w:rsidRPr="0001169A" w:rsidRDefault="00091624" w:rsidP="004D113B">
      <w:pPr>
        <w:spacing w:after="0" w:line="240" w:lineRule="auto"/>
        <w:jc w:val="right"/>
        <w:rPr>
          <w:rFonts w:eastAsia="Calibri" w:cs="Arial"/>
          <w:b/>
          <w:sz w:val="24"/>
          <w:szCs w:val="24"/>
          <w:lang w:eastAsia="en-US"/>
        </w:rPr>
      </w:pPr>
      <w:proofErr w:type="spellStart"/>
      <w:r w:rsidRPr="0001169A">
        <w:rPr>
          <w:rFonts w:eastAsia="Calibri" w:cs="Arial"/>
          <w:b/>
          <w:sz w:val="24"/>
          <w:szCs w:val="24"/>
          <w:lang w:eastAsia="en-US"/>
        </w:rPr>
        <w:t>Αρ.Πρωτ</w:t>
      </w:r>
      <w:proofErr w:type="spellEnd"/>
      <w:r w:rsidRPr="0001169A">
        <w:rPr>
          <w:rFonts w:eastAsia="Calibri" w:cs="Arial"/>
          <w:b/>
          <w:sz w:val="24"/>
          <w:szCs w:val="24"/>
          <w:lang w:eastAsia="en-US"/>
        </w:rPr>
        <w:t xml:space="preserve">: </w:t>
      </w:r>
      <w:r w:rsidR="00AD03F9" w:rsidRPr="0001169A">
        <w:rPr>
          <w:rFonts w:eastAsia="Calibri" w:cs="Arial"/>
          <w:b/>
          <w:sz w:val="24"/>
          <w:szCs w:val="24"/>
          <w:lang w:eastAsia="en-US"/>
        </w:rPr>
        <w:t>05/0150</w:t>
      </w:r>
    </w:p>
    <w:p w:rsidR="00293C69" w:rsidRPr="0001169A" w:rsidRDefault="00293C69" w:rsidP="004D113B">
      <w:pPr>
        <w:spacing w:after="0" w:line="240" w:lineRule="auto"/>
        <w:jc w:val="right"/>
        <w:rPr>
          <w:rFonts w:eastAsia="Calibri" w:cs="Arial"/>
          <w:b/>
          <w:sz w:val="24"/>
          <w:szCs w:val="24"/>
          <w:lang w:eastAsia="en-US"/>
        </w:rPr>
      </w:pPr>
    </w:p>
    <w:p w:rsidR="004D113B" w:rsidRPr="0001169A" w:rsidRDefault="004D113B" w:rsidP="004D113B">
      <w:pPr>
        <w:spacing w:after="0" w:line="240" w:lineRule="auto"/>
        <w:jc w:val="right"/>
        <w:rPr>
          <w:rFonts w:eastAsia="Calibri" w:cs="Arial"/>
          <w:b/>
          <w:sz w:val="24"/>
          <w:szCs w:val="24"/>
          <w:lang w:eastAsia="en-US"/>
        </w:rPr>
      </w:pPr>
    </w:p>
    <w:p w:rsidR="00AD03F9" w:rsidRPr="0001169A" w:rsidRDefault="00293C69" w:rsidP="00AD03F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 w:rsidRP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                                                   </w:t>
      </w:r>
      <w:r w:rsidR="0001169A">
        <w:rPr>
          <w:rFonts w:eastAsia="Calibri" w:cs="Arial"/>
          <w:b/>
          <w:sz w:val="24"/>
          <w:szCs w:val="24"/>
          <w:lang w:eastAsia="en-US"/>
        </w:rPr>
        <w:t xml:space="preserve">                 </w:t>
      </w:r>
      <w:r w:rsidR="00AD03F9" w:rsidRPr="0001169A">
        <w:rPr>
          <w:rFonts w:eastAsia="Calibri" w:cs="Arial"/>
          <w:b/>
          <w:sz w:val="24"/>
          <w:szCs w:val="24"/>
          <w:lang w:eastAsia="en-US"/>
        </w:rPr>
        <w:t xml:space="preserve"> </w:t>
      </w:r>
      <w:r w:rsidR="004D113B" w:rsidRPr="0001169A">
        <w:rPr>
          <w:rFonts w:eastAsia="Calibri" w:cs="Arial"/>
          <w:b/>
          <w:sz w:val="24"/>
          <w:szCs w:val="24"/>
          <w:u w:val="single"/>
          <w:lang w:eastAsia="en-US"/>
        </w:rPr>
        <w:t>Προς:</w:t>
      </w:r>
      <w:r w:rsidRPr="0001169A">
        <w:rPr>
          <w:rFonts w:eastAsia="Calibri" w:cs="Arial"/>
          <w:b/>
          <w:sz w:val="24"/>
          <w:szCs w:val="24"/>
          <w:lang w:eastAsia="en-US"/>
        </w:rPr>
        <w:t xml:space="preserve"> </w:t>
      </w:r>
      <w:r w:rsidR="00AD03F9" w:rsidRPr="0001169A">
        <w:rPr>
          <w:rFonts w:eastAsia="Calibri" w:cs="Arial"/>
          <w:b/>
          <w:sz w:val="24"/>
          <w:szCs w:val="24"/>
          <w:lang w:eastAsia="en-US"/>
        </w:rPr>
        <w:t>Υπουργείο Υγείας</w:t>
      </w:r>
    </w:p>
    <w:p w:rsidR="00AD03F9" w:rsidRPr="0001169A" w:rsidRDefault="0001169A" w:rsidP="00AD03F9">
      <w:pPr>
        <w:spacing w:after="0" w:line="240" w:lineRule="auto"/>
        <w:jc w:val="righ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     </w:t>
      </w:r>
      <w:r w:rsidR="00AD03F9" w:rsidRPr="0001169A">
        <w:rPr>
          <w:rFonts w:eastAsia="Calibri" w:cs="Arial"/>
          <w:b/>
          <w:sz w:val="24"/>
          <w:szCs w:val="24"/>
          <w:lang w:eastAsia="en-US"/>
        </w:rPr>
        <w:t>Δ/</w:t>
      </w:r>
      <w:proofErr w:type="spellStart"/>
      <w:r w:rsidR="00AD03F9" w:rsidRPr="0001169A">
        <w:rPr>
          <w:rFonts w:eastAsia="Calibri" w:cs="Arial"/>
          <w:b/>
          <w:sz w:val="24"/>
          <w:szCs w:val="24"/>
          <w:lang w:eastAsia="en-US"/>
        </w:rPr>
        <w:t>νση</w:t>
      </w:r>
      <w:proofErr w:type="spellEnd"/>
      <w:r w:rsidR="00AD03F9" w:rsidRPr="0001169A">
        <w:rPr>
          <w:rFonts w:eastAsia="Calibri" w:cs="Arial"/>
          <w:b/>
          <w:sz w:val="24"/>
          <w:szCs w:val="24"/>
          <w:lang w:eastAsia="en-US"/>
        </w:rPr>
        <w:t xml:space="preserve"> Οργάνωσης και Λειτουργίας</w:t>
      </w:r>
    </w:p>
    <w:p w:rsidR="00AD03F9" w:rsidRPr="0001169A" w:rsidRDefault="00AD03F9" w:rsidP="00AD03F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 w:rsidRP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                                               </w:t>
      </w:r>
      <w:r w:rsid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  </w:t>
      </w:r>
      <w:r w:rsidRPr="0001169A">
        <w:rPr>
          <w:rFonts w:eastAsia="Calibri" w:cs="Arial"/>
          <w:b/>
          <w:sz w:val="24"/>
          <w:szCs w:val="24"/>
          <w:lang w:eastAsia="en-US"/>
        </w:rPr>
        <w:t xml:space="preserve">Νοσηλευτικών Μονάδων και </w:t>
      </w:r>
    </w:p>
    <w:p w:rsidR="00AD03F9" w:rsidRPr="0001169A" w:rsidRDefault="00AD03F9" w:rsidP="00AD03F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 w:rsidRP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                                           </w:t>
      </w:r>
      <w:r w:rsid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</w:t>
      </w:r>
      <w:r w:rsidRPr="0001169A">
        <w:rPr>
          <w:rFonts w:eastAsia="Calibri" w:cs="Arial"/>
          <w:b/>
          <w:sz w:val="24"/>
          <w:szCs w:val="24"/>
          <w:lang w:eastAsia="en-US"/>
        </w:rPr>
        <w:t>Εποπτευομένων Φορέων</w:t>
      </w:r>
    </w:p>
    <w:p w:rsidR="00293C69" w:rsidRDefault="00AD03F9" w:rsidP="00AD03F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1169A">
        <w:rPr>
          <w:rFonts w:eastAsia="Calibri" w:cs="Arial"/>
          <w:b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01169A">
        <w:rPr>
          <w:rFonts w:eastAsia="Calibri" w:cs="Arial"/>
          <w:b/>
          <w:sz w:val="24"/>
          <w:szCs w:val="24"/>
          <w:lang w:eastAsia="en-US"/>
        </w:rPr>
        <w:t xml:space="preserve">              </w:t>
      </w:r>
      <w:r w:rsidRPr="0001169A">
        <w:rPr>
          <w:rFonts w:eastAsia="Calibri" w:cs="Arial"/>
          <w:b/>
          <w:sz w:val="24"/>
          <w:szCs w:val="24"/>
          <w:lang w:eastAsia="en-US"/>
        </w:rPr>
        <w:t xml:space="preserve">Αριστοτέλους 17, Αθήνα </w:t>
      </w:r>
      <w:r w:rsidR="00293C69" w:rsidRPr="0001169A">
        <w:rPr>
          <w:rFonts w:eastAsia="Calibri" w:cs="Arial"/>
          <w:color w:val="FFFFFF"/>
          <w:sz w:val="24"/>
          <w:szCs w:val="24"/>
          <w:lang w:eastAsia="en-US"/>
        </w:rPr>
        <w:t xml:space="preserve"> Εθνική</w:t>
      </w:r>
    </w:p>
    <w:p w:rsidR="00293C69" w:rsidRDefault="00293C69" w:rsidP="00293C69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D03F9" w:rsidRDefault="00293C69" w:rsidP="00AD03F9">
      <w:pPr>
        <w:tabs>
          <w:tab w:val="left" w:pos="7635"/>
          <w:tab w:val="right" w:pos="10490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</w:p>
    <w:p w:rsidR="00293C69" w:rsidRDefault="00293C69" w:rsidP="00293C69">
      <w:pPr>
        <w:tabs>
          <w:tab w:val="left" w:pos="7635"/>
          <w:tab w:val="right" w:pos="10490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                                                  </w:t>
      </w:r>
    </w:p>
    <w:p w:rsidR="00293C69" w:rsidRPr="00293C69" w:rsidRDefault="00293C69" w:rsidP="00293C69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</w:t>
      </w:r>
    </w:p>
    <w:p w:rsidR="00293C69" w:rsidRPr="004D113B" w:rsidRDefault="00293C69" w:rsidP="004D113B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6B5F" w:rsidRPr="0001169A" w:rsidRDefault="004D113B" w:rsidP="004D113B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>Θέμα</w:t>
      </w:r>
      <w:r w:rsidR="00091624" w:rsidRPr="0001169A">
        <w:rPr>
          <w:rFonts w:eastAsia="Calibri" w:cs="Times New Roman"/>
          <w:b/>
          <w:sz w:val="24"/>
          <w:szCs w:val="24"/>
          <w:lang w:eastAsia="en-US"/>
        </w:rPr>
        <w:t xml:space="preserve">: 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 xml:space="preserve">Κατάθεση αιτήματος και σχετικής επιστημονικής τεκμηρίωσης, αναφορικά  με την  αναγνώριση της  εξέτασης της </w:t>
      </w:r>
      <w:proofErr w:type="spellStart"/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καλπροτεκτίνης</w:t>
      </w:r>
      <w:proofErr w:type="spellEnd"/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κοπράνων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, στο πλαίσιο της δευτερογενούς πρόληψης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 και της </w:t>
      </w:r>
      <w:proofErr w:type="spellStart"/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>διαφ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>ο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>ροδιάγνωσης</w:t>
      </w:r>
      <w:proofErr w:type="spellEnd"/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για τους  ασθενείς που πάσχουν από Ι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διοπαθείς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Φ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λεγμονώδεις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Ν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όσους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του 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Ε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>ντέρου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 xml:space="preserve"> (Ι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Φ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ΝΕ)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 xml:space="preserve"> και κοστ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ο</w:t>
      </w:r>
      <w:r w:rsidR="00AD03F9" w:rsidRPr="0001169A">
        <w:rPr>
          <w:rFonts w:eastAsia="Calibri" w:cs="Times New Roman"/>
          <w:b/>
          <w:sz w:val="24"/>
          <w:szCs w:val="24"/>
          <w:lang w:eastAsia="en-US"/>
        </w:rPr>
        <w:t>λόγηση αυτής, προκειμένου να παρέχεται από τον ΕΟΠΥΥ.</w:t>
      </w:r>
    </w:p>
    <w:p w:rsidR="00312A51" w:rsidRPr="0001169A" w:rsidRDefault="00312A51" w:rsidP="004D113B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312A51" w:rsidRPr="0001169A" w:rsidRDefault="00312A51" w:rsidP="0001169A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Σχετικά:</w:t>
      </w:r>
    </w:p>
    <w:p w:rsidR="00696B5F" w:rsidRPr="0001169A" w:rsidRDefault="00696B5F" w:rsidP="0001169A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 xml:space="preserve">1. Το αρ. πρωτ.28/02-02-2021, έγγραφο του Σωματείου Ατόμων με Νόσο </w:t>
      </w:r>
      <w:proofErr w:type="spellStart"/>
      <w:r w:rsidRPr="0001169A">
        <w:rPr>
          <w:rFonts w:eastAsia="Calibri" w:cs="Times New Roman"/>
          <w:sz w:val="24"/>
          <w:szCs w:val="24"/>
          <w:lang w:val="en-US" w:eastAsia="en-US"/>
        </w:rPr>
        <w:t>Crohn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και Ελκώδη Κολίτιδα </w:t>
      </w:r>
      <w:r w:rsidRPr="0001169A">
        <w:rPr>
          <w:rFonts w:eastAsia="Calibri" w:cs="Times New Roman"/>
          <w:sz w:val="24"/>
          <w:szCs w:val="24"/>
          <w:lang w:eastAsia="en-US"/>
        </w:rPr>
        <w:t>Α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χαΐας, με επιστημονική εισήγηση του κ. Κωνσταντίνου 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Κατσάνου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>, Αναπληρωτή Καθηγητή Γαστρεντερολ</w:t>
      </w:r>
      <w:r w:rsidRPr="0001169A">
        <w:rPr>
          <w:rFonts w:eastAsia="Calibri" w:cs="Times New Roman"/>
          <w:sz w:val="24"/>
          <w:szCs w:val="24"/>
          <w:lang w:eastAsia="en-US"/>
        </w:rPr>
        <w:t>ο</w:t>
      </w:r>
      <w:r w:rsidRPr="0001169A">
        <w:rPr>
          <w:rFonts w:eastAsia="Calibri" w:cs="Times New Roman"/>
          <w:sz w:val="24"/>
          <w:szCs w:val="24"/>
          <w:lang w:eastAsia="en-US"/>
        </w:rPr>
        <w:t>γίας Πανεπιστ</w:t>
      </w:r>
      <w:r w:rsidRPr="0001169A">
        <w:rPr>
          <w:rFonts w:eastAsia="Calibri" w:cs="Times New Roman"/>
          <w:sz w:val="24"/>
          <w:szCs w:val="24"/>
          <w:lang w:eastAsia="en-US"/>
        </w:rPr>
        <w:t>η</w:t>
      </w:r>
      <w:r w:rsidRPr="0001169A">
        <w:rPr>
          <w:rFonts w:eastAsia="Calibri" w:cs="Times New Roman"/>
          <w:sz w:val="24"/>
          <w:szCs w:val="24"/>
          <w:lang w:eastAsia="en-US"/>
        </w:rPr>
        <w:t>μίου Ιωαννίνων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01169A">
        <w:rPr>
          <w:rFonts w:eastAsia="Calibri" w:cs="Times New Roman"/>
          <w:sz w:val="24"/>
          <w:szCs w:val="24"/>
          <w:lang w:eastAsia="en-US"/>
        </w:rPr>
        <w:t>συν/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νο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1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.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     </w:t>
      </w:r>
    </w:p>
    <w:p w:rsidR="00696B5F" w:rsidRPr="0001169A" w:rsidRDefault="00696B5F" w:rsidP="0001169A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 xml:space="preserve">2. Το αρ. πρωτ.29/06-02-2021, έγγραφο του Σωματείου Ατόμων με Νόσο </w:t>
      </w:r>
      <w:proofErr w:type="spellStart"/>
      <w:r w:rsidRPr="0001169A">
        <w:rPr>
          <w:rFonts w:eastAsia="Calibri" w:cs="Times New Roman"/>
          <w:sz w:val="24"/>
          <w:szCs w:val="24"/>
          <w:lang w:val="en-US" w:eastAsia="en-US"/>
        </w:rPr>
        <w:t>Crohn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και Ελκώδη Κολίτιδα </w:t>
      </w:r>
      <w:r w:rsidRPr="0001169A">
        <w:rPr>
          <w:rFonts w:eastAsia="Calibri" w:cs="Times New Roman"/>
          <w:sz w:val="24"/>
          <w:szCs w:val="24"/>
          <w:lang w:eastAsia="en-US"/>
        </w:rPr>
        <w:t>Α</w:t>
      </w:r>
      <w:r w:rsidRPr="0001169A">
        <w:rPr>
          <w:rFonts w:eastAsia="Calibri" w:cs="Times New Roman"/>
          <w:sz w:val="24"/>
          <w:szCs w:val="24"/>
          <w:lang w:eastAsia="en-US"/>
        </w:rPr>
        <w:t>χαΐας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, με παροχή επ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ι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δημιολογικών και οικονομικών στοιχείων συν/</w:t>
      </w:r>
      <w:proofErr w:type="spellStart"/>
      <w:r w:rsidR="004E7343" w:rsidRPr="0001169A">
        <w:rPr>
          <w:rFonts w:eastAsia="Calibri" w:cs="Times New Roman"/>
          <w:sz w:val="24"/>
          <w:szCs w:val="24"/>
          <w:lang w:eastAsia="en-US"/>
        </w:rPr>
        <w:t>νο</w:t>
      </w:r>
      <w:proofErr w:type="spellEnd"/>
      <w:r w:rsidR="004E7343" w:rsidRPr="0001169A">
        <w:rPr>
          <w:rFonts w:eastAsia="Calibri" w:cs="Times New Roman"/>
          <w:sz w:val="24"/>
          <w:szCs w:val="24"/>
          <w:lang w:eastAsia="en-US"/>
        </w:rPr>
        <w:t xml:space="preserve"> 2.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         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Η  Ελληνική Ομοσπονδία Συλλόγων – Σπανίων Νοσημάτων Παθήσεων (Ε.Ο.Σ. - ΣΠΑ.ΝΟ.ΠΑ.),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είναι Δευτ</w:t>
      </w:r>
      <w:r w:rsidRPr="0001169A">
        <w:rPr>
          <w:rFonts w:eastAsia="Calibri" w:cs="Times New Roman"/>
          <w:sz w:val="24"/>
          <w:szCs w:val="24"/>
          <w:lang w:eastAsia="en-US"/>
        </w:rPr>
        <w:t>ε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ροβάθμια Οργάνωση ,κοινωνικού και συνδικαλιστικού χαρακτήρα, η οποία εγκρίθηκε με την 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υπ’αριθμ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>. 461/8-12-2016 διαταγή του Ειρηνοδ</w:t>
      </w:r>
      <w:r w:rsidRPr="0001169A">
        <w:rPr>
          <w:rFonts w:eastAsia="Calibri" w:cs="Times New Roman"/>
          <w:sz w:val="24"/>
          <w:szCs w:val="24"/>
          <w:lang w:eastAsia="en-US"/>
        </w:rPr>
        <w:t>ι</w:t>
      </w:r>
      <w:r w:rsidRPr="0001169A">
        <w:rPr>
          <w:rFonts w:eastAsia="Calibri" w:cs="Times New Roman"/>
          <w:sz w:val="24"/>
          <w:szCs w:val="24"/>
          <w:lang w:eastAsia="en-US"/>
        </w:rPr>
        <w:t>κείου Αθηνών και καταχωρήθηκε με αύξοντα αριθμό 841 στο βιβλίο ομοσπονδιών του Πρωτοδικείου Αθηνών.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Η Ε.Ο.Σ. - ΣΠΑ.ΝΟ.ΠΑ.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είναι μέλος της Εθνικής Συνομοσπονδίας Ατόμων με Αναπηρία (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Ε.Σ.Α.με.Α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>.), σύ</w:t>
      </w:r>
      <w:r w:rsidRPr="0001169A">
        <w:rPr>
          <w:rFonts w:eastAsia="Calibri" w:cs="Times New Roman"/>
          <w:sz w:val="24"/>
          <w:szCs w:val="24"/>
          <w:lang w:eastAsia="en-US"/>
        </w:rPr>
        <w:t>μ</w:t>
      </w:r>
      <w:r w:rsidRPr="0001169A">
        <w:rPr>
          <w:rFonts w:eastAsia="Calibri" w:cs="Times New Roman"/>
          <w:sz w:val="24"/>
          <w:szCs w:val="24"/>
          <w:lang w:eastAsia="en-US"/>
        </w:rPr>
        <w:t>φωνα με την από 16 Φ</w:t>
      </w:r>
      <w:r w:rsidRPr="0001169A">
        <w:rPr>
          <w:rFonts w:eastAsia="Calibri" w:cs="Times New Roman"/>
          <w:sz w:val="24"/>
          <w:szCs w:val="24"/>
          <w:lang w:eastAsia="en-US"/>
        </w:rPr>
        <w:t>ε</w:t>
      </w:r>
      <w:r w:rsidRPr="0001169A">
        <w:rPr>
          <w:rFonts w:eastAsia="Calibri" w:cs="Times New Roman"/>
          <w:sz w:val="24"/>
          <w:szCs w:val="24"/>
          <w:lang w:eastAsia="en-US"/>
        </w:rPr>
        <w:t>βρουαρίου 2018 απόφαση του Γενικού Συμβουλίου της ( αρ. πρωτ.242).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lastRenderedPageBreak/>
        <w:t xml:space="preserve">   Η Ε.Ο.Σ. – ΣΠΑ.ΝΟ.ΠΑ. έχει ως τακτικά μέλη της τους Πρωτοβάθμιους Συλλόγους: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>Α)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 Πανελλήνια Ένωση Αμφιβληστροειδοπαθών (Π.Ε.Α. – ιδρυτικό μέλος)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Β) 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Ελληνική Εταιρία για την Ινώδη Κυστική Νόσο (Ε.Ε.Ι.Κ. – ιδρυτικό μέλος)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>Γ)</w:t>
      </w:r>
      <w:r w:rsidRPr="0001169A">
        <w:rPr>
          <w:rFonts w:eastAsia="Calibri" w:cs="Times New Roman"/>
          <w:sz w:val="24"/>
          <w:szCs w:val="24"/>
          <w:lang w:eastAsia="en-US"/>
        </w:rPr>
        <w:t xml:space="preserve">  Σωματείο Ατόμων με Νόσο του 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Crohn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και Ελκώδη Κολίτιδα Αχαΐας – Ι.Φ.Ν.Ε. Αχαΐας (μέλος - Ιούνιος 2019)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 xml:space="preserve">Επίσης σύμφωνα με το </w:t>
      </w: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αρ.πρακτ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10/12.12.2019 η ομοσπονδία έχει ως αρωγά μέλη α) την  Ελληνική ετα</w:t>
      </w:r>
      <w:r w:rsidRPr="0001169A">
        <w:rPr>
          <w:rFonts w:eastAsia="Calibri" w:cs="Times New Roman"/>
          <w:sz w:val="24"/>
          <w:szCs w:val="24"/>
          <w:lang w:eastAsia="en-US"/>
        </w:rPr>
        <w:t>ι</w:t>
      </w:r>
      <w:r w:rsidRPr="0001169A">
        <w:rPr>
          <w:rFonts w:eastAsia="Calibri" w:cs="Times New Roman"/>
          <w:sz w:val="24"/>
          <w:szCs w:val="24"/>
          <w:lang w:eastAsia="en-US"/>
        </w:rPr>
        <w:t>ρεία Αντιρρευματικού Αγώνα (ΕΛ.Ε.ΑΝ.Α), β) την Ελληνική Εταιρεία Υποστήριξης Παιδιών με Γενετικά Πρ</w:t>
      </w:r>
      <w:r w:rsidRPr="0001169A">
        <w:rPr>
          <w:rFonts w:eastAsia="Calibri" w:cs="Times New Roman"/>
          <w:sz w:val="24"/>
          <w:szCs w:val="24"/>
          <w:lang w:eastAsia="en-US"/>
        </w:rPr>
        <w:t>ο</w:t>
      </w:r>
      <w:r w:rsidRPr="0001169A">
        <w:rPr>
          <w:rFonts w:eastAsia="Calibri" w:cs="Times New Roman"/>
          <w:sz w:val="24"/>
          <w:szCs w:val="24"/>
          <w:lang w:eastAsia="en-US"/>
        </w:rPr>
        <w:t>βλήματα «Το μέλλον» και ως σύνεργά μέλη α) την Ελληνική Ιατρική εταιρεία Αναπηρίας, Κοινωνικής Ασφάλισης και Πρόνοιας (ΕΛΙΕΑΚΑΠ) και β) την Ελληνική Εταιρεία Μελέτης Ενδογενών Μεταβολικών Π</w:t>
      </w:r>
      <w:r w:rsidRPr="0001169A">
        <w:rPr>
          <w:rFonts w:eastAsia="Calibri" w:cs="Times New Roman"/>
          <w:sz w:val="24"/>
          <w:szCs w:val="24"/>
          <w:lang w:eastAsia="en-US"/>
        </w:rPr>
        <w:t>α</w:t>
      </w:r>
      <w:r w:rsidRPr="0001169A">
        <w:rPr>
          <w:rFonts w:eastAsia="Calibri" w:cs="Times New Roman"/>
          <w:sz w:val="24"/>
          <w:szCs w:val="24"/>
          <w:lang w:eastAsia="en-US"/>
        </w:rPr>
        <w:t>θήσεων.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01169A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Η Ο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μοσπονδία διοικείται από επταμελές Διοικητικό Συμβούλιο με τριετή θητεία ενώ το έργο της υποστηρ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ί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ζει συμβουλευτικά Επιστημονική Επιτροπή που απαρτίζεται από έγκριτους επιστήμονες – ερευνητές δι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>α</w:t>
      </w:r>
      <w:r w:rsidR="004E7343" w:rsidRPr="0001169A">
        <w:rPr>
          <w:rFonts w:eastAsia="Calibri" w:cs="Times New Roman"/>
          <w:sz w:val="24"/>
          <w:szCs w:val="24"/>
          <w:lang w:eastAsia="en-US"/>
        </w:rPr>
        <w:t xml:space="preserve">φόρων πεδίων. </w:t>
      </w: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Επίσης συμμετέχει από το 2017 σύμφωνα με το ισχύον θεσμικό πλαίσιο στην Εθνική Επιτροπή Σπανίων Νοσημάτων Παθήσεων του Κεντρικού Συμβουλίου Υγείας (ΚΕΣΥ).</w:t>
      </w:r>
    </w:p>
    <w:p w:rsidR="0001169A" w:rsidRPr="0001169A" w:rsidRDefault="0001169A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01169A">
      <w:pPr>
        <w:spacing w:after="0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01169A" w:rsidRPr="0001169A" w:rsidRDefault="004E7343" w:rsidP="0001169A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Το Διοικητικό Συμβούλιο της 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Ε.Ο.Σ. - ΣΠΑ.ΝΟ.ΠΑ.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, διαβιβάζει τα ανωτέρω σχετικά έγγραφα του τακτ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ι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κού μέλους 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της,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Σωμ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α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τείο Ατόμων με Νόσο </w:t>
      </w:r>
      <w:proofErr w:type="spellStart"/>
      <w:r w:rsidRPr="0001169A">
        <w:rPr>
          <w:rFonts w:eastAsia="Calibri" w:cs="Times New Roman"/>
          <w:b/>
          <w:sz w:val="24"/>
          <w:szCs w:val="24"/>
          <w:lang w:val="en-US" w:eastAsia="en-US"/>
        </w:rPr>
        <w:t>Crohn</w:t>
      </w:r>
      <w:proofErr w:type="spellEnd"/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και Ελκώδη Κολίτιδα Αχαΐας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,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στο  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>Υπουργείο Υγείας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Δ/</w:t>
      </w:r>
      <w:proofErr w:type="spellStart"/>
      <w:r w:rsidRPr="0001169A">
        <w:rPr>
          <w:rFonts w:eastAsia="Calibri" w:cs="Times New Roman"/>
          <w:b/>
          <w:sz w:val="24"/>
          <w:szCs w:val="24"/>
          <w:lang w:eastAsia="en-US"/>
        </w:rPr>
        <w:t>νση</w:t>
      </w:r>
      <w:proofErr w:type="spellEnd"/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Οργάνωσης και Λειτουργίας 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Νοσηλευτικών Μονάδων και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  Εποπτευόμενων Φορέων, ώστε να προωθηθούν αρμοδίως στο Κεντρικό Συμβούλιο Υγείας (ΚΕΣΥ), καταθέτοντας αίτημα α)  για την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αν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α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γνώριση της  εξέτασης της </w:t>
      </w:r>
      <w:proofErr w:type="spellStart"/>
      <w:r w:rsidRPr="0001169A">
        <w:rPr>
          <w:rFonts w:eastAsia="Calibri" w:cs="Times New Roman"/>
          <w:b/>
          <w:sz w:val="24"/>
          <w:szCs w:val="24"/>
          <w:lang w:eastAsia="en-US"/>
        </w:rPr>
        <w:t>καλπροτεκτίνης</w:t>
      </w:r>
      <w:proofErr w:type="spellEnd"/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 xml:space="preserve"> κοπράνων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, στο πλαίσιο της δευτερογενούς πρόληψης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και της </w:t>
      </w:r>
      <w:proofErr w:type="spellStart"/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>διαφοροδιάγνωσης</w:t>
      </w:r>
      <w:proofErr w:type="spellEnd"/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για τους  ασθενείς που πάσχουν από ΙΦΝΕ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και β) για την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κοστολόγηση αυτής, πρ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ο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κειμένου να παρέχεται από τον ΕΟΠΥΥ</w:t>
      </w:r>
      <w:r w:rsidR="00616ECB" w:rsidRPr="0001169A">
        <w:rPr>
          <w:rFonts w:eastAsia="Calibri" w:cs="Times New Roman"/>
          <w:b/>
          <w:sz w:val="24"/>
          <w:szCs w:val="24"/>
          <w:lang w:eastAsia="en-US"/>
        </w:rPr>
        <w:t xml:space="preserve"> στους ασθενείς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.</w:t>
      </w:r>
    </w:p>
    <w:p w:rsidR="0001169A" w:rsidRPr="0001169A" w:rsidRDefault="00616ECB" w:rsidP="0001169A">
      <w:pPr>
        <w:jc w:val="both"/>
        <w:rPr>
          <w:rFonts w:eastAsia="Calibri" w:cs="Times New Roman"/>
          <w:b/>
          <w:sz w:val="24"/>
          <w:szCs w:val="24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Η προληπτική εξέταση </w:t>
      </w:r>
      <w:proofErr w:type="spellStart"/>
      <w:r w:rsidRPr="0001169A">
        <w:rPr>
          <w:rFonts w:eastAsia="Calibri" w:cs="Times New Roman"/>
          <w:b/>
          <w:sz w:val="24"/>
          <w:szCs w:val="24"/>
          <w:lang w:eastAsia="en-US"/>
        </w:rPr>
        <w:t>καλπροτεκτίνης</w:t>
      </w:r>
      <w:proofErr w:type="spellEnd"/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κοπράνων, αποτελεί μία διαγνωστική  δοκιμασία υψηλής ευα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>ι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σθησίας και ειδικότητας για ενήλικούς και ανήλικους ασθενείς με </w:t>
      </w:r>
      <w:r w:rsidRPr="0001169A">
        <w:rPr>
          <w:rFonts w:eastAsia="Calibri" w:cs="Times New Roman"/>
          <w:b/>
          <w:sz w:val="24"/>
          <w:szCs w:val="24"/>
        </w:rPr>
        <w:t>φλεγμονώδη νοσήματα του εντέρου</w:t>
      </w:r>
      <w:r w:rsidRPr="0001169A">
        <w:rPr>
          <w:rFonts w:eastAsia="Calibri" w:cs="Times New Roman"/>
          <w:b/>
          <w:sz w:val="24"/>
          <w:szCs w:val="24"/>
        </w:rPr>
        <w:t xml:space="preserve">, </w:t>
      </w:r>
      <w:r w:rsidRPr="0001169A">
        <w:rPr>
          <w:rFonts w:eastAsia="Calibri" w:cs="Times New Roman"/>
          <w:b/>
          <w:sz w:val="24"/>
          <w:szCs w:val="24"/>
        </w:rPr>
        <w:t>μειώνει την ανάγκη για ενδ</w:t>
      </w:r>
      <w:r w:rsidRPr="0001169A">
        <w:rPr>
          <w:rFonts w:eastAsia="Calibri" w:cs="Times New Roman"/>
          <w:b/>
          <w:sz w:val="24"/>
          <w:szCs w:val="24"/>
        </w:rPr>
        <w:t>ο</w:t>
      </w:r>
      <w:r w:rsidRPr="0001169A">
        <w:rPr>
          <w:rFonts w:eastAsia="Calibri" w:cs="Times New Roman"/>
          <w:b/>
          <w:sz w:val="24"/>
          <w:szCs w:val="24"/>
        </w:rPr>
        <w:t>σκόπηση ή ακτινολογικές εξετάσεις σε ένα μεγάλο μέρος των ασθενών</w:t>
      </w:r>
      <w:r w:rsidRPr="0001169A">
        <w:rPr>
          <w:rFonts w:eastAsia="Calibri" w:cs="Times New Roman"/>
          <w:b/>
          <w:sz w:val="24"/>
          <w:szCs w:val="24"/>
        </w:rPr>
        <w:t xml:space="preserve">, ενώ επίσης  </w:t>
      </w:r>
      <w:r w:rsidRPr="0001169A">
        <w:rPr>
          <w:rFonts w:eastAsia="Calibri" w:cs="Times New Roman"/>
          <w:b/>
          <w:sz w:val="24"/>
          <w:szCs w:val="24"/>
        </w:rPr>
        <w:t xml:space="preserve">αποτελεί έναν αξιόπιστο δείκτη και για τη </w:t>
      </w:r>
      <w:proofErr w:type="spellStart"/>
      <w:r w:rsidRPr="0001169A">
        <w:rPr>
          <w:rFonts w:eastAsia="Calibri" w:cs="Times New Roman"/>
          <w:b/>
          <w:sz w:val="24"/>
          <w:szCs w:val="24"/>
        </w:rPr>
        <w:t>διαφοροδιάγνωση</w:t>
      </w:r>
      <w:proofErr w:type="spellEnd"/>
      <w:r w:rsidRPr="0001169A">
        <w:rPr>
          <w:rFonts w:eastAsia="Calibri" w:cs="Times New Roman"/>
          <w:b/>
          <w:sz w:val="24"/>
          <w:szCs w:val="24"/>
        </w:rPr>
        <w:t xml:space="preserve"> του συνδρόμου του ευερέθ</w:t>
      </w:r>
      <w:r w:rsidRPr="0001169A">
        <w:rPr>
          <w:rFonts w:eastAsia="Calibri" w:cs="Times New Roman"/>
          <w:b/>
          <w:sz w:val="24"/>
          <w:szCs w:val="24"/>
        </w:rPr>
        <w:t>ι</w:t>
      </w:r>
      <w:r w:rsidRPr="0001169A">
        <w:rPr>
          <w:rFonts w:eastAsia="Calibri" w:cs="Times New Roman"/>
          <w:b/>
          <w:sz w:val="24"/>
          <w:szCs w:val="24"/>
        </w:rPr>
        <w:t>στου εντέρου (σπαστική κολίτιδα, IBS) από τα φλεγμονώδη νοσήματα του εντ</w:t>
      </w:r>
      <w:r w:rsidRPr="0001169A">
        <w:rPr>
          <w:rFonts w:eastAsia="Calibri" w:cs="Times New Roman"/>
          <w:b/>
          <w:sz w:val="24"/>
          <w:szCs w:val="24"/>
        </w:rPr>
        <w:t>έ</w:t>
      </w:r>
      <w:r w:rsidRPr="0001169A">
        <w:rPr>
          <w:rFonts w:eastAsia="Calibri" w:cs="Times New Roman"/>
          <w:b/>
          <w:sz w:val="24"/>
          <w:szCs w:val="24"/>
        </w:rPr>
        <w:t>ρου</w:t>
      </w:r>
      <w:r w:rsidRPr="0001169A">
        <w:rPr>
          <w:rFonts w:eastAsia="Calibri" w:cs="Times New Roman"/>
          <w:b/>
          <w:sz w:val="24"/>
          <w:szCs w:val="24"/>
        </w:rPr>
        <w:t>.</w:t>
      </w:r>
    </w:p>
    <w:p w:rsidR="00616ECB" w:rsidRDefault="00616ECB" w:rsidP="0001169A">
      <w:pPr>
        <w:jc w:val="both"/>
        <w:rPr>
          <w:rFonts w:eastAsia="Calibri" w:cs="Times New Roman"/>
          <w:b/>
          <w:sz w:val="24"/>
          <w:szCs w:val="24"/>
        </w:rPr>
      </w:pPr>
      <w:r w:rsidRPr="0001169A">
        <w:rPr>
          <w:rFonts w:eastAsia="Calibri" w:cs="Times New Roman"/>
          <w:b/>
          <w:sz w:val="24"/>
          <w:szCs w:val="24"/>
        </w:rPr>
        <w:t xml:space="preserve">Η εν λόγω εξέταση αφορά </w:t>
      </w:r>
      <w:r w:rsidRPr="0001169A">
        <w:rPr>
          <w:rFonts w:eastAsia="Calibri" w:cs="Times New Roman"/>
          <w:b/>
          <w:sz w:val="24"/>
          <w:szCs w:val="24"/>
        </w:rPr>
        <w:t>περίπου 30.000</w:t>
      </w:r>
      <w:r w:rsidRPr="0001169A">
        <w:rPr>
          <w:rFonts w:eastAsia="Calibri" w:cs="Times New Roman"/>
          <w:b/>
          <w:sz w:val="24"/>
          <w:szCs w:val="24"/>
        </w:rPr>
        <w:t xml:space="preserve"> ασθενείς στην Ελλάδα,</w:t>
      </w:r>
      <w:r w:rsidR="00210F10" w:rsidRPr="0001169A">
        <w:rPr>
          <w:rFonts w:eastAsia="Calibri" w:cs="Times New Roman"/>
          <w:b/>
          <w:sz w:val="24"/>
          <w:szCs w:val="24"/>
        </w:rPr>
        <w:t xml:space="preserve"> όπου </w:t>
      </w:r>
      <w:r w:rsidRPr="0001169A">
        <w:rPr>
          <w:rFonts w:eastAsia="Calibri" w:cs="Times New Roman"/>
          <w:b/>
          <w:sz w:val="24"/>
          <w:szCs w:val="24"/>
        </w:rPr>
        <w:t>προτείνεται να διενεργείται 4 φορές κ</w:t>
      </w:r>
      <w:r w:rsidRPr="0001169A">
        <w:rPr>
          <w:rFonts w:eastAsia="Calibri" w:cs="Times New Roman"/>
          <w:b/>
          <w:sz w:val="24"/>
          <w:szCs w:val="24"/>
        </w:rPr>
        <w:t>α</w:t>
      </w:r>
      <w:r w:rsidRPr="0001169A">
        <w:rPr>
          <w:rFonts w:eastAsia="Calibri" w:cs="Times New Roman"/>
          <w:b/>
          <w:sz w:val="24"/>
          <w:szCs w:val="24"/>
        </w:rPr>
        <w:t>τά έτος ανά ασθενή και έχει μέ</w:t>
      </w:r>
      <w:r w:rsidR="00312A51" w:rsidRPr="0001169A">
        <w:rPr>
          <w:rFonts w:eastAsia="Calibri" w:cs="Times New Roman"/>
          <w:b/>
          <w:sz w:val="24"/>
          <w:szCs w:val="24"/>
        </w:rPr>
        <w:t>ση τιμή στην αγορά 60 ευρώ</w:t>
      </w:r>
      <w:r w:rsidRPr="0001169A">
        <w:rPr>
          <w:rFonts w:eastAsia="Calibri" w:cs="Times New Roman"/>
          <w:b/>
          <w:sz w:val="24"/>
          <w:szCs w:val="24"/>
        </w:rPr>
        <w:t xml:space="preserve"> </w:t>
      </w:r>
      <w:r w:rsidR="00312A51" w:rsidRPr="0001169A">
        <w:rPr>
          <w:rFonts w:eastAsia="Calibri" w:cs="Times New Roman"/>
          <w:b/>
          <w:sz w:val="24"/>
          <w:szCs w:val="24"/>
        </w:rPr>
        <w:t xml:space="preserve">(μέγιστος </w:t>
      </w:r>
      <w:r w:rsidRPr="0001169A">
        <w:rPr>
          <w:rFonts w:eastAsia="Calibri" w:cs="Times New Roman"/>
          <w:b/>
          <w:sz w:val="24"/>
          <w:szCs w:val="24"/>
        </w:rPr>
        <w:t>εκτιμώμενος αριθμός</w:t>
      </w:r>
      <w:r w:rsidR="00312A51" w:rsidRPr="0001169A">
        <w:rPr>
          <w:rFonts w:eastAsia="Calibri" w:cs="Times New Roman"/>
          <w:b/>
          <w:sz w:val="24"/>
          <w:szCs w:val="24"/>
        </w:rPr>
        <w:t xml:space="preserve"> πράξεων στη Χώρα ανά έτος </w:t>
      </w:r>
      <w:r w:rsidRPr="0001169A">
        <w:rPr>
          <w:rFonts w:eastAsia="Calibri" w:cs="Times New Roman"/>
          <w:b/>
          <w:sz w:val="24"/>
          <w:szCs w:val="24"/>
        </w:rPr>
        <w:t xml:space="preserve"> περίπου </w:t>
      </w:r>
      <w:r w:rsidRPr="0001169A">
        <w:rPr>
          <w:rFonts w:eastAsia="Calibri" w:cs="Times New Roman"/>
          <w:b/>
          <w:bCs/>
          <w:sz w:val="24"/>
          <w:szCs w:val="24"/>
        </w:rPr>
        <w:t>120.000</w:t>
      </w:r>
      <w:r w:rsidR="00312A51" w:rsidRPr="0001169A">
        <w:rPr>
          <w:rFonts w:eastAsia="Calibri" w:cs="Times New Roman"/>
          <w:b/>
          <w:sz w:val="24"/>
          <w:szCs w:val="24"/>
        </w:rPr>
        <w:t xml:space="preserve"> πράξεις).</w:t>
      </w:r>
    </w:p>
    <w:p w:rsidR="0001169A" w:rsidRDefault="0001169A" w:rsidP="0001169A">
      <w:pPr>
        <w:jc w:val="both"/>
        <w:rPr>
          <w:rFonts w:eastAsia="Calibri" w:cs="Times New Roman"/>
          <w:b/>
          <w:sz w:val="24"/>
          <w:szCs w:val="24"/>
        </w:rPr>
      </w:pPr>
    </w:p>
    <w:p w:rsidR="0001169A" w:rsidRPr="0001169A" w:rsidRDefault="0001169A" w:rsidP="0001169A">
      <w:pPr>
        <w:jc w:val="both"/>
        <w:rPr>
          <w:rFonts w:eastAsia="Calibri" w:cs="Times New Roman"/>
          <w:b/>
          <w:sz w:val="24"/>
          <w:szCs w:val="24"/>
        </w:rPr>
      </w:pPr>
    </w:p>
    <w:p w:rsidR="00312A51" w:rsidRDefault="00312A51" w:rsidP="0001169A">
      <w:pPr>
        <w:jc w:val="both"/>
        <w:rPr>
          <w:rFonts w:eastAsia="Calibri" w:cs="Times New Roman"/>
          <w:b/>
          <w:sz w:val="24"/>
          <w:szCs w:val="24"/>
        </w:rPr>
      </w:pPr>
      <w:r w:rsidRPr="0001169A">
        <w:rPr>
          <w:rFonts w:eastAsia="Calibri" w:cs="Times New Roman"/>
          <w:b/>
          <w:sz w:val="24"/>
          <w:szCs w:val="24"/>
        </w:rPr>
        <w:lastRenderedPageBreak/>
        <w:t xml:space="preserve">Η αναγνώριση της εν λόγω εξέτασης,  η κοστολόγησή της σε χαμηλότερη ασφαλιστική τιμή και η εξ </w:t>
      </w:r>
      <w:r w:rsidRPr="0001169A">
        <w:rPr>
          <w:rFonts w:eastAsia="Calibri" w:cs="Times New Roman"/>
          <w:b/>
          <w:sz w:val="24"/>
          <w:szCs w:val="24"/>
        </w:rPr>
        <w:t>ο</w:t>
      </w:r>
      <w:r w:rsidRPr="0001169A">
        <w:rPr>
          <w:rFonts w:eastAsia="Calibri" w:cs="Times New Roman"/>
          <w:b/>
          <w:sz w:val="24"/>
          <w:szCs w:val="24"/>
        </w:rPr>
        <w:t>λοκλήρου κάλυψη της για τους ασθενείς(0 % συμμετοχή</w:t>
      </w:r>
      <w:r w:rsidR="00210F10" w:rsidRPr="0001169A">
        <w:rPr>
          <w:rFonts w:eastAsia="Calibri" w:cs="Times New Roman"/>
          <w:b/>
          <w:sz w:val="24"/>
          <w:szCs w:val="24"/>
        </w:rPr>
        <w:t>)</w:t>
      </w:r>
      <w:r w:rsidRPr="0001169A">
        <w:rPr>
          <w:rFonts w:eastAsia="Calibri" w:cs="Times New Roman"/>
          <w:b/>
          <w:sz w:val="24"/>
          <w:szCs w:val="24"/>
        </w:rPr>
        <w:t xml:space="preserve"> από</w:t>
      </w:r>
      <w:r w:rsidR="00210F10" w:rsidRPr="0001169A">
        <w:rPr>
          <w:rFonts w:eastAsia="Calibri" w:cs="Times New Roman"/>
          <w:b/>
          <w:sz w:val="24"/>
          <w:szCs w:val="24"/>
        </w:rPr>
        <w:t xml:space="preserve"> τον ΕΟΠΥΥ (μέση εκτίμηση δαπάνης κατά έτος 400.000 ευρώ),</w:t>
      </w:r>
      <w:r w:rsidRPr="0001169A">
        <w:rPr>
          <w:rFonts w:eastAsia="Calibri" w:cs="Times New Roman"/>
          <w:b/>
          <w:sz w:val="24"/>
          <w:szCs w:val="24"/>
        </w:rPr>
        <w:t xml:space="preserve"> θα συμβάλλει καθορ</w:t>
      </w:r>
      <w:r w:rsidRPr="0001169A">
        <w:rPr>
          <w:rFonts w:eastAsia="Calibri" w:cs="Times New Roman"/>
          <w:b/>
          <w:sz w:val="24"/>
          <w:szCs w:val="24"/>
        </w:rPr>
        <w:t>ι</w:t>
      </w:r>
      <w:r w:rsidRPr="0001169A">
        <w:rPr>
          <w:rFonts w:eastAsia="Calibri" w:cs="Times New Roman"/>
          <w:b/>
          <w:sz w:val="24"/>
          <w:szCs w:val="24"/>
        </w:rPr>
        <w:t>στικά στην μείωση της δαπάνης κάλυψης των ενδοσκοπικών και ακτινολογικών εξετάσεων που θα έκαναν οι ασθενείς αντί αυτής, αλλά και της επιπλέον επιβάρυ</w:t>
      </w:r>
      <w:r w:rsidRPr="0001169A">
        <w:rPr>
          <w:rFonts w:eastAsia="Calibri" w:cs="Times New Roman"/>
          <w:b/>
          <w:sz w:val="24"/>
          <w:szCs w:val="24"/>
        </w:rPr>
        <w:t>ν</w:t>
      </w:r>
      <w:r w:rsidRPr="0001169A">
        <w:rPr>
          <w:rFonts w:eastAsia="Calibri" w:cs="Times New Roman"/>
          <w:b/>
          <w:sz w:val="24"/>
          <w:szCs w:val="24"/>
        </w:rPr>
        <w:t xml:space="preserve">σης του συστήματος </w:t>
      </w:r>
      <w:r w:rsidR="00210F10" w:rsidRPr="0001169A">
        <w:rPr>
          <w:rFonts w:eastAsia="Calibri" w:cs="Times New Roman"/>
          <w:b/>
          <w:sz w:val="24"/>
          <w:szCs w:val="24"/>
        </w:rPr>
        <w:t xml:space="preserve"> παροχών υγείας </w:t>
      </w:r>
      <w:r w:rsidRPr="0001169A">
        <w:rPr>
          <w:rFonts w:eastAsia="Calibri" w:cs="Times New Roman"/>
          <w:b/>
          <w:sz w:val="24"/>
          <w:szCs w:val="24"/>
        </w:rPr>
        <w:t xml:space="preserve">από δευτερογενής βλάβες και τις θεραπείες τους </w:t>
      </w:r>
      <w:r w:rsidR="00210F10" w:rsidRPr="0001169A">
        <w:rPr>
          <w:rFonts w:eastAsia="Calibri" w:cs="Times New Roman"/>
          <w:b/>
          <w:sz w:val="24"/>
          <w:szCs w:val="24"/>
        </w:rPr>
        <w:t>και του κόστους που προκαλούν.</w:t>
      </w:r>
    </w:p>
    <w:p w:rsidR="0001169A" w:rsidRPr="0001169A" w:rsidRDefault="0001169A" w:rsidP="0001169A">
      <w:pPr>
        <w:jc w:val="both"/>
        <w:rPr>
          <w:rFonts w:eastAsia="Calibri" w:cs="Times New Roman"/>
          <w:b/>
          <w:sz w:val="24"/>
          <w:szCs w:val="24"/>
        </w:rPr>
      </w:pPr>
    </w:p>
    <w:p w:rsidR="00312A51" w:rsidRPr="0001169A" w:rsidRDefault="00312A51" w:rsidP="0001169A">
      <w:pPr>
        <w:jc w:val="both"/>
        <w:rPr>
          <w:rFonts w:eastAsia="Calibri" w:cs="Times New Roman"/>
          <w:b/>
          <w:sz w:val="24"/>
          <w:szCs w:val="24"/>
        </w:rPr>
      </w:pPr>
      <w:r w:rsidRPr="0001169A">
        <w:rPr>
          <w:rFonts w:eastAsia="Calibri" w:cs="Times New Roman"/>
          <w:b/>
          <w:sz w:val="24"/>
          <w:szCs w:val="24"/>
        </w:rPr>
        <w:t xml:space="preserve">Η Ομοσπονδία κρίνει ότι είναι καθοριστική η εισαγωγή της εξέτασης της </w:t>
      </w:r>
      <w:proofErr w:type="spellStart"/>
      <w:r w:rsidRPr="0001169A">
        <w:rPr>
          <w:rFonts w:eastAsia="Calibri" w:cs="Times New Roman"/>
          <w:b/>
          <w:sz w:val="24"/>
          <w:szCs w:val="24"/>
        </w:rPr>
        <w:t>καλπροτεκτίνης</w:t>
      </w:r>
      <w:proofErr w:type="spellEnd"/>
      <w:r w:rsidRPr="0001169A">
        <w:rPr>
          <w:rFonts w:eastAsia="Calibri" w:cs="Times New Roman"/>
          <w:b/>
          <w:sz w:val="24"/>
          <w:szCs w:val="24"/>
        </w:rPr>
        <w:t xml:space="preserve"> κοπράνων στο σύστημα των προληπτικών  διαγνωστικών εξετάσεων για τους </w:t>
      </w:r>
      <w:r w:rsidR="00210F10" w:rsidRPr="0001169A">
        <w:rPr>
          <w:rFonts w:eastAsia="Calibri" w:cs="Times New Roman"/>
          <w:b/>
          <w:sz w:val="24"/>
          <w:szCs w:val="24"/>
        </w:rPr>
        <w:t xml:space="preserve"> διαγνωσμένους </w:t>
      </w:r>
      <w:r w:rsidRPr="0001169A">
        <w:rPr>
          <w:rFonts w:eastAsia="Calibri" w:cs="Times New Roman"/>
          <w:b/>
          <w:sz w:val="24"/>
          <w:szCs w:val="24"/>
        </w:rPr>
        <w:t>ασθενείς</w:t>
      </w:r>
      <w:r w:rsidR="00210F10" w:rsidRPr="0001169A">
        <w:rPr>
          <w:rFonts w:eastAsia="Calibri" w:cs="Times New Roman"/>
          <w:b/>
          <w:sz w:val="24"/>
          <w:szCs w:val="24"/>
        </w:rPr>
        <w:t xml:space="preserve"> με ΙΦΝΕ</w:t>
      </w:r>
      <w:r w:rsidRPr="0001169A">
        <w:rPr>
          <w:rFonts w:eastAsia="Calibri" w:cs="Times New Roman"/>
          <w:b/>
          <w:sz w:val="24"/>
          <w:szCs w:val="24"/>
        </w:rPr>
        <w:t>, π</w:t>
      </w:r>
      <w:r w:rsidRPr="0001169A">
        <w:rPr>
          <w:rFonts w:eastAsia="Calibri" w:cs="Times New Roman"/>
          <w:b/>
          <w:sz w:val="24"/>
          <w:szCs w:val="24"/>
        </w:rPr>
        <w:t>α</w:t>
      </w:r>
      <w:r w:rsidRPr="0001169A">
        <w:rPr>
          <w:rFonts w:eastAsia="Calibri" w:cs="Times New Roman"/>
          <w:b/>
          <w:sz w:val="24"/>
          <w:szCs w:val="24"/>
        </w:rPr>
        <w:t>ρέχοντας αντιστα</w:t>
      </w:r>
      <w:r w:rsidRPr="0001169A">
        <w:rPr>
          <w:rFonts w:eastAsia="Calibri" w:cs="Times New Roman"/>
          <w:b/>
          <w:sz w:val="24"/>
          <w:szCs w:val="24"/>
        </w:rPr>
        <w:t>θ</w:t>
      </w:r>
      <w:r w:rsidRPr="0001169A">
        <w:rPr>
          <w:rFonts w:eastAsia="Calibri" w:cs="Times New Roman"/>
          <w:b/>
          <w:sz w:val="24"/>
          <w:szCs w:val="24"/>
        </w:rPr>
        <w:t>μιστικό όφελος, τόσο σε οικονομικό επίπεδο, όσο και στην βελτίωση της ποιότητας ζωής των ενδιαφ</w:t>
      </w:r>
      <w:r w:rsidRPr="0001169A">
        <w:rPr>
          <w:rFonts w:eastAsia="Calibri" w:cs="Times New Roman"/>
          <w:b/>
          <w:sz w:val="24"/>
          <w:szCs w:val="24"/>
        </w:rPr>
        <w:t>ε</w:t>
      </w:r>
      <w:r w:rsidRPr="0001169A">
        <w:rPr>
          <w:rFonts w:eastAsia="Calibri" w:cs="Times New Roman"/>
          <w:b/>
          <w:sz w:val="24"/>
          <w:szCs w:val="24"/>
        </w:rPr>
        <w:t>ρομένων.</w:t>
      </w:r>
    </w:p>
    <w:p w:rsidR="00312A51" w:rsidRPr="0001169A" w:rsidRDefault="00312A51" w:rsidP="0001169A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 xml:space="preserve">Ευχαριστούμε θερμά για την συνεργασία σας και ευελπιστούμε για τη θετική σας ανταπόκριση. </w:t>
      </w:r>
    </w:p>
    <w:p w:rsidR="00312A51" w:rsidRPr="0001169A" w:rsidRDefault="00312A51" w:rsidP="0001169A">
      <w:pPr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Συν/να 1,2 έγγραφα</w:t>
      </w:r>
      <w:bookmarkStart w:id="0" w:name="_GoBack"/>
      <w:bookmarkEnd w:id="0"/>
    </w:p>
    <w:p w:rsidR="00210F10" w:rsidRPr="0001169A" w:rsidRDefault="00210F10" w:rsidP="0001169A">
      <w:pPr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01169A">
        <w:rPr>
          <w:rFonts w:eastAsia="Calibri" w:cs="Times New Roman"/>
          <w:sz w:val="24"/>
          <w:szCs w:val="24"/>
          <w:lang w:eastAsia="en-US"/>
        </w:rPr>
        <w:t>Κοιν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/ση: Σωματείο Ατόμων με Νόσο </w:t>
      </w:r>
      <w:proofErr w:type="spellStart"/>
      <w:r w:rsidRPr="0001169A">
        <w:rPr>
          <w:rFonts w:eastAsia="Calibri" w:cs="Times New Roman"/>
          <w:sz w:val="24"/>
          <w:szCs w:val="24"/>
          <w:lang w:val="en-US" w:eastAsia="en-US"/>
        </w:rPr>
        <w:t>Crohn</w:t>
      </w:r>
      <w:proofErr w:type="spellEnd"/>
      <w:r w:rsidRPr="0001169A">
        <w:rPr>
          <w:rFonts w:eastAsia="Calibri" w:cs="Times New Roman"/>
          <w:sz w:val="24"/>
          <w:szCs w:val="24"/>
          <w:lang w:eastAsia="en-US"/>
        </w:rPr>
        <w:t xml:space="preserve"> και Ελκώδη Κολίτιδα Αχαΐας                                               </w:t>
      </w:r>
    </w:p>
    <w:p w:rsidR="00210F10" w:rsidRPr="0001169A" w:rsidRDefault="00210F10" w:rsidP="00312A51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312A51" w:rsidRPr="0001169A" w:rsidRDefault="00312A51" w:rsidP="004E7343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4E7343" w:rsidRPr="0001169A" w:rsidRDefault="004E7343" w:rsidP="00312A51">
      <w:pPr>
        <w:rPr>
          <w:rFonts w:eastAsia="Calibri" w:cs="Times New Roman"/>
          <w:b/>
          <w:sz w:val="24"/>
          <w:szCs w:val="24"/>
          <w:lang w:eastAsia="en-US"/>
        </w:rPr>
      </w:pP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                              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 </w:t>
      </w:r>
      <w:r w:rsidR="00210F10" w:rsidRPr="0001169A">
        <w:rPr>
          <w:rFonts w:eastAsia="Calibri" w:cs="Times New Roman"/>
          <w:b/>
          <w:sz w:val="24"/>
          <w:szCs w:val="24"/>
          <w:lang w:eastAsia="en-US"/>
        </w:rPr>
        <w:t xml:space="preserve">                 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    </w:t>
      </w:r>
      <w:r w:rsidRPr="0001169A">
        <w:rPr>
          <w:rFonts w:eastAsia="Calibri" w:cs="Times New Roman"/>
          <w:b/>
          <w:sz w:val="24"/>
          <w:szCs w:val="24"/>
          <w:lang w:eastAsia="en-US"/>
        </w:rPr>
        <w:t xml:space="preserve">   </w:t>
      </w:r>
      <w:r w:rsidR="00312A51" w:rsidRPr="0001169A">
        <w:rPr>
          <w:rFonts w:eastAsia="Calibri" w:cs="Times New Roman"/>
          <w:b/>
          <w:sz w:val="24"/>
          <w:szCs w:val="24"/>
          <w:lang w:eastAsia="en-US"/>
        </w:rPr>
        <w:t xml:space="preserve">                          </w:t>
      </w:r>
    </w:p>
    <w:p w:rsidR="004D113B" w:rsidRPr="0001169A" w:rsidRDefault="004D113B" w:rsidP="00312A51">
      <w:pPr>
        <w:spacing w:after="0" w:line="240" w:lineRule="auto"/>
        <w:ind w:right="-58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</w:p>
    <w:p w:rsidR="004D113B" w:rsidRPr="0001169A" w:rsidRDefault="004D113B" w:rsidP="00312A51">
      <w:pPr>
        <w:tabs>
          <w:tab w:val="left" w:pos="1290"/>
        </w:tabs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Με τιμή,</w:t>
      </w:r>
    </w:p>
    <w:p w:rsidR="004D113B" w:rsidRPr="0001169A" w:rsidRDefault="004D113B" w:rsidP="00312A51">
      <w:pPr>
        <w:spacing w:after="0"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  <w:r w:rsidRPr="0001169A">
        <w:rPr>
          <w:rFonts w:eastAsia="Calibri" w:cs="Times New Roman"/>
          <w:sz w:val="24"/>
          <w:szCs w:val="24"/>
          <w:lang w:eastAsia="en-US"/>
        </w:rPr>
        <w:t>Για το Διοικητικό Συμβούλιο</w:t>
      </w:r>
    </w:p>
    <w:p w:rsidR="00ED6EA2" w:rsidRPr="0001169A" w:rsidRDefault="00ED6EA2" w:rsidP="00ED6EA2">
      <w:pPr>
        <w:spacing w:after="0"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06473F" w:rsidRPr="004D113B" w:rsidRDefault="00210F10" w:rsidP="00ED6EA2">
      <w:pPr>
        <w:jc w:val="center"/>
        <w:rPr>
          <w:rFonts w:ascii="Calibri" w:eastAsia="Calibri" w:hAnsi="Calibri" w:cs="Times New Roman"/>
          <w:szCs w:val="24"/>
          <w:lang w:eastAsia="en-US"/>
        </w:rPr>
      </w:pPr>
      <w:r>
        <w:rPr>
          <w:rFonts w:ascii="Calibri" w:eastAsia="Calibri" w:hAnsi="Calibri" w:cs="Times New Roman"/>
          <w:noProof/>
          <w:szCs w:val="24"/>
        </w:rPr>
        <w:drawing>
          <wp:inline distT="0" distB="0" distL="0" distR="0" wp14:anchorId="53C3C80C" wp14:editId="18DE55D8">
            <wp:extent cx="4773295" cy="2212975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473F" w:rsidRPr="004D113B" w:rsidSect="00B13F6F">
      <w:footerReference w:type="default" r:id="rId10"/>
      <w:headerReference w:type="first" r:id="rId11"/>
      <w:footerReference w:type="first" r:id="rId12"/>
      <w:pgSz w:w="11906" w:h="16838"/>
      <w:pgMar w:top="1440" w:right="707" w:bottom="1440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26" w:rsidRDefault="000F7B26" w:rsidP="00B701A0">
      <w:pPr>
        <w:spacing w:after="0" w:line="240" w:lineRule="auto"/>
      </w:pPr>
      <w:r>
        <w:separator/>
      </w:r>
    </w:p>
  </w:endnote>
  <w:endnote w:type="continuationSeparator" w:id="0">
    <w:p w:rsidR="000F7B26" w:rsidRDefault="000F7B26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A0" w:rsidRPr="00B701A0" w:rsidRDefault="00B701A0" w:rsidP="00B701A0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F497D" w:themeColor="text2"/>
      </w:rPr>
      <w:t>τηλ</w:t>
    </w:r>
    <w:proofErr w:type="spellEnd"/>
    <w:r w:rsidRPr="00B701A0">
      <w:rPr>
        <w:b/>
        <w:color w:val="1F497D" w:themeColor="text2"/>
      </w:rPr>
      <w:t>.: 6972 550577</w:t>
    </w:r>
  </w:p>
  <w:p w:rsidR="00B701A0" w:rsidRPr="00B701A0" w:rsidRDefault="00B701A0" w:rsidP="00B701A0">
    <w:pPr>
      <w:pStyle w:val="a4"/>
      <w:jc w:val="center"/>
      <w:rPr>
        <w:b/>
        <w:color w:val="1F497D" w:themeColor="text2"/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6F" w:rsidRPr="00B701A0" w:rsidRDefault="00B13F6F" w:rsidP="00B13F6F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F497D" w:themeColor="text2"/>
      </w:rPr>
      <w:t>τηλ</w:t>
    </w:r>
    <w:proofErr w:type="spellEnd"/>
    <w:r w:rsidRPr="00B701A0">
      <w:rPr>
        <w:b/>
        <w:color w:val="1F497D" w:themeColor="text2"/>
      </w:rPr>
      <w:t>.: 6972 550577</w:t>
    </w:r>
  </w:p>
  <w:p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26" w:rsidRDefault="000F7B26" w:rsidP="00B701A0">
      <w:pPr>
        <w:spacing w:after="0" w:line="240" w:lineRule="auto"/>
      </w:pPr>
      <w:r>
        <w:separator/>
      </w:r>
    </w:p>
  </w:footnote>
  <w:footnote w:type="continuationSeparator" w:id="0">
    <w:p w:rsidR="000F7B26" w:rsidRDefault="000F7B26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6F" w:rsidRPr="00B701A0" w:rsidRDefault="00273581" w:rsidP="000178C4">
    <w:pPr>
      <w:pStyle w:val="a3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8C4">
      <w:t xml:space="preserve">              </w:t>
    </w:r>
    <w:r w:rsidR="000178C4" w:rsidRPr="00A6673C">
      <w:t xml:space="preserve"> </w:t>
    </w:r>
    <w:r w:rsidR="000178C4">
      <w:t xml:space="preserve"> </w:t>
    </w:r>
    <w:r w:rsidR="00B13F6F" w:rsidRPr="00B701A0">
      <w:t>ΕΛΛΗΝΙΚΗ ΟΜΟΣΠΟΝΔΙΑ ΣΥΛΛΟΓΩΝ –</w:t>
    </w:r>
  </w:p>
  <w:p w:rsidR="00B13F6F" w:rsidRPr="00B701A0" w:rsidRDefault="000178C4" w:rsidP="000178C4">
    <w:pPr>
      <w:pStyle w:val="a3"/>
      <w:rPr>
        <w:b w:val="0"/>
      </w:rPr>
    </w:pPr>
    <w:r w:rsidRPr="00A6673C">
      <w:t xml:space="preserve">            </w:t>
    </w:r>
    <w:r w:rsidR="00B13F6F" w:rsidRPr="00B701A0">
      <w:t>ΣΠΑΝΙΩΝ ΝΟΣΗΜΑΤΩΝ ΠΑΘΗΣΕΩΝ</w:t>
    </w:r>
  </w:p>
  <w:p w:rsidR="00B13F6F" w:rsidRPr="00B701A0" w:rsidRDefault="000178C4" w:rsidP="000178C4">
    <w:pPr>
      <w:pStyle w:val="a3"/>
      <w:rPr>
        <w:b w:val="0"/>
      </w:rPr>
    </w:pPr>
    <w:r>
      <w:t xml:space="preserve">               </w:t>
    </w:r>
    <w:r w:rsidR="00B13F6F" w:rsidRPr="00B701A0">
      <w:t>(Ε.Ο.Σ. – ΣΠΑ.ΝΟ.ΠΑ.)</w:t>
    </w:r>
  </w:p>
  <w:p w:rsidR="00273581" w:rsidRDefault="000178C4" w:rsidP="000178C4">
    <w:pPr>
      <w:pStyle w:val="a3"/>
      <w:rPr>
        <w:i/>
        <w:sz w:val="32"/>
        <w:szCs w:val="32"/>
        <w:lang w:val="en-US"/>
      </w:rPr>
    </w:pPr>
    <w:r w:rsidRPr="00A6673C">
      <w:rPr>
        <w:i/>
        <w:sz w:val="32"/>
        <w:szCs w:val="32"/>
      </w:rPr>
      <w:t xml:space="preserve">    </w:t>
    </w:r>
    <w:r w:rsidRPr="00A6673C">
      <w:t xml:space="preserve">               </w:t>
    </w:r>
    <w:r w:rsidRPr="00A6673C">
      <w:rPr>
        <w:i/>
        <w:sz w:val="32"/>
        <w:szCs w:val="32"/>
      </w:rPr>
      <w:t xml:space="preserve">            </w:t>
    </w:r>
    <w:r w:rsidR="00B13F6F" w:rsidRPr="00B701A0">
      <w:rPr>
        <w:i/>
        <w:sz w:val="32"/>
        <w:szCs w:val="32"/>
        <w:lang w:val="en-US"/>
      </w:rPr>
      <w:t>HELL</w:t>
    </w:r>
    <w:r w:rsidR="00273581">
      <w:rPr>
        <w:i/>
        <w:sz w:val="32"/>
        <w:szCs w:val="32"/>
        <w:lang w:val="en-US"/>
      </w:rPr>
      <w:t>ENIC FEDERATION OF ASSOCIATIONS</w:t>
    </w:r>
  </w:p>
  <w:p w:rsidR="00B13F6F" w:rsidRPr="00B701A0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FOR RADE DISEASES</w:t>
    </w:r>
  </w:p>
  <w:p w:rsidR="00B13F6F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(H.F.A. – R.D.)</w:t>
    </w:r>
  </w:p>
  <w:p w:rsidR="00B13F6F" w:rsidRPr="00B701A0" w:rsidRDefault="000178C4" w:rsidP="000178C4">
    <w:pPr>
      <w:pStyle w:val="a3"/>
      <w:rPr>
        <w:b w:val="0"/>
        <w:sz w:val="24"/>
        <w:szCs w:val="24"/>
      </w:rPr>
    </w:pPr>
    <w:r w:rsidRPr="000178C4">
      <w:rPr>
        <w:sz w:val="24"/>
        <w:szCs w:val="24"/>
        <w:lang w:val="en-US"/>
      </w:rPr>
      <w:t xml:space="preserve">               </w:t>
    </w:r>
    <w:r w:rsidR="00B13F6F" w:rsidRPr="00B701A0">
      <w:rPr>
        <w:sz w:val="24"/>
        <w:szCs w:val="24"/>
      </w:rPr>
      <w:t>υπ</w:t>
    </w:r>
    <w:r w:rsidR="00B13F6F" w:rsidRPr="00B13F6F">
      <w:rPr>
        <w:sz w:val="24"/>
        <w:szCs w:val="24"/>
        <w:lang w:val="en-US"/>
      </w:rPr>
      <w:t xml:space="preserve">’ </w:t>
    </w:r>
    <w:proofErr w:type="spellStart"/>
    <w:r w:rsidR="00B13F6F" w:rsidRPr="00B701A0">
      <w:rPr>
        <w:sz w:val="24"/>
        <w:szCs w:val="24"/>
      </w:rPr>
      <w:t>αριθμ</w:t>
    </w:r>
    <w:proofErr w:type="spellEnd"/>
    <w:r w:rsidR="00B13F6F" w:rsidRPr="00B13F6F">
      <w:rPr>
        <w:sz w:val="24"/>
        <w:szCs w:val="24"/>
        <w:lang w:val="en-US"/>
      </w:rPr>
      <w:t xml:space="preserve">. </w:t>
    </w:r>
    <w:r w:rsidR="00B13F6F" w:rsidRPr="00B701A0">
      <w:rPr>
        <w:sz w:val="24"/>
        <w:szCs w:val="24"/>
      </w:rPr>
      <w:t>461/8-12-2016 διαταγή του Ειρηνοδικείου Αθηνών,</w:t>
    </w:r>
  </w:p>
  <w:p w:rsidR="00B13F6F" w:rsidRPr="00B13F6F" w:rsidRDefault="000178C4" w:rsidP="000178C4">
    <w:pPr>
      <w:pStyle w:val="a3"/>
      <w:rPr>
        <w:b w:val="0"/>
        <w:sz w:val="24"/>
        <w:szCs w:val="24"/>
      </w:rPr>
    </w:pPr>
    <w:r>
      <w:rPr>
        <w:sz w:val="24"/>
        <w:szCs w:val="24"/>
      </w:rPr>
      <w:t xml:space="preserve">               </w:t>
    </w:r>
    <w:r w:rsidR="00B13F6F" w:rsidRPr="00B701A0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F11D7E"/>
    <w:multiLevelType w:val="hybridMultilevel"/>
    <w:tmpl w:val="97FC1946"/>
    <w:lvl w:ilvl="0" w:tplc="C898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87070"/>
    <w:multiLevelType w:val="hybridMultilevel"/>
    <w:tmpl w:val="47ACEC3A"/>
    <w:lvl w:ilvl="0" w:tplc="8996C43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B6195A"/>
    <w:multiLevelType w:val="hybridMultilevel"/>
    <w:tmpl w:val="0CE4F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24B1"/>
    <w:multiLevelType w:val="hybridMultilevel"/>
    <w:tmpl w:val="8278A97A"/>
    <w:lvl w:ilvl="0" w:tplc="174C13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0" w:hanging="360"/>
      </w:pPr>
    </w:lvl>
    <w:lvl w:ilvl="2" w:tplc="0408001B" w:tentative="1">
      <w:start w:val="1"/>
      <w:numFmt w:val="lowerRoman"/>
      <w:lvlText w:val="%3."/>
      <w:lvlJc w:val="right"/>
      <w:pPr>
        <w:ind w:left="3010" w:hanging="180"/>
      </w:pPr>
    </w:lvl>
    <w:lvl w:ilvl="3" w:tplc="0408000F" w:tentative="1">
      <w:start w:val="1"/>
      <w:numFmt w:val="decimal"/>
      <w:lvlText w:val="%4."/>
      <w:lvlJc w:val="left"/>
      <w:pPr>
        <w:ind w:left="3730" w:hanging="360"/>
      </w:pPr>
    </w:lvl>
    <w:lvl w:ilvl="4" w:tplc="04080019" w:tentative="1">
      <w:start w:val="1"/>
      <w:numFmt w:val="lowerLetter"/>
      <w:lvlText w:val="%5."/>
      <w:lvlJc w:val="left"/>
      <w:pPr>
        <w:ind w:left="4450" w:hanging="360"/>
      </w:pPr>
    </w:lvl>
    <w:lvl w:ilvl="5" w:tplc="0408001B" w:tentative="1">
      <w:start w:val="1"/>
      <w:numFmt w:val="lowerRoman"/>
      <w:lvlText w:val="%6."/>
      <w:lvlJc w:val="right"/>
      <w:pPr>
        <w:ind w:left="5170" w:hanging="180"/>
      </w:pPr>
    </w:lvl>
    <w:lvl w:ilvl="6" w:tplc="0408000F" w:tentative="1">
      <w:start w:val="1"/>
      <w:numFmt w:val="decimal"/>
      <w:lvlText w:val="%7."/>
      <w:lvlJc w:val="left"/>
      <w:pPr>
        <w:ind w:left="5890" w:hanging="360"/>
      </w:pPr>
    </w:lvl>
    <w:lvl w:ilvl="7" w:tplc="04080019" w:tentative="1">
      <w:start w:val="1"/>
      <w:numFmt w:val="lowerLetter"/>
      <w:lvlText w:val="%8."/>
      <w:lvlJc w:val="left"/>
      <w:pPr>
        <w:ind w:left="6610" w:hanging="360"/>
      </w:pPr>
    </w:lvl>
    <w:lvl w:ilvl="8" w:tplc="040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onsecutiveHyphenLimit w:val="2"/>
  <w:hyphenationZone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0"/>
    <w:rsid w:val="0001169A"/>
    <w:rsid w:val="000178C4"/>
    <w:rsid w:val="0005315A"/>
    <w:rsid w:val="0006473F"/>
    <w:rsid w:val="00091624"/>
    <w:rsid w:val="000A460E"/>
    <w:rsid w:val="000E416E"/>
    <w:rsid w:val="000F7B26"/>
    <w:rsid w:val="001018D9"/>
    <w:rsid w:val="001140D4"/>
    <w:rsid w:val="00142826"/>
    <w:rsid w:val="0015145C"/>
    <w:rsid w:val="001A35D7"/>
    <w:rsid w:val="001D7380"/>
    <w:rsid w:val="001E3A6B"/>
    <w:rsid w:val="001F02C2"/>
    <w:rsid w:val="001F56A4"/>
    <w:rsid w:val="001F7046"/>
    <w:rsid w:val="00210F10"/>
    <w:rsid w:val="002114DB"/>
    <w:rsid w:val="00273581"/>
    <w:rsid w:val="00293C69"/>
    <w:rsid w:val="002E124A"/>
    <w:rsid w:val="003006BE"/>
    <w:rsid w:val="00312A51"/>
    <w:rsid w:val="00364FF2"/>
    <w:rsid w:val="003650F2"/>
    <w:rsid w:val="00374370"/>
    <w:rsid w:val="003838E9"/>
    <w:rsid w:val="003C2091"/>
    <w:rsid w:val="003C699D"/>
    <w:rsid w:val="003D70BA"/>
    <w:rsid w:val="003E67E1"/>
    <w:rsid w:val="00403C40"/>
    <w:rsid w:val="00403F0F"/>
    <w:rsid w:val="0044389E"/>
    <w:rsid w:val="00454981"/>
    <w:rsid w:val="00493E29"/>
    <w:rsid w:val="004D113B"/>
    <w:rsid w:val="004E28FA"/>
    <w:rsid w:val="004E294C"/>
    <w:rsid w:val="004E7343"/>
    <w:rsid w:val="005216B3"/>
    <w:rsid w:val="00563746"/>
    <w:rsid w:val="00572767"/>
    <w:rsid w:val="00576C13"/>
    <w:rsid w:val="00581DD5"/>
    <w:rsid w:val="0058518B"/>
    <w:rsid w:val="00593045"/>
    <w:rsid w:val="00593F53"/>
    <w:rsid w:val="005A11DA"/>
    <w:rsid w:val="005C08CD"/>
    <w:rsid w:val="005D7904"/>
    <w:rsid w:val="005F41AC"/>
    <w:rsid w:val="005F5C8F"/>
    <w:rsid w:val="00605CF0"/>
    <w:rsid w:val="00616ECB"/>
    <w:rsid w:val="00635819"/>
    <w:rsid w:val="006700D8"/>
    <w:rsid w:val="00696B5F"/>
    <w:rsid w:val="006B1DEF"/>
    <w:rsid w:val="006C5EB6"/>
    <w:rsid w:val="006C7F48"/>
    <w:rsid w:val="006D0972"/>
    <w:rsid w:val="0071780D"/>
    <w:rsid w:val="00750119"/>
    <w:rsid w:val="00771B76"/>
    <w:rsid w:val="007A6795"/>
    <w:rsid w:val="007F0C9F"/>
    <w:rsid w:val="0082044D"/>
    <w:rsid w:val="00826896"/>
    <w:rsid w:val="00934324"/>
    <w:rsid w:val="00955F4A"/>
    <w:rsid w:val="00971094"/>
    <w:rsid w:val="0099558C"/>
    <w:rsid w:val="009B24D5"/>
    <w:rsid w:val="009C438D"/>
    <w:rsid w:val="009C4EAB"/>
    <w:rsid w:val="009D7754"/>
    <w:rsid w:val="009E2D1E"/>
    <w:rsid w:val="00A35384"/>
    <w:rsid w:val="00A4011A"/>
    <w:rsid w:val="00A6673C"/>
    <w:rsid w:val="00A81C42"/>
    <w:rsid w:val="00AC7369"/>
    <w:rsid w:val="00AD03F9"/>
    <w:rsid w:val="00AE2A90"/>
    <w:rsid w:val="00AF5AE1"/>
    <w:rsid w:val="00B00664"/>
    <w:rsid w:val="00B05824"/>
    <w:rsid w:val="00B13F6F"/>
    <w:rsid w:val="00B27083"/>
    <w:rsid w:val="00B43414"/>
    <w:rsid w:val="00B44349"/>
    <w:rsid w:val="00B46982"/>
    <w:rsid w:val="00B701A0"/>
    <w:rsid w:val="00B83B34"/>
    <w:rsid w:val="00B97787"/>
    <w:rsid w:val="00BC2560"/>
    <w:rsid w:val="00BE20A9"/>
    <w:rsid w:val="00BF0DA1"/>
    <w:rsid w:val="00C4043F"/>
    <w:rsid w:val="00C64992"/>
    <w:rsid w:val="00C8131F"/>
    <w:rsid w:val="00C81E7D"/>
    <w:rsid w:val="00C8608A"/>
    <w:rsid w:val="00CA4411"/>
    <w:rsid w:val="00CB6970"/>
    <w:rsid w:val="00CE7E38"/>
    <w:rsid w:val="00D34B98"/>
    <w:rsid w:val="00D5205F"/>
    <w:rsid w:val="00D54CB8"/>
    <w:rsid w:val="00D67C04"/>
    <w:rsid w:val="00D814ED"/>
    <w:rsid w:val="00D921ED"/>
    <w:rsid w:val="00DA036F"/>
    <w:rsid w:val="00DB77F5"/>
    <w:rsid w:val="00E0000C"/>
    <w:rsid w:val="00E05C97"/>
    <w:rsid w:val="00E24041"/>
    <w:rsid w:val="00E37E65"/>
    <w:rsid w:val="00E40F51"/>
    <w:rsid w:val="00E55885"/>
    <w:rsid w:val="00E71AB4"/>
    <w:rsid w:val="00E749F8"/>
    <w:rsid w:val="00E770B6"/>
    <w:rsid w:val="00E8194B"/>
    <w:rsid w:val="00E920C1"/>
    <w:rsid w:val="00E9689C"/>
    <w:rsid w:val="00EA277B"/>
    <w:rsid w:val="00ED05C0"/>
    <w:rsid w:val="00ED6EA2"/>
    <w:rsid w:val="00F46B0C"/>
    <w:rsid w:val="00F50693"/>
    <w:rsid w:val="00F736ED"/>
    <w:rsid w:val="00F74398"/>
    <w:rsid w:val="00F77F6E"/>
    <w:rsid w:val="00FB7055"/>
    <w:rsid w:val="00FC5E9F"/>
    <w:rsid w:val="00FD51F0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1D0D-5ED5-419F-A394-AFEBB08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areti</cp:lastModifiedBy>
  <cp:revision>8</cp:revision>
  <cp:lastPrinted>2017-02-08T09:52:00Z</cp:lastPrinted>
  <dcterms:created xsi:type="dcterms:W3CDTF">2021-01-25T11:32:00Z</dcterms:created>
  <dcterms:modified xsi:type="dcterms:W3CDTF">2021-02-08T10:14:00Z</dcterms:modified>
</cp:coreProperties>
</file>