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F8" w:rsidRPr="002171F8" w:rsidRDefault="008F0B1F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2171F8" w:rsidRPr="002171F8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</w:t>
            </w:r>
          </w:p>
          <w:p w:rsidR="005274B4" w:rsidRPr="00462A1B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ΑΙΜΑΤΟΛΟΓΙΚΩΝ ΝΟΣΗΜΑΤΩΝ - </w:t>
            </w:r>
            <w:r w:rsidRPr="002171F8">
              <w:rPr>
                <w:rFonts w:ascii="Times New Roman" w:hAnsi="Times New Roman" w:cs="Times New Roman"/>
                <w:sz w:val="24"/>
                <w:szCs w:val="24"/>
              </w:rPr>
              <w:t>ΑΙΜΟΣΦΑΙΡΙΝΟΠΑΘΕΙΩΝ</w:t>
            </w:r>
            <w:bookmarkStart w:id="0" w:name="_GoBack"/>
            <w:bookmarkEnd w:id="0"/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F8" w:rsidRPr="002171F8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F8">
              <w:rPr>
                <w:rFonts w:ascii="Times New Roman" w:hAnsi="Times New Roman" w:cs="Times New Roman"/>
                <w:sz w:val="24"/>
                <w:szCs w:val="24"/>
              </w:rPr>
              <w:t>ΜΟΝΑΔΑ ΜΕΣΟΓΕΙΑΚΗΣ ΑΝΑΙΜΙΑΣ ΚΑΙ</w:t>
            </w:r>
          </w:p>
          <w:p w:rsidR="002171F8" w:rsidRPr="002171F8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F8">
              <w:rPr>
                <w:rFonts w:ascii="Times New Roman" w:hAnsi="Times New Roman" w:cs="Times New Roman"/>
                <w:sz w:val="24"/>
                <w:szCs w:val="24"/>
              </w:rPr>
              <w:t>ΔΡΕΠΑΝΟΚΥΤΤΑΡΙΚΗΣ ΝΟΣΟΥ</w:t>
            </w:r>
          </w:p>
          <w:p w:rsidR="005274B4" w:rsidRPr="00462A1B" w:rsidRDefault="005274B4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2171F8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2171F8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ΒΟΣΚΑΡΙΔΟΥ ΈΡΣΗ (ΕΠΙΣΤ. ΥΠΕΥΘΥΝΗ </w:t>
            </w:r>
            <w:r w:rsidRPr="002171F8">
              <w:rPr>
                <w:rFonts w:ascii="Times New Roman" w:hAnsi="Times New Roman" w:cs="Times New Roman"/>
                <w:sz w:val="24"/>
                <w:szCs w:val="24"/>
              </w:rPr>
              <w:t>ΚΕΝΤΡΟΥ)</w:t>
            </w:r>
          </w:p>
          <w:p w:rsidR="002171F8" w:rsidRPr="00462A1B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ΡΕΖΟΥ ΑΘΑΝΑΣΙΑ (ΠΡΟΪΣΤΑΜΕΝΗ)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Pr="00462A1B" w:rsidRDefault="002171F8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2132060977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A7C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1B" w:rsidRPr="005274B4" w:rsidRDefault="00CC171B" w:rsidP="00CC171B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171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ΚΕΝΤΡΟ ΕΜΠΕΙΡΟΓΝΩΜΟΣΥ</w:t>
              </w:r>
              <w:r w:rsidRPr="00CC171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Ν</w:t>
              </w:r>
              <w:r w:rsidRPr="00CC171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ΗΣ</w:t>
              </w:r>
            </w:hyperlink>
          </w:p>
          <w:p w:rsidR="00CC171B" w:rsidRPr="005274B4" w:rsidRDefault="00CC171B" w:rsidP="00CC171B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C171B" w:rsidP="00CC171B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4039/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’/05-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71B" w:rsidRDefault="00CC171B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C171B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74272/21-10-2019 ΥΑ </w:t>
            </w:r>
          </w:p>
          <w:p w:rsidR="00CC171B" w:rsidRDefault="00CC171B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C171B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ΩΖΒΤ465ΦΥΟ-ΕΥΖ </w:t>
            </w:r>
          </w:p>
          <w:p w:rsidR="00CC171B" w:rsidRPr="00462A1B" w:rsidRDefault="00CC171B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CC17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CC171B" w:rsidRDefault="00CC171B" w:rsidP="00F7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«Σπάνιες </w:t>
            </w:r>
            <w:proofErr w:type="spellStart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Ερυθροκυτταρικές</w:t>
            </w:r>
            <w:proofErr w:type="spellEnd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 βλάβες (</w:t>
            </w:r>
            <w:proofErr w:type="spellStart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Αιμοσφαιρινοπάθειες</w:t>
            </w:r>
            <w:proofErr w:type="spellEnd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)»: (Με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σογειακή Αναιμία, β-Θαλασσαιμία ομόζυγος ή μείζων ή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νόσος </w:t>
            </w:r>
            <w:proofErr w:type="spellStart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Cooley</w:t>
            </w:r>
            <w:proofErr w:type="spellEnd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, Ενδιάμεση θαλασσαιμία, β-Θαλασ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σαιμία </w:t>
            </w:r>
            <w:proofErr w:type="spellStart"/>
            <w:r w:rsidR="00F753CB">
              <w:rPr>
                <w:rFonts w:ascii="Times New Roman" w:hAnsi="Times New Roman" w:cs="Times New Roman"/>
                <w:sz w:val="24"/>
                <w:szCs w:val="24"/>
              </w:rPr>
              <w:t>ετερόζυγος</w:t>
            </w:r>
            <w:proofErr w:type="spellEnd"/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 (στίγμα) -α ή –β, </w:t>
            </w:r>
            <w:proofErr w:type="spellStart"/>
            <w:r w:rsidR="00F753CB">
              <w:rPr>
                <w:rFonts w:ascii="Times New Roman" w:hAnsi="Times New Roman" w:cs="Times New Roman"/>
                <w:sz w:val="24"/>
                <w:szCs w:val="24"/>
              </w:rPr>
              <w:t>Αιμοσφαιρινοπάθεια</w:t>
            </w:r>
            <w:proofErr w:type="spellEnd"/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 Η,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Δρεπανοκυ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τταρική Νόσος, </w:t>
            </w:r>
            <w:proofErr w:type="spellStart"/>
            <w:r w:rsidR="00F753CB">
              <w:rPr>
                <w:rFonts w:ascii="Times New Roman" w:hAnsi="Times New Roman" w:cs="Times New Roman"/>
                <w:sz w:val="24"/>
                <w:szCs w:val="24"/>
              </w:rPr>
              <w:t>Ετερόζυγη</w:t>
            </w:r>
            <w:proofErr w:type="spellEnd"/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 μορφή,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ρεπανοκυτταρική αναιμία, Σύνθετη διπλή </w:t>
            </w:r>
            <w:proofErr w:type="spellStart"/>
            <w:r w:rsidR="00F753CB">
              <w:rPr>
                <w:rFonts w:ascii="Times New Roman" w:hAnsi="Times New Roman" w:cs="Times New Roman"/>
                <w:sz w:val="24"/>
                <w:szCs w:val="24"/>
              </w:rPr>
              <w:t>ετερόζυγη</w:t>
            </w:r>
            <w:proofErr w:type="spellEnd"/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στο πεδίο της Γενετικ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ής Συμβουλευτικής, της Πρόληψης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(πληθυ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σμιακός έλεγχος), της Διάγνωσης (γενετικός έλεγχος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και προγεννητικός έλεγχος 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εμβρύου), της Θεραπείας και της Φροντίδας (Τακτικές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μετ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αγγίσεις ή αφαιμαξομεταγγίσεις,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αντιμετώπιση επώδυνων </w:t>
            </w:r>
            <w:proofErr w:type="spellStart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>γγειοαποφρακτικών</w:t>
            </w:r>
            <w:proofErr w:type="spellEnd"/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 κρίσεων προς 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αποφυγή εισαγωγ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ής και ταλαιπωρίας των ασθενών, </w:t>
            </w:r>
            <w:proofErr w:type="spellStart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αποσιδηρωτική</w:t>
            </w:r>
            <w:proofErr w:type="spellEnd"/>
            <w:r w:rsidRPr="00CC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CB">
              <w:rPr>
                <w:rFonts w:ascii="Times New Roman" w:hAnsi="Times New Roman" w:cs="Times New Roman"/>
                <w:sz w:val="24"/>
                <w:szCs w:val="24"/>
              </w:rPr>
              <w:t xml:space="preserve">αγωγή, θεραπευτική αντιμετώπιση </w:t>
            </w:r>
            <w:r w:rsidRPr="00CC171B">
              <w:rPr>
                <w:rFonts w:ascii="Times New Roman" w:hAnsi="Times New Roman" w:cs="Times New Roman"/>
                <w:sz w:val="24"/>
                <w:szCs w:val="24"/>
              </w:rPr>
              <w:t>επιπλοκών).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2171F8"/>
    <w:rsid w:val="003C4CB5"/>
    <w:rsid w:val="005274B4"/>
    <w:rsid w:val="006F39B0"/>
    <w:rsid w:val="008F0B1F"/>
    <w:rsid w:val="00CC171B"/>
    <w:rsid w:val="00D872A1"/>
    <w:rsid w:val="00F753C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C1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iko.gr/%ce%ba%ce%bb%ce%b9%ce%bd%ce%b9%ce%ba%ce%ad%cf%82-%ce%b5%cf%81%ce%b3%ce%b1%cf%83%cf%84%ce%ae%cf%81%ce%b9%ce%b1-%cf%84%ce%bc%ce%ae%ce%bc%ce%b1%cf%84%ce%b1/%ce%ba%ce%ad%ce%bd%cf%84%cf%81%ce%bf-%ce%b5%ce%bc%cf%80%ce%b5%ce%b9%cf%81%ce%bf%ce%b3%ce%bd%cf%89%ce%bc%ce%bf%cf%83%cf%8d%ce%bd%ce%b7%cf%82-%cf%83%cf%80%ce%ac%ce%bd%ce%b9%cf%89%ce%bd-%ce%b1%ce%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6</cp:revision>
  <dcterms:created xsi:type="dcterms:W3CDTF">2021-02-01T13:25:00Z</dcterms:created>
  <dcterms:modified xsi:type="dcterms:W3CDTF">2021-02-24T10:01:00Z</dcterms:modified>
</cp:coreProperties>
</file>