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D86" w:rsidRPr="00465ED6" w:rsidRDefault="00946D86" w:rsidP="006D4E72">
      <w:pPr>
        <w:tabs>
          <w:tab w:val="left" w:pos="2694"/>
        </w:tabs>
        <w:spacing w:after="0" w:line="240" w:lineRule="auto"/>
        <w:ind w:left="720" w:hanging="720"/>
        <w:jc w:val="left"/>
        <w:rPr>
          <w:rFonts w:ascii="Times New Roman" w:hAnsi="Times New Roman"/>
          <w:color w:val="auto"/>
          <w:sz w:val="16"/>
          <w:szCs w:val="16"/>
        </w:rPr>
      </w:pPr>
    </w:p>
    <w:p w:rsidR="00A5663B" w:rsidRPr="00465ED6" w:rsidRDefault="00B05F56" w:rsidP="00C75550">
      <w:pPr>
        <w:tabs>
          <w:tab w:val="left" w:pos="2694"/>
        </w:tabs>
        <w:spacing w:after="0" w:line="240" w:lineRule="auto"/>
        <w:ind w:left="720" w:firstLine="556"/>
        <w:jc w:val="left"/>
        <w:rPr>
          <w:rFonts w:ascii="Times New Roman" w:hAnsi="Times New Roman"/>
          <w:b/>
          <w:color w:val="auto"/>
          <w:sz w:val="24"/>
          <w:szCs w:val="24"/>
        </w:rPr>
      </w:pPr>
      <w:r w:rsidRPr="00465ED6">
        <w:rPr>
          <w:rFonts w:ascii="Times New Roman" w:hAnsi="Times New Roman"/>
          <w:b/>
          <w:color w:val="auto"/>
        </w:rPr>
        <w:br w:type="column"/>
      </w:r>
    </w:p>
    <w:p w:rsidR="00A5663B" w:rsidRPr="00465ED6" w:rsidRDefault="00A5663B" w:rsidP="00C0166C">
      <w:pPr>
        <w:tabs>
          <w:tab w:val="left" w:pos="2694"/>
        </w:tabs>
        <w:spacing w:before="480" w:after="0"/>
        <w:ind w:left="1701"/>
        <w:jc w:val="left"/>
        <w:rPr>
          <w:rFonts w:ascii="Times New Roman" w:hAnsi="Times New Roman"/>
          <w:b/>
          <w:color w:val="auto"/>
          <w:sz w:val="24"/>
          <w:szCs w:val="24"/>
        </w:rPr>
        <w:sectPr w:rsidR="00A5663B" w:rsidRPr="00465ED6" w:rsidSect="00EE194E">
          <w:headerReference w:type="default" r:id="rId8"/>
          <w:footerReference w:type="default" r:id="rId9"/>
          <w:pgSz w:w="11906" w:h="16838"/>
          <w:pgMar w:top="1440" w:right="1800" w:bottom="1440" w:left="1701" w:header="709" w:footer="709" w:gutter="0"/>
          <w:cols w:num="2" w:space="708"/>
          <w:docGrid w:linePitch="360"/>
        </w:sectPr>
      </w:pPr>
    </w:p>
    <w:p w:rsidR="004B49B8" w:rsidRPr="00465ED6" w:rsidRDefault="00BE15E0" w:rsidP="00465ED6">
      <w:pPr>
        <w:pStyle w:val="a7"/>
        <w:jc w:val="center"/>
        <w:rPr>
          <w:rFonts w:ascii="Times New Roman" w:eastAsia="Batang" w:hAnsi="Times New Roman"/>
          <w:color w:val="auto"/>
        </w:rPr>
      </w:pPr>
      <w:r>
        <w:rPr>
          <w:rFonts w:ascii="Times New Roman" w:eastAsia="Batang" w:hAnsi="Times New Roman"/>
          <w:color w:val="auto"/>
        </w:rPr>
        <w:t>1</w:t>
      </w:r>
      <w:r w:rsidRPr="00BE15E0">
        <w:rPr>
          <w:rFonts w:ascii="Times New Roman" w:eastAsia="Batang" w:hAnsi="Times New Roman"/>
          <w:color w:val="auto"/>
          <w:vertAlign w:val="superscript"/>
        </w:rPr>
        <w:t>ο</w:t>
      </w:r>
      <w:r>
        <w:rPr>
          <w:rFonts w:ascii="Times New Roman" w:eastAsia="Batang" w:hAnsi="Times New Roman"/>
          <w:color w:val="auto"/>
        </w:rPr>
        <w:t xml:space="preserve"> ΔΕΛΤΙΟ ΠΑΡΑΤΗΡΗΤΗΡΙΟΥ </w:t>
      </w:r>
      <w:r w:rsidR="00DC01C6" w:rsidRPr="00465ED6">
        <w:rPr>
          <w:rFonts w:ascii="Times New Roman" w:eastAsia="Batang" w:hAnsi="Times New Roman"/>
          <w:color w:val="auto"/>
        </w:rPr>
        <w:t xml:space="preserve">ΘΕΜΑΤΩΝ ΑΝΑΠΗΡΙΑΣ </w:t>
      </w:r>
      <w:r>
        <w:rPr>
          <w:rFonts w:ascii="Times New Roman" w:eastAsia="Batang" w:hAnsi="Times New Roman"/>
          <w:color w:val="auto"/>
        </w:rPr>
        <w:t xml:space="preserve">ΤΗΣ </w:t>
      </w:r>
      <w:r w:rsidR="00DC01C6" w:rsidRPr="00465ED6">
        <w:rPr>
          <w:rFonts w:ascii="Times New Roman" w:eastAsia="Batang" w:hAnsi="Times New Roman"/>
          <w:color w:val="auto"/>
        </w:rPr>
        <w:t>Ε</w:t>
      </w:r>
      <w:r w:rsidR="00D802AA">
        <w:rPr>
          <w:rFonts w:ascii="Times New Roman" w:eastAsia="Batang" w:hAnsi="Times New Roman"/>
          <w:color w:val="auto"/>
        </w:rPr>
        <w:t>.</w:t>
      </w:r>
      <w:r w:rsidR="00DC01C6" w:rsidRPr="00465ED6">
        <w:rPr>
          <w:rFonts w:ascii="Times New Roman" w:eastAsia="Batang" w:hAnsi="Times New Roman"/>
          <w:color w:val="auto"/>
        </w:rPr>
        <w:t>Σ</w:t>
      </w:r>
      <w:r w:rsidR="00D802AA">
        <w:rPr>
          <w:rFonts w:ascii="Times New Roman" w:eastAsia="Batang" w:hAnsi="Times New Roman"/>
          <w:color w:val="auto"/>
        </w:rPr>
        <w:t>.</w:t>
      </w:r>
      <w:r w:rsidR="00DC01C6" w:rsidRPr="00465ED6">
        <w:rPr>
          <w:rFonts w:ascii="Times New Roman" w:eastAsia="Batang" w:hAnsi="Times New Roman"/>
          <w:color w:val="auto"/>
        </w:rPr>
        <w:t>Α</w:t>
      </w:r>
      <w:r w:rsidR="00D802AA">
        <w:rPr>
          <w:rFonts w:ascii="Times New Roman" w:eastAsia="Batang" w:hAnsi="Times New Roman"/>
          <w:color w:val="auto"/>
        </w:rPr>
        <w:t>.</w:t>
      </w:r>
      <w:r w:rsidR="00DC01C6" w:rsidRPr="00465ED6">
        <w:rPr>
          <w:rFonts w:ascii="Times New Roman" w:eastAsia="Batang" w:hAnsi="Times New Roman"/>
          <w:color w:val="auto"/>
        </w:rPr>
        <w:t>μεΑ</w:t>
      </w:r>
      <w:r w:rsidR="00D802AA">
        <w:rPr>
          <w:rFonts w:ascii="Times New Roman" w:eastAsia="Batang" w:hAnsi="Times New Roman"/>
          <w:color w:val="auto"/>
        </w:rPr>
        <w:t>.</w:t>
      </w:r>
      <w:r w:rsidRPr="00BE15E0">
        <w:t xml:space="preserve"> </w:t>
      </w:r>
      <w:r w:rsidRPr="00BE15E0">
        <w:rPr>
          <w:rFonts w:ascii="Times New Roman" w:eastAsia="Batang" w:hAnsi="Times New Roman"/>
          <w:color w:val="auto"/>
        </w:rPr>
        <w:t>«</w:t>
      </w:r>
      <w:r w:rsidR="00431393">
        <w:rPr>
          <w:rFonts w:ascii="Times New Roman" w:eastAsia="Batang" w:hAnsi="Times New Roman"/>
          <w:color w:val="auto"/>
        </w:rPr>
        <w:t>ΦΤΩΧΕΙΑ ΚΑΙ ΚΟΙΝΩΝΙΚΟΣ ΑΠΟΚΛΕΙΣΜΟΣ ΣΤΑ ΑΤΟΜΑ ΜΕ ΑΝΑΠΗΡΙΑ»</w:t>
      </w:r>
      <w:bookmarkStart w:id="0" w:name="_GoBack"/>
      <w:bookmarkEnd w:id="0"/>
    </w:p>
    <w:p w:rsidR="00DC01C6" w:rsidRPr="00465ED6" w:rsidRDefault="00DC01C6" w:rsidP="00465ED6">
      <w:pPr>
        <w:pStyle w:val="a7"/>
        <w:rPr>
          <w:rFonts w:ascii="Times New Roman" w:eastAsia="Batang" w:hAnsi="Times New Roman"/>
          <w:color w:val="auto"/>
          <w:sz w:val="24"/>
          <w:szCs w:val="24"/>
        </w:rPr>
      </w:pPr>
    </w:p>
    <w:p w:rsidR="00681B6D" w:rsidRPr="00465ED6" w:rsidRDefault="00152F45" w:rsidP="00465ED6">
      <w:pPr>
        <w:pStyle w:val="af1"/>
        <w:jc w:val="center"/>
        <w:rPr>
          <w:rFonts w:ascii="Times New Roman" w:hAnsi="Times New Roman" w:cs="Times New Roman"/>
          <w:b/>
          <w:color w:val="auto"/>
          <w:u w:val="single"/>
        </w:rPr>
      </w:pPr>
      <w:r w:rsidRPr="00465ED6">
        <w:rPr>
          <w:rFonts w:ascii="Times New Roman" w:hAnsi="Times New Roman" w:cs="Times New Roman"/>
          <w:b/>
          <w:color w:val="auto"/>
          <w:u w:val="single"/>
        </w:rPr>
        <w:t xml:space="preserve">ΒΑΣΙΚΑ </w:t>
      </w:r>
      <w:r w:rsidR="006F34A3" w:rsidRPr="00465ED6">
        <w:rPr>
          <w:rFonts w:ascii="Times New Roman" w:hAnsi="Times New Roman" w:cs="Times New Roman"/>
          <w:b/>
          <w:color w:val="auto"/>
          <w:u w:val="single"/>
        </w:rPr>
        <w:t>ΕΥΡΥΜΑΤΑ</w:t>
      </w:r>
    </w:p>
    <w:p w:rsidR="00C75550" w:rsidRPr="00465ED6" w:rsidRDefault="00C75550" w:rsidP="00C75550">
      <w:pPr>
        <w:tabs>
          <w:tab w:val="left" w:pos="1860"/>
        </w:tabs>
        <w:rPr>
          <w:rFonts w:ascii="Times New Roman" w:hAnsi="Times New Roman"/>
          <w:color w:val="auto"/>
          <w:sz w:val="24"/>
          <w:szCs w:val="24"/>
        </w:rPr>
      </w:pPr>
      <w:r w:rsidRPr="00465ED6">
        <w:rPr>
          <w:rFonts w:ascii="Times New Roman" w:hAnsi="Times New Roman"/>
          <w:color w:val="auto"/>
          <w:sz w:val="24"/>
          <w:szCs w:val="24"/>
        </w:rPr>
        <w:t xml:space="preserve">Το Παρατηρητήριο βρίσκεται στην ευχάριστη θέση να γνωστοποιήσει ότι έχει ήδη λάβει από την ΕΛ.ΣΤΑΤ. και έχει στη διάθεσή του προς επεξεργασία το σύνολο των πλέον επίκαιρων στατιστικών δεδομένων της χώρας για την αναπηρία και τα άτομα με αναπηρία. </w:t>
      </w:r>
    </w:p>
    <w:p w:rsidR="00C75550" w:rsidRDefault="00C75550" w:rsidP="00C75550">
      <w:pPr>
        <w:tabs>
          <w:tab w:val="left" w:pos="1860"/>
        </w:tabs>
        <w:rPr>
          <w:rFonts w:ascii="Times New Roman" w:hAnsi="Times New Roman"/>
          <w:color w:val="auto"/>
          <w:sz w:val="24"/>
          <w:szCs w:val="24"/>
        </w:rPr>
      </w:pPr>
      <w:r w:rsidRPr="00465ED6">
        <w:rPr>
          <w:rFonts w:ascii="Times New Roman" w:hAnsi="Times New Roman"/>
          <w:color w:val="auto"/>
          <w:sz w:val="24"/>
          <w:szCs w:val="24"/>
        </w:rPr>
        <w:t>Στο πλαίσιο υλοποίησης της Δράσης 1.2 του Υποέργου 1 της Πράξης «Παρατηρητήριο Θεμάτων Αναπηρίας» που υλοποιεί η ΕΣΑμεΑ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θα συντάσσει και θα δημοσιεύει σε τακτά χρονικά διαστήματα δελτία τύπου αφιερωμένα σε συγκριμένα θεματικά πεδία, όπου θα παρουσιάζει τα σημαντικότερα ευρήματα και τάσεις όπως αυτά προκύπτουν μέσω της δευτερογενούς επεξεργασίας και ανάλυσης των διαθέσιμων στοιχείων.</w:t>
      </w:r>
    </w:p>
    <w:p w:rsidR="0018041C" w:rsidRPr="0018041C" w:rsidRDefault="0018041C" w:rsidP="0018041C">
      <w:pPr>
        <w:tabs>
          <w:tab w:val="left" w:pos="1860"/>
        </w:tabs>
        <w:rPr>
          <w:rFonts w:ascii="Times New Roman" w:hAnsi="Times New Roman"/>
          <w:color w:val="auto"/>
          <w:sz w:val="24"/>
          <w:szCs w:val="24"/>
        </w:rPr>
      </w:pPr>
      <w:r w:rsidRPr="0018041C">
        <w:rPr>
          <w:rFonts w:ascii="Times New Roman" w:hAnsi="Times New Roman"/>
          <w:color w:val="auto"/>
          <w:sz w:val="24"/>
          <w:szCs w:val="24"/>
        </w:rPr>
        <w:t>Βασικός πυλώνας στην δραστηριότητα του Παρατηρητηρίου αναφορικά με την παρακολούθηση και την αξιολόγηση της κατάστασης των ατόμων με αναπηρία υπό την δικαιωματική οπτική, καθώς και των εφαρμοζόμενων στη χώρα πολιτικών, αποτελεί η συγκέντρωση και η ανάλυση στατιστικών δεδομένων σε βασικούς τομείς και θεματικές που αφορούν στις συνθήκες διαβίωσης και στα εμπόδια που αντιμετωπίζουν τα άτομα με αναπηρία ή/και χρόνιες παθήσεις ως προς την άσκηση των δικαιωμάτων τους.</w:t>
      </w:r>
    </w:p>
    <w:p w:rsidR="0018041C" w:rsidRPr="00465ED6" w:rsidRDefault="0018041C" w:rsidP="0018041C">
      <w:pPr>
        <w:tabs>
          <w:tab w:val="left" w:pos="1860"/>
        </w:tabs>
        <w:rPr>
          <w:rFonts w:ascii="Times New Roman" w:hAnsi="Times New Roman"/>
          <w:color w:val="auto"/>
          <w:sz w:val="24"/>
          <w:szCs w:val="24"/>
        </w:rPr>
      </w:pPr>
      <w:r w:rsidRPr="0018041C">
        <w:rPr>
          <w:rFonts w:ascii="Times New Roman" w:hAnsi="Times New Roman"/>
          <w:color w:val="auto"/>
          <w:sz w:val="24"/>
          <w:szCs w:val="24"/>
        </w:rPr>
        <w:t xml:space="preserve">Είναι ιδιαίτερα θετικό το γεγονός ότι τα άτομα με αναπηρία, που δεκαετίες παρέμεναν σχεδόν αόρατα για τις επίσημες στατιστικές του ελληνικού κράτους, λαμβάνονται πλέον υπόψη στις εθνικές έρευνες, έστω και σε περιορισμένο βαθμό, ως μια διακριτή </w:t>
      </w:r>
      <w:r w:rsidRPr="0018041C">
        <w:rPr>
          <w:rFonts w:ascii="Times New Roman" w:hAnsi="Times New Roman"/>
          <w:color w:val="auto"/>
          <w:sz w:val="24"/>
          <w:szCs w:val="24"/>
        </w:rPr>
        <w:lastRenderedPageBreak/>
        <w:t>κοινωνική κατηγορία πολιτών. Ως εκ τούτου, δίνεται η δυνατότητα να αποτυπωθούν και να περιγράφουν με αριθμούς, σημαντικές πτυχές της διαβίωσης των ατόμων με αναπηρία ή/και χρόνιων παθήσεων στην Ελλάδα.</w:t>
      </w:r>
    </w:p>
    <w:p w:rsidR="00C75550" w:rsidRPr="00465ED6" w:rsidRDefault="00C75550" w:rsidP="00C75550">
      <w:pPr>
        <w:tabs>
          <w:tab w:val="left" w:pos="1860"/>
        </w:tabs>
        <w:rPr>
          <w:rFonts w:ascii="Times New Roman" w:hAnsi="Times New Roman"/>
          <w:color w:val="auto"/>
          <w:sz w:val="24"/>
          <w:szCs w:val="24"/>
        </w:rPr>
      </w:pPr>
      <w:r w:rsidRPr="00465ED6">
        <w:rPr>
          <w:rFonts w:ascii="Times New Roman" w:hAnsi="Times New Roman"/>
          <w:color w:val="auto"/>
          <w:sz w:val="24"/>
          <w:szCs w:val="24"/>
        </w:rPr>
        <w:t>Εγκαινιάζοντας  αυτή τη δράση και ενόψει της 3ης Δεκέμβρη-Εθνικής Ημέρας των ατόμων με αναπηρία, το Παρατηρητήριο δημοσιεύει το πρώτο δελτίο τύπου με θέμα «Φτώχεια και κοινωνικός αποκλεισμός στα άτομα με αναπηρία». Το παρόν δελτίο βασίζεται στα στοιχεία της δειγματοληπτικής Έρευνας Εισοδήματος και Συνθηκών Διαβίωσης έτους 2016 (με περίοδο αναφοράς εισοδήματος το 2015), που διενεργείται σε ετήσια βάση από την Ελληνική Στατιστική Αρχή σε συνεργασία με τη Eurostat, και αποτελεί τη βασική πηγή αναφοράς των συγκριτικών στατιστικών για την κατανομή του εισοδήματος και τον κοινωνικό αποκλεισμό στις χώρες της Ε.Ε.</w:t>
      </w:r>
    </w:p>
    <w:p w:rsidR="00C75550" w:rsidRPr="00465ED6" w:rsidRDefault="00C75550" w:rsidP="00C75550">
      <w:pPr>
        <w:tabs>
          <w:tab w:val="left" w:pos="1860"/>
        </w:tabs>
        <w:rPr>
          <w:rFonts w:ascii="Times New Roman" w:hAnsi="Times New Roman"/>
          <w:color w:val="auto"/>
          <w:sz w:val="24"/>
          <w:szCs w:val="24"/>
        </w:rPr>
      </w:pPr>
      <w:r w:rsidRPr="00465ED6">
        <w:rPr>
          <w:rFonts w:ascii="Times New Roman" w:hAnsi="Times New Roman"/>
          <w:color w:val="auto"/>
          <w:sz w:val="24"/>
          <w:szCs w:val="24"/>
        </w:rPr>
        <w:t>Κατά το 2016, η έρευνα διενεργήθηκε σε τελικό δείγμα 18.255 νοικοκυριών και σε 44.094 μέλη των νοικοκυριών αυτών, εκ των οποίων 37.850 άτομα ηλικίας 16 ετών και άνω.</w:t>
      </w:r>
    </w:p>
    <w:p w:rsidR="00681B6D" w:rsidRPr="00465ED6" w:rsidRDefault="00A16EEC" w:rsidP="00B026F5">
      <w:pPr>
        <w:tabs>
          <w:tab w:val="left" w:pos="1860"/>
        </w:tabs>
        <w:rPr>
          <w:rFonts w:ascii="Times New Roman" w:hAnsi="Times New Roman"/>
          <w:color w:val="auto"/>
          <w:sz w:val="24"/>
          <w:szCs w:val="24"/>
        </w:rPr>
      </w:pPr>
      <w:r w:rsidRPr="00465ED6">
        <w:rPr>
          <w:rFonts w:ascii="Times New Roman" w:hAnsi="Times New Roman"/>
          <w:color w:val="auto"/>
          <w:sz w:val="24"/>
          <w:szCs w:val="24"/>
        </w:rPr>
        <w:t>Σ</w:t>
      </w:r>
      <w:r w:rsidR="00152F45" w:rsidRPr="00465ED6">
        <w:rPr>
          <w:rFonts w:ascii="Times New Roman" w:hAnsi="Times New Roman"/>
          <w:color w:val="auto"/>
          <w:sz w:val="24"/>
          <w:szCs w:val="24"/>
        </w:rPr>
        <w:t>το παρ</w:t>
      </w:r>
      <w:r w:rsidR="00B026F5" w:rsidRPr="00465ED6">
        <w:rPr>
          <w:rFonts w:ascii="Times New Roman" w:hAnsi="Times New Roman"/>
          <w:color w:val="auto"/>
          <w:sz w:val="24"/>
          <w:szCs w:val="24"/>
        </w:rPr>
        <w:t>ό</w:t>
      </w:r>
      <w:r w:rsidR="00152F45" w:rsidRPr="00465ED6">
        <w:rPr>
          <w:rFonts w:ascii="Times New Roman" w:hAnsi="Times New Roman"/>
          <w:color w:val="auto"/>
          <w:sz w:val="24"/>
          <w:szCs w:val="24"/>
        </w:rPr>
        <w:t>ν δελτίο εξετάζεται ο σύνθετος δείκτης</w:t>
      </w:r>
      <w:r w:rsidR="005641F8" w:rsidRPr="00465ED6">
        <w:rPr>
          <w:rFonts w:ascii="Times New Roman" w:hAnsi="Times New Roman"/>
          <w:color w:val="auto"/>
          <w:sz w:val="24"/>
          <w:szCs w:val="24"/>
        </w:rPr>
        <w:t xml:space="preserve"> «Πληθυσμός σε κίνδυνο φτώχειας ή κοινωνικό αποκλεισμό»</w:t>
      </w:r>
      <w:r w:rsidR="000D4775" w:rsidRPr="00465ED6">
        <w:rPr>
          <w:rFonts w:ascii="Times New Roman" w:hAnsi="Times New Roman"/>
          <w:color w:val="auto"/>
          <w:sz w:val="24"/>
          <w:szCs w:val="24"/>
        </w:rPr>
        <w:t>,</w:t>
      </w:r>
      <w:r w:rsidR="005641F8" w:rsidRPr="00465ED6">
        <w:rPr>
          <w:rFonts w:ascii="Times New Roman" w:hAnsi="Times New Roman"/>
          <w:color w:val="auto"/>
          <w:sz w:val="24"/>
          <w:szCs w:val="24"/>
        </w:rPr>
        <w:t xml:space="preserve"> </w:t>
      </w:r>
      <w:r w:rsidRPr="00465ED6">
        <w:rPr>
          <w:rFonts w:ascii="Times New Roman" w:hAnsi="Times New Roman"/>
          <w:color w:val="auto"/>
          <w:sz w:val="24"/>
          <w:szCs w:val="24"/>
        </w:rPr>
        <w:t xml:space="preserve">ο οποίος αποτελεί </w:t>
      </w:r>
      <w:r w:rsidR="00983E36" w:rsidRPr="00465ED6">
        <w:rPr>
          <w:rFonts w:ascii="Times New Roman" w:hAnsi="Times New Roman"/>
          <w:color w:val="auto"/>
          <w:sz w:val="24"/>
          <w:szCs w:val="24"/>
        </w:rPr>
        <w:t>το</w:t>
      </w:r>
      <w:r w:rsidR="0041399A" w:rsidRPr="00465ED6">
        <w:rPr>
          <w:rFonts w:ascii="Times New Roman" w:hAnsi="Times New Roman"/>
          <w:color w:val="auto"/>
          <w:sz w:val="24"/>
          <w:szCs w:val="24"/>
        </w:rPr>
        <w:t xml:space="preserve"> </w:t>
      </w:r>
      <w:r w:rsidRPr="00465ED6">
        <w:rPr>
          <w:rFonts w:ascii="Times New Roman" w:hAnsi="Times New Roman"/>
          <w:color w:val="auto"/>
          <w:sz w:val="24"/>
          <w:szCs w:val="24"/>
        </w:rPr>
        <w:t xml:space="preserve">βασικό δείκτη </w:t>
      </w:r>
      <w:r w:rsidR="000D4775" w:rsidRPr="00465ED6">
        <w:rPr>
          <w:rFonts w:ascii="Times New Roman" w:hAnsi="Times New Roman"/>
          <w:color w:val="auto"/>
          <w:sz w:val="24"/>
          <w:szCs w:val="24"/>
        </w:rPr>
        <w:t>παρακολούθησης</w:t>
      </w:r>
      <w:r w:rsidRPr="00465ED6">
        <w:rPr>
          <w:rFonts w:ascii="Times New Roman" w:hAnsi="Times New Roman"/>
          <w:color w:val="auto"/>
          <w:sz w:val="24"/>
          <w:szCs w:val="24"/>
        </w:rPr>
        <w:t xml:space="preserve"> του στόχου της «Ευρωπαϊκής στρατηγικής 2020» για την καταπολέμηση της φτώχειας και το</w:t>
      </w:r>
      <w:r w:rsidR="000D4775" w:rsidRPr="00465ED6">
        <w:rPr>
          <w:rFonts w:ascii="Times New Roman" w:hAnsi="Times New Roman"/>
          <w:color w:val="auto"/>
          <w:sz w:val="24"/>
          <w:szCs w:val="24"/>
        </w:rPr>
        <w:t>υ κοινωνικού αποκλεισμού, καθώς</w:t>
      </w:r>
      <w:r w:rsidRPr="00465ED6">
        <w:rPr>
          <w:rFonts w:ascii="Times New Roman" w:hAnsi="Times New Roman"/>
          <w:color w:val="auto"/>
          <w:sz w:val="24"/>
          <w:szCs w:val="24"/>
        </w:rPr>
        <w:t xml:space="preserve"> </w:t>
      </w:r>
      <w:r w:rsidR="005641F8" w:rsidRPr="00465ED6">
        <w:rPr>
          <w:rFonts w:ascii="Times New Roman" w:hAnsi="Times New Roman"/>
          <w:color w:val="auto"/>
          <w:sz w:val="24"/>
          <w:szCs w:val="24"/>
        </w:rPr>
        <w:t xml:space="preserve">και οι επιμέρους δείκτες που τον </w:t>
      </w:r>
      <w:r w:rsidRPr="00465ED6">
        <w:rPr>
          <w:rFonts w:ascii="Times New Roman" w:hAnsi="Times New Roman"/>
          <w:color w:val="auto"/>
          <w:sz w:val="24"/>
          <w:szCs w:val="24"/>
        </w:rPr>
        <w:t xml:space="preserve">απαρτίζουν. </w:t>
      </w:r>
    </w:p>
    <w:p w:rsidR="0017651C" w:rsidRPr="00465ED6" w:rsidRDefault="0017651C" w:rsidP="0017651C">
      <w:pPr>
        <w:rPr>
          <w:rFonts w:ascii="Times New Roman" w:hAnsi="Times New Roman"/>
          <w:color w:val="auto"/>
          <w:sz w:val="24"/>
          <w:szCs w:val="24"/>
        </w:rPr>
      </w:pPr>
      <w:r w:rsidRPr="00465ED6">
        <w:rPr>
          <w:rFonts w:ascii="Times New Roman" w:hAnsi="Times New Roman"/>
          <w:color w:val="auto"/>
          <w:sz w:val="24"/>
          <w:szCs w:val="24"/>
        </w:rPr>
        <w:t xml:space="preserve">Ο σύνθετος δείκτης </w:t>
      </w:r>
      <w:r w:rsidRPr="00465ED6">
        <w:rPr>
          <w:rFonts w:ascii="Times New Roman" w:hAnsi="Times New Roman"/>
          <w:b/>
          <w:color w:val="auto"/>
          <w:sz w:val="24"/>
          <w:szCs w:val="24"/>
        </w:rPr>
        <w:t>«Πληθυσμός σε κίνδυνο φτώχειας ή κοινωνικό αποκλεισμό</w:t>
      </w:r>
      <w:r w:rsidRPr="00465ED6">
        <w:rPr>
          <w:rFonts w:ascii="Times New Roman" w:hAnsi="Times New Roman"/>
          <w:color w:val="auto"/>
          <w:sz w:val="24"/>
          <w:szCs w:val="24"/>
        </w:rPr>
        <w:t xml:space="preserve">» </w:t>
      </w:r>
      <w:r w:rsidR="00507EED" w:rsidRPr="00465ED6">
        <w:rPr>
          <w:rFonts w:ascii="Times New Roman" w:hAnsi="Times New Roman"/>
          <w:color w:val="auto"/>
          <w:sz w:val="24"/>
          <w:szCs w:val="24"/>
        </w:rPr>
        <w:t xml:space="preserve">περιλαμβάνει του εξής </w:t>
      </w:r>
      <w:r w:rsidR="00310089" w:rsidRPr="00465ED6">
        <w:rPr>
          <w:rFonts w:ascii="Times New Roman" w:hAnsi="Times New Roman"/>
          <w:color w:val="auto"/>
          <w:sz w:val="24"/>
          <w:szCs w:val="24"/>
        </w:rPr>
        <w:t>υπό-</w:t>
      </w:r>
      <w:r w:rsidRPr="00465ED6">
        <w:rPr>
          <w:rFonts w:ascii="Times New Roman" w:hAnsi="Times New Roman"/>
          <w:color w:val="auto"/>
          <w:sz w:val="24"/>
          <w:szCs w:val="24"/>
        </w:rPr>
        <w:t xml:space="preserve">δείκτες: </w:t>
      </w:r>
    </w:p>
    <w:p w:rsidR="0017651C" w:rsidRPr="00465ED6" w:rsidRDefault="0017651C" w:rsidP="00C75550">
      <w:pPr>
        <w:pStyle w:val="a8"/>
        <w:numPr>
          <w:ilvl w:val="0"/>
          <w:numId w:val="23"/>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 xml:space="preserve">Ποσοστό ατόμων που βρίσκεται σε κίνδυνο φτώχειας </w:t>
      </w:r>
    </w:p>
    <w:p w:rsidR="0017651C" w:rsidRPr="00465ED6" w:rsidRDefault="0017651C" w:rsidP="00C75550">
      <w:pPr>
        <w:pStyle w:val="a8"/>
        <w:numPr>
          <w:ilvl w:val="0"/>
          <w:numId w:val="23"/>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 xml:space="preserve">Ποσοστό ατόμων με υλικές στερήσεις </w:t>
      </w:r>
    </w:p>
    <w:p w:rsidR="0017651C" w:rsidRPr="00465ED6" w:rsidRDefault="0017651C" w:rsidP="00C75550">
      <w:pPr>
        <w:pStyle w:val="a8"/>
        <w:numPr>
          <w:ilvl w:val="0"/>
          <w:numId w:val="23"/>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Ποσοστό ατόμων που διαβιεί σε νοικοκυριά με χαμηλής έντασης εργασία.</w:t>
      </w:r>
    </w:p>
    <w:p w:rsidR="00152F45" w:rsidRPr="00465ED6" w:rsidRDefault="00152F45" w:rsidP="00A16EEC">
      <w:pPr>
        <w:tabs>
          <w:tab w:val="left" w:pos="1860"/>
        </w:tabs>
        <w:rPr>
          <w:rFonts w:ascii="Times New Roman" w:hAnsi="Times New Roman"/>
          <w:b/>
          <w:color w:val="auto"/>
          <w:sz w:val="24"/>
          <w:szCs w:val="24"/>
        </w:rPr>
      </w:pPr>
      <w:r w:rsidRPr="00465ED6">
        <w:rPr>
          <w:rFonts w:ascii="Times New Roman" w:hAnsi="Times New Roman"/>
          <w:color w:val="auto"/>
          <w:sz w:val="24"/>
          <w:szCs w:val="24"/>
        </w:rPr>
        <w:t xml:space="preserve">Σύμφωνα με </w:t>
      </w:r>
      <w:r w:rsidR="00A16EEC" w:rsidRPr="00465ED6">
        <w:rPr>
          <w:rFonts w:ascii="Times New Roman" w:hAnsi="Times New Roman"/>
          <w:color w:val="auto"/>
          <w:sz w:val="24"/>
          <w:szCs w:val="24"/>
        </w:rPr>
        <w:t xml:space="preserve">τα </w:t>
      </w:r>
      <w:r w:rsidRPr="00465ED6">
        <w:rPr>
          <w:rFonts w:ascii="Times New Roman" w:hAnsi="Times New Roman"/>
          <w:color w:val="auto"/>
          <w:sz w:val="24"/>
          <w:szCs w:val="24"/>
        </w:rPr>
        <w:t>στοιχεία</w:t>
      </w:r>
      <w:r w:rsidR="00A16EEC" w:rsidRPr="00465ED6">
        <w:rPr>
          <w:rFonts w:ascii="Times New Roman" w:hAnsi="Times New Roman"/>
          <w:color w:val="auto"/>
          <w:sz w:val="24"/>
          <w:szCs w:val="24"/>
        </w:rPr>
        <w:t xml:space="preserve"> της Ερευνάς Εισοδήματος και Συνθηκών Διαβίωσης του 2016</w:t>
      </w:r>
      <w:r w:rsidRPr="00465ED6">
        <w:rPr>
          <w:rFonts w:ascii="Times New Roman" w:hAnsi="Times New Roman"/>
          <w:color w:val="auto"/>
          <w:sz w:val="24"/>
          <w:szCs w:val="24"/>
        </w:rPr>
        <w:t>, τα άτομα με αναπηρία στην Ελλάδα της οικονομικής κρίσης βιώνουν σε εξαιρετικά μεγαλύτερο βαθμό</w:t>
      </w:r>
      <w:r w:rsidR="00771D93" w:rsidRPr="00465ED6">
        <w:rPr>
          <w:rFonts w:ascii="Times New Roman" w:hAnsi="Times New Roman"/>
          <w:color w:val="auto"/>
          <w:sz w:val="24"/>
          <w:szCs w:val="24"/>
        </w:rPr>
        <w:t>,</w:t>
      </w:r>
      <w:r w:rsidRPr="00465ED6">
        <w:rPr>
          <w:rFonts w:ascii="Times New Roman" w:hAnsi="Times New Roman"/>
          <w:color w:val="auto"/>
          <w:sz w:val="24"/>
          <w:szCs w:val="24"/>
        </w:rPr>
        <w:t xml:space="preserve"> </w:t>
      </w:r>
      <w:r w:rsidR="00752094" w:rsidRPr="00465ED6">
        <w:rPr>
          <w:rFonts w:ascii="Times New Roman" w:hAnsi="Times New Roman"/>
          <w:color w:val="auto"/>
          <w:sz w:val="24"/>
          <w:szCs w:val="24"/>
        </w:rPr>
        <w:t>σε σύγκριση με τον πληθυσμό χωρίς αναπηρία</w:t>
      </w:r>
      <w:r w:rsidR="00771D93" w:rsidRPr="00465ED6">
        <w:rPr>
          <w:rFonts w:ascii="Times New Roman" w:hAnsi="Times New Roman"/>
          <w:color w:val="auto"/>
          <w:sz w:val="24"/>
          <w:szCs w:val="24"/>
        </w:rPr>
        <w:t>,</w:t>
      </w:r>
      <w:r w:rsidR="00752094" w:rsidRPr="00465ED6">
        <w:rPr>
          <w:rFonts w:ascii="Times New Roman" w:hAnsi="Times New Roman"/>
          <w:color w:val="auto"/>
          <w:sz w:val="24"/>
          <w:szCs w:val="24"/>
        </w:rPr>
        <w:t xml:space="preserve"> </w:t>
      </w:r>
      <w:r w:rsidRPr="00465ED6">
        <w:rPr>
          <w:rFonts w:ascii="Times New Roman" w:hAnsi="Times New Roman"/>
          <w:color w:val="auto"/>
          <w:sz w:val="24"/>
          <w:szCs w:val="24"/>
        </w:rPr>
        <w:t xml:space="preserve">τον κίνδυνο της φτώχειας </w:t>
      </w:r>
      <w:r w:rsidR="00752094" w:rsidRPr="00465ED6">
        <w:rPr>
          <w:rFonts w:ascii="Times New Roman" w:hAnsi="Times New Roman"/>
          <w:color w:val="auto"/>
          <w:sz w:val="24"/>
          <w:szCs w:val="24"/>
        </w:rPr>
        <w:t>ή</w:t>
      </w:r>
      <w:r w:rsidRPr="00465ED6">
        <w:rPr>
          <w:rFonts w:ascii="Times New Roman" w:hAnsi="Times New Roman"/>
          <w:color w:val="auto"/>
          <w:sz w:val="24"/>
          <w:szCs w:val="24"/>
        </w:rPr>
        <w:t xml:space="preserve"> του κοινωνικού αποκλεισμού και στις 3 διαστάσεις που </w:t>
      </w:r>
      <w:r w:rsidR="00771D93" w:rsidRPr="00465ED6">
        <w:rPr>
          <w:rFonts w:ascii="Times New Roman" w:hAnsi="Times New Roman"/>
          <w:color w:val="auto"/>
          <w:sz w:val="24"/>
          <w:szCs w:val="24"/>
        </w:rPr>
        <w:t>συνθέτουν το</w:t>
      </w:r>
      <w:r w:rsidR="00FD373F" w:rsidRPr="00465ED6">
        <w:rPr>
          <w:rFonts w:ascii="Times New Roman" w:hAnsi="Times New Roman"/>
          <w:color w:val="auto"/>
          <w:sz w:val="24"/>
          <w:szCs w:val="24"/>
        </w:rPr>
        <w:t xml:space="preserve"> δείκτη. </w:t>
      </w:r>
      <w:r w:rsidR="00502559" w:rsidRPr="00465ED6">
        <w:rPr>
          <w:rFonts w:ascii="Times New Roman" w:hAnsi="Times New Roman"/>
          <w:b/>
          <w:color w:val="auto"/>
          <w:sz w:val="24"/>
          <w:szCs w:val="24"/>
        </w:rPr>
        <w:t xml:space="preserve">Τα στοιχεία που αναλύθηκαν επιβεβαιώνουν τη </w:t>
      </w:r>
      <w:r w:rsidR="004C23D9" w:rsidRPr="00465ED6">
        <w:rPr>
          <w:rFonts w:ascii="Times New Roman" w:hAnsi="Times New Roman"/>
          <w:b/>
          <w:color w:val="auto"/>
          <w:sz w:val="24"/>
          <w:szCs w:val="24"/>
        </w:rPr>
        <w:t xml:space="preserve">συσχέτιση </w:t>
      </w:r>
      <w:r w:rsidR="00502559" w:rsidRPr="00465ED6">
        <w:rPr>
          <w:rFonts w:ascii="Times New Roman" w:hAnsi="Times New Roman"/>
          <w:b/>
          <w:color w:val="auto"/>
          <w:sz w:val="24"/>
          <w:szCs w:val="24"/>
        </w:rPr>
        <w:t>της αναπηρίας με την φτώχεια καθώς και την επίδραση της βαρύτητας της αναπηρίας στ</w:t>
      </w:r>
      <w:r w:rsidR="00E14FF7" w:rsidRPr="00465ED6">
        <w:rPr>
          <w:rFonts w:ascii="Times New Roman" w:hAnsi="Times New Roman"/>
          <w:b/>
          <w:color w:val="auto"/>
          <w:sz w:val="24"/>
          <w:szCs w:val="24"/>
        </w:rPr>
        <w:t xml:space="preserve">η </w:t>
      </w:r>
      <w:r w:rsidR="004C23D9" w:rsidRPr="00465ED6">
        <w:rPr>
          <w:rFonts w:ascii="Times New Roman" w:hAnsi="Times New Roman"/>
          <w:b/>
          <w:color w:val="auto"/>
          <w:sz w:val="24"/>
          <w:szCs w:val="24"/>
        </w:rPr>
        <w:t>σχέση</w:t>
      </w:r>
      <w:r w:rsidR="00E14FF7" w:rsidRPr="00465ED6">
        <w:rPr>
          <w:rFonts w:ascii="Times New Roman" w:hAnsi="Times New Roman"/>
          <w:b/>
          <w:color w:val="auto"/>
          <w:sz w:val="24"/>
          <w:szCs w:val="24"/>
        </w:rPr>
        <w:t xml:space="preserve"> αυτή</w:t>
      </w:r>
      <w:r w:rsidR="004C23D9" w:rsidRPr="00465ED6">
        <w:rPr>
          <w:rFonts w:ascii="Times New Roman" w:hAnsi="Times New Roman"/>
          <w:b/>
          <w:color w:val="auto"/>
          <w:sz w:val="24"/>
          <w:szCs w:val="24"/>
        </w:rPr>
        <w:t>.</w:t>
      </w:r>
    </w:p>
    <w:p w:rsidR="00152F45" w:rsidRPr="00465ED6" w:rsidRDefault="00152F45" w:rsidP="00A16EEC">
      <w:pPr>
        <w:tabs>
          <w:tab w:val="left" w:pos="1860"/>
        </w:tabs>
        <w:rPr>
          <w:rFonts w:ascii="Times New Roman" w:hAnsi="Times New Roman"/>
          <w:b/>
          <w:color w:val="auto"/>
          <w:sz w:val="24"/>
          <w:szCs w:val="24"/>
        </w:rPr>
      </w:pPr>
      <w:r w:rsidRPr="00465ED6">
        <w:rPr>
          <w:rFonts w:ascii="Times New Roman" w:hAnsi="Times New Roman"/>
          <w:b/>
          <w:color w:val="auto"/>
          <w:sz w:val="24"/>
          <w:szCs w:val="24"/>
        </w:rPr>
        <w:t xml:space="preserve">Τόσο σε επίπεδο ονομαστικού εισοδήματος </w:t>
      </w:r>
      <w:r w:rsidR="006A00C8" w:rsidRPr="00465ED6">
        <w:rPr>
          <w:rFonts w:ascii="Times New Roman" w:hAnsi="Times New Roman"/>
          <w:b/>
          <w:color w:val="auto"/>
          <w:sz w:val="24"/>
          <w:szCs w:val="24"/>
        </w:rPr>
        <w:t xml:space="preserve">(κίνδυνος φτώχειας) </w:t>
      </w:r>
      <w:r w:rsidRPr="00465ED6">
        <w:rPr>
          <w:rFonts w:ascii="Times New Roman" w:hAnsi="Times New Roman"/>
          <w:b/>
          <w:color w:val="auto"/>
          <w:sz w:val="24"/>
          <w:szCs w:val="24"/>
        </w:rPr>
        <w:t>όσο και σε επίπεδο υλικών συνθηκών διαβίωσης</w:t>
      </w:r>
      <w:r w:rsidR="006A00C8" w:rsidRPr="00465ED6">
        <w:rPr>
          <w:rFonts w:ascii="Times New Roman" w:hAnsi="Times New Roman"/>
          <w:b/>
          <w:color w:val="auto"/>
          <w:sz w:val="24"/>
          <w:szCs w:val="24"/>
        </w:rPr>
        <w:t xml:space="preserve"> (δείκτης υλικής στέρησης) </w:t>
      </w:r>
      <w:r w:rsidRPr="00465ED6">
        <w:rPr>
          <w:rFonts w:ascii="Times New Roman" w:hAnsi="Times New Roman"/>
          <w:b/>
          <w:color w:val="auto"/>
          <w:sz w:val="24"/>
          <w:szCs w:val="24"/>
        </w:rPr>
        <w:t>και συμμετοχής στην εργασία</w:t>
      </w:r>
      <w:r w:rsidR="006A00C8" w:rsidRPr="00465ED6">
        <w:rPr>
          <w:rFonts w:ascii="Times New Roman" w:hAnsi="Times New Roman"/>
          <w:b/>
          <w:color w:val="auto"/>
          <w:sz w:val="24"/>
          <w:szCs w:val="24"/>
        </w:rPr>
        <w:t xml:space="preserve"> (δείκτης χαμηλής έντασης εργασία</w:t>
      </w:r>
      <w:r w:rsidR="00E07E60" w:rsidRPr="00465ED6">
        <w:rPr>
          <w:rFonts w:ascii="Times New Roman" w:hAnsi="Times New Roman"/>
          <w:b/>
          <w:color w:val="auto"/>
          <w:sz w:val="24"/>
          <w:szCs w:val="24"/>
        </w:rPr>
        <w:t>ς</w:t>
      </w:r>
      <w:r w:rsidR="006A00C8" w:rsidRPr="00465ED6">
        <w:rPr>
          <w:rFonts w:ascii="Times New Roman" w:hAnsi="Times New Roman"/>
          <w:b/>
          <w:color w:val="auto"/>
          <w:sz w:val="24"/>
          <w:szCs w:val="24"/>
        </w:rPr>
        <w:t>)</w:t>
      </w:r>
      <w:r w:rsidRPr="00465ED6">
        <w:rPr>
          <w:rFonts w:ascii="Times New Roman" w:hAnsi="Times New Roman"/>
          <w:b/>
          <w:color w:val="auto"/>
          <w:sz w:val="24"/>
          <w:szCs w:val="24"/>
        </w:rPr>
        <w:t xml:space="preserve">, τα άτομα με αναπηρία και οι οικογένειές τους αναδεικνύονται </w:t>
      </w:r>
      <w:r w:rsidR="002D6323" w:rsidRPr="00465ED6">
        <w:rPr>
          <w:rFonts w:ascii="Times New Roman" w:hAnsi="Times New Roman"/>
          <w:b/>
          <w:color w:val="auto"/>
          <w:sz w:val="24"/>
          <w:szCs w:val="24"/>
        </w:rPr>
        <w:t xml:space="preserve">με διαφορά </w:t>
      </w:r>
      <w:r w:rsidRPr="00465ED6">
        <w:rPr>
          <w:rFonts w:ascii="Times New Roman" w:hAnsi="Times New Roman"/>
          <w:b/>
          <w:color w:val="auto"/>
          <w:sz w:val="24"/>
          <w:szCs w:val="24"/>
        </w:rPr>
        <w:t xml:space="preserve">οι φτωχότεροι μεταξύ των φτωχών. </w:t>
      </w:r>
    </w:p>
    <w:p w:rsidR="00F84A4E" w:rsidRPr="00465ED6" w:rsidRDefault="00F84A4E" w:rsidP="00F84A4E">
      <w:pPr>
        <w:tabs>
          <w:tab w:val="left" w:pos="1860"/>
        </w:tabs>
        <w:rPr>
          <w:rFonts w:ascii="Times New Roman" w:hAnsi="Times New Roman"/>
          <w:b/>
          <w:color w:val="auto"/>
          <w:sz w:val="24"/>
          <w:szCs w:val="24"/>
        </w:rPr>
      </w:pPr>
      <w:r w:rsidRPr="00465ED6">
        <w:rPr>
          <w:rFonts w:ascii="Times New Roman" w:hAnsi="Times New Roman"/>
          <w:b/>
          <w:color w:val="auto"/>
          <w:sz w:val="24"/>
          <w:szCs w:val="24"/>
        </w:rPr>
        <w:t>Η ανάλυση των δεικτών καθιστά εμφανές ότι τα επιδόματα αναπηρίας επανορθώνουν σε σημαντικό βαθμό τις οικονομικές ανισότητες, ωστόσο δεν τις εξαλείφουν. Ο κίνδυνος φτώχειας παραμένει και μετά τις κοινωνικές μεταβιβάσεις υψηλότερος για τα άτομα με αναπηρία,</w:t>
      </w:r>
      <w:r w:rsidR="008A717B" w:rsidRPr="00465ED6">
        <w:rPr>
          <w:rFonts w:ascii="Times New Roman" w:hAnsi="Times New Roman"/>
          <w:b/>
          <w:color w:val="auto"/>
          <w:sz w:val="24"/>
          <w:szCs w:val="24"/>
        </w:rPr>
        <w:t xml:space="preserve"> </w:t>
      </w:r>
      <w:r w:rsidRPr="00465ED6">
        <w:rPr>
          <w:rFonts w:ascii="Times New Roman" w:hAnsi="Times New Roman"/>
          <w:b/>
          <w:color w:val="auto"/>
          <w:sz w:val="24"/>
          <w:szCs w:val="24"/>
        </w:rPr>
        <w:t xml:space="preserve">γεγονός που υποδεικνύει ότι οι </w:t>
      </w:r>
      <w:r w:rsidRPr="00465ED6">
        <w:rPr>
          <w:rFonts w:ascii="Times New Roman" w:hAnsi="Times New Roman"/>
          <w:b/>
          <w:color w:val="auto"/>
          <w:sz w:val="24"/>
          <w:szCs w:val="24"/>
        </w:rPr>
        <w:lastRenderedPageBreak/>
        <w:t xml:space="preserve">υφιστάμενες οικονομικές ενισχύσεις δεν επαρκούν ώστε τα άτομα με αναπηρία να μπορούν να εξασφαλίζουν ένα ανεκτό επίπεδο διαβίωσης, δεδομένου του πρόσθετου κόστους που απορρέει από την αναπηρία τους. </w:t>
      </w:r>
    </w:p>
    <w:p w:rsidR="00D00A96" w:rsidRPr="00465ED6" w:rsidRDefault="008F5450" w:rsidP="00C75550">
      <w:pPr>
        <w:tabs>
          <w:tab w:val="left" w:pos="1860"/>
        </w:tabs>
        <w:rPr>
          <w:rFonts w:ascii="Times New Roman" w:hAnsi="Times New Roman"/>
          <w:color w:val="auto"/>
          <w:sz w:val="24"/>
          <w:szCs w:val="24"/>
        </w:rPr>
      </w:pPr>
      <w:r w:rsidRPr="00465ED6">
        <w:rPr>
          <w:rFonts w:ascii="Times New Roman" w:hAnsi="Times New Roman"/>
          <w:color w:val="auto"/>
          <w:sz w:val="24"/>
          <w:szCs w:val="24"/>
        </w:rPr>
        <w:t xml:space="preserve">Ειδικότερα, με βάση την επεξεργασία και ανάλυση των δεδομένων από το Παρατηρητήριο Θεμάτων Αναπηρίας προκύπτουν τα εξής βασικά ευρήματα: </w:t>
      </w:r>
    </w:p>
    <w:p w:rsidR="008F5450" w:rsidRPr="00465ED6" w:rsidRDefault="00771D93" w:rsidP="00C75550">
      <w:pPr>
        <w:pStyle w:val="a8"/>
        <w:numPr>
          <w:ilvl w:val="0"/>
          <w:numId w:val="24"/>
        </w:numPr>
        <w:spacing w:after="160" w:line="259" w:lineRule="auto"/>
        <w:rPr>
          <w:rFonts w:ascii="Times New Roman" w:hAnsi="Times New Roman"/>
          <w:b/>
          <w:color w:val="auto"/>
          <w:sz w:val="24"/>
          <w:szCs w:val="24"/>
        </w:rPr>
      </w:pPr>
      <w:r w:rsidRPr="00465ED6">
        <w:rPr>
          <w:rFonts w:ascii="Times New Roman" w:hAnsi="Times New Roman"/>
          <w:b/>
          <w:color w:val="auto"/>
          <w:sz w:val="24"/>
          <w:szCs w:val="24"/>
        </w:rPr>
        <w:t>Σύμφωνα με το</w:t>
      </w:r>
      <w:r w:rsidR="008F5450" w:rsidRPr="00465ED6">
        <w:rPr>
          <w:rFonts w:ascii="Times New Roman" w:hAnsi="Times New Roman"/>
          <w:b/>
          <w:color w:val="auto"/>
          <w:sz w:val="24"/>
          <w:szCs w:val="24"/>
        </w:rPr>
        <w:t xml:space="preserve"> δείκτη </w:t>
      </w:r>
      <w:r w:rsidR="008F5450" w:rsidRPr="00465ED6">
        <w:rPr>
          <w:rFonts w:ascii="Times New Roman" w:hAnsi="Times New Roman"/>
          <w:b/>
          <w:color w:val="auto"/>
          <w:sz w:val="24"/>
          <w:szCs w:val="24"/>
          <w:lang w:val="en-US"/>
        </w:rPr>
        <w:t>GALI</w:t>
      </w:r>
      <w:r w:rsidR="00A32B5A" w:rsidRPr="00465ED6">
        <w:rPr>
          <w:rFonts w:ascii="Times New Roman" w:hAnsi="Times New Roman"/>
          <w:b/>
          <w:color w:val="auto"/>
          <w:sz w:val="24"/>
          <w:szCs w:val="24"/>
        </w:rPr>
        <w:t xml:space="preserve"> (</w:t>
      </w:r>
      <w:r w:rsidR="00A32B5A" w:rsidRPr="00465ED6">
        <w:rPr>
          <w:rFonts w:ascii="Times New Roman" w:hAnsi="Times New Roman"/>
          <w:b/>
          <w:color w:val="auto"/>
          <w:sz w:val="24"/>
          <w:szCs w:val="24"/>
          <w:lang w:val="en-US"/>
        </w:rPr>
        <w:t>Global</w:t>
      </w:r>
      <w:r w:rsidR="00A32B5A" w:rsidRPr="00465ED6">
        <w:rPr>
          <w:rFonts w:ascii="Times New Roman" w:hAnsi="Times New Roman"/>
          <w:b/>
          <w:color w:val="auto"/>
          <w:sz w:val="24"/>
          <w:szCs w:val="24"/>
        </w:rPr>
        <w:t xml:space="preserve"> </w:t>
      </w:r>
      <w:r w:rsidR="00A32B5A" w:rsidRPr="00465ED6">
        <w:rPr>
          <w:rFonts w:ascii="Times New Roman" w:hAnsi="Times New Roman"/>
          <w:b/>
          <w:color w:val="auto"/>
          <w:sz w:val="24"/>
          <w:szCs w:val="24"/>
          <w:lang w:val="en-US"/>
        </w:rPr>
        <w:t>Activity</w:t>
      </w:r>
      <w:r w:rsidR="00A32B5A" w:rsidRPr="00465ED6">
        <w:rPr>
          <w:rFonts w:ascii="Times New Roman" w:hAnsi="Times New Roman"/>
          <w:b/>
          <w:color w:val="auto"/>
          <w:sz w:val="24"/>
          <w:szCs w:val="24"/>
        </w:rPr>
        <w:t xml:space="preserve"> </w:t>
      </w:r>
      <w:r w:rsidR="00A32B5A" w:rsidRPr="00465ED6">
        <w:rPr>
          <w:rFonts w:ascii="Times New Roman" w:hAnsi="Times New Roman"/>
          <w:b/>
          <w:color w:val="auto"/>
          <w:sz w:val="24"/>
          <w:szCs w:val="24"/>
          <w:lang w:val="en-US"/>
        </w:rPr>
        <w:t>Limitation</w:t>
      </w:r>
      <w:r w:rsidR="00A32B5A" w:rsidRPr="00465ED6">
        <w:rPr>
          <w:rFonts w:ascii="Times New Roman" w:hAnsi="Times New Roman"/>
          <w:b/>
          <w:color w:val="auto"/>
          <w:sz w:val="24"/>
          <w:szCs w:val="24"/>
        </w:rPr>
        <w:t xml:space="preserve"> </w:t>
      </w:r>
      <w:r w:rsidR="00A32B5A" w:rsidRPr="00465ED6">
        <w:rPr>
          <w:rFonts w:ascii="Times New Roman" w:hAnsi="Times New Roman"/>
          <w:b/>
          <w:color w:val="auto"/>
          <w:sz w:val="24"/>
          <w:szCs w:val="24"/>
          <w:lang w:val="en-US"/>
        </w:rPr>
        <w:t>Index</w:t>
      </w:r>
      <w:r w:rsidR="00A32B5A" w:rsidRPr="00465ED6">
        <w:rPr>
          <w:rFonts w:ascii="Times New Roman" w:hAnsi="Times New Roman"/>
          <w:b/>
          <w:color w:val="auto"/>
          <w:sz w:val="24"/>
          <w:szCs w:val="24"/>
        </w:rPr>
        <w:t>)</w:t>
      </w:r>
      <w:r w:rsidR="00E07E60" w:rsidRPr="00465ED6">
        <w:rPr>
          <w:rFonts w:ascii="Times New Roman" w:hAnsi="Times New Roman"/>
          <w:b/>
          <w:color w:val="auto"/>
          <w:sz w:val="24"/>
          <w:szCs w:val="24"/>
        </w:rPr>
        <w:t xml:space="preserve">, </w:t>
      </w:r>
      <w:r w:rsidR="008F5450" w:rsidRPr="00465ED6">
        <w:rPr>
          <w:rFonts w:ascii="Times New Roman" w:hAnsi="Times New Roman"/>
          <w:b/>
          <w:color w:val="auto"/>
          <w:sz w:val="24"/>
          <w:szCs w:val="24"/>
        </w:rPr>
        <w:t xml:space="preserve">το </w:t>
      </w:r>
      <w:r w:rsidR="00666C7A" w:rsidRPr="00465ED6">
        <w:rPr>
          <w:rFonts w:ascii="Times New Roman" w:hAnsi="Times New Roman"/>
          <w:b/>
          <w:color w:val="auto"/>
          <w:sz w:val="24"/>
          <w:szCs w:val="24"/>
        </w:rPr>
        <w:t xml:space="preserve">ποσοστό των ατόμων με αναπηρία, δηλαδή </w:t>
      </w:r>
      <w:r w:rsidR="00A32B5A" w:rsidRPr="00465ED6">
        <w:rPr>
          <w:rFonts w:ascii="Times New Roman" w:hAnsi="Times New Roman"/>
          <w:b/>
          <w:color w:val="auto"/>
          <w:sz w:val="24"/>
          <w:szCs w:val="24"/>
        </w:rPr>
        <w:t xml:space="preserve">με </w:t>
      </w:r>
      <w:r w:rsidR="00D00A96" w:rsidRPr="00465ED6">
        <w:rPr>
          <w:rFonts w:ascii="Times New Roman" w:hAnsi="Times New Roman"/>
          <w:b/>
          <w:color w:val="auto"/>
          <w:sz w:val="24"/>
          <w:szCs w:val="24"/>
        </w:rPr>
        <w:t xml:space="preserve">μακροπρόθεσμο </w:t>
      </w:r>
      <w:r w:rsidR="00666C7A" w:rsidRPr="00465ED6">
        <w:rPr>
          <w:rFonts w:ascii="Times New Roman" w:hAnsi="Times New Roman"/>
          <w:b/>
          <w:color w:val="auto"/>
          <w:sz w:val="24"/>
          <w:szCs w:val="24"/>
        </w:rPr>
        <w:t xml:space="preserve">περιορισμό </w:t>
      </w:r>
      <w:r w:rsidR="00A32B5A" w:rsidRPr="00465ED6">
        <w:rPr>
          <w:rFonts w:ascii="Times New Roman" w:hAnsi="Times New Roman"/>
          <w:b/>
          <w:color w:val="auto"/>
          <w:sz w:val="24"/>
          <w:szCs w:val="24"/>
        </w:rPr>
        <w:t xml:space="preserve">της συνήθους </w:t>
      </w:r>
      <w:r w:rsidR="00666C7A" w:rsidRPr="00465ED6">
        <w:rPr>
          <w:rFonts w:ascii="Times New Roman" w:hAnsi="Times New Roman"/>
          <w:b/>
          <w:color w:val="auto"/>
          <w:sz w:val="24"/>
          <w:szCs w:val="24"/>
        </w:rPr>
        <w:t>δραστηριότητας</w:t>
      </w:r>
      <w:r w:rsidR="00A32B5A" w:rsidRPr="00465ED6">
        <w:rPr>
          <w:rFonts w:ascii="Times New Roman" w:hAnsi="Times New Roman"/>
          <w:b/>
          <w:color w:val="auto"/>
          <w:sz w:val="24"/>
          <w:szCs w:val="24"/>
        </w:rPr>
        <w:t xml:space="preserve"> </w:t>
      </w:r>
      <w:r w:rsidR="00666C7A" w:rsidRPr="00465ED6">
        <w:rPr>
          <w:rFonts w:ascii="Times New Roman" w:hAnsi="Times New Roman"/>
          <w:b/>
          <w:color w:val="auto"/>
          <w:sz w:val="24"/>
          <w:szCs w:val="24"/>
        </w:rPr>
        <w:t xml:space="preserve">λόγω </w:t>
      </w:r>
      <w:r w:rsidR="00A32B5A" w:rsidRPr="00465ED6">
        <w:rPr>
          <w:rFonts w:ascii="Times New Roman" w:hAnsi="Times New Roman"/>
          <w:b/>
          <w:color w:val="auto"/>
          <w:sz w:val="24"/>
          <w:szCs w:val="24"/>
        </w:rPr>
        <w:t xml:space="preserve">προβλημάτων </w:t>
      </w:r>
      <w:r w:rsidR="00666C7A" w:rsidRPr="00465ED6">
        <w:rPr>
          <w:rFonts w:ascii="Times New Roman" w:hAnsi="Times New Roman"/>
          <w:b/>
          <w:color w:val="auto"/>
          <w:sz w:val="24"/>
          <w:szCs w:val="24"/>
        </w:rPr>
        <w:t xml:space="preserve">υγείας, </w:t>
      </w:r>
      <w:r w:rsidR="008F5450" w:rsidRPr="00465ED6">
        <w:rPr>
          <w:rFonts w:ascii="Times New Roman" w:hAnsi="Times New Roman"/>
          <w:b/>
          <w:color w:val="auto"/>
          <w:sz w:val="24"/>
          <w:szCs w:val="24"/>
        </w:rPr>
        <w:t>ανέρχεται στο 24,7%, του πληθυσμού ηλικίας 16</w:t>
      </w:r>
      <w:r w:rsidR="00E07E60" w:rsidRPr="00465ED6">
        <w:rPr>
          <w:rFonts w:ascii="Times New Roman" w:hAnsi="Times New Roman"/>
          <w:b/>
          <w:color w:val="auto"/>
          <w:sz w:val="24"/>
          <w:szCs w:val="24"/>
        </w:rPr>
        <w:t xml:space="preserve"> ετών και άνω</w:t>
      </w:r>
      <w:r w:rsidR="00D00A96" w:rsidRPr="00465ED6">
        <w:rPr>
          <w:rFonts w:ascii="Times New Roman" w:hAnsi="Times New Roman"/>
          <w:b/>
          <w:color w:val="auto"/>
          <w:sz w:val="24"/>
          <w:szCs w:val="24"/>
        </w:rPr>
        <w:t>, δηλαδή 2.231.197 σε σύνολο 9.016.247 ατ</w:t>
      </w:r>
      <w:r w:rsidR="00A53F8A" w:rsidRPr="00465ED6">
        <w:rPr>
          <w:rFonts w:ascii="Times New Roman" w:hAnsi="Times New Roman"/>
          <w:b/>
          <w:color w:val="auto"/>
          <w:sz w:val="24"/>
          <w:szCs w:val="24"/>
        </w:rPr>
        <w:t>όμων.</w:t>
      </w:r>
    </w:p>
    <w:p w:rsidR="00D00A96" w:rsidRPr="00465ED6" w:rsidRDefault="00D00A96" w:rsidP="00C75550">
      <w:pPr>
        <w:pStyle w:val="a8"/>
        <w:numPr>
          <w:ilvl w:val="0"/>
          <w:numId w:val="24"/>
        </w:numPr>
        <w:spacing w:after="160" w:line="259" w:lineRule="auto"/>
        <w:rPr>
          <w:rFonts w:ascii="Times New Roman" w:hAnsi="Times New Roman"/>
          <w:i/>
          <w:color w:val="auto"/>
          <w:sz w:val="24"/>
          <w:szCs w:val="24"/>
        </w:rPr>
      </w:pPr>
      <w:r w:rsidRPr="00465ED6">
        <w:rPr>
          <w:rFonts w:ascii="Times New Roman" w:hAnsi="Times New Roman"/>
          <w:color w:val="auto"/>
          <w:sz w:val="24"/>
          <w:szCs w:val="24"/>
        </w:rPr>
        <w:t>Εξ αυτ</w:t>
      </w:r>
      <w:r w:rsidR="00A53F8A" w:rsidRPr="00465ED6">
        <w:rPr>
          <w:rFonts w:ascii="Times New Roman" w:hAnsi="Times New Roman"/>
          <w:color w:val="auto"/>
          <w:sz w:val="24"/>
          <w:szCs w:val="24"/>
        </w:rPr>
        <w:t xml:space="preserve">ών, </w:t>
      </w:r>
      <w:r w:rsidR="008F5450" w:rsidRPr="00465ED6">
        <w:rPr>
          <w:rFonts w:ascii="Times New Roman" w:hAnsi="Times New Roman"/>
          <w:color w:val="auto"/>
          <w:sz w:val="24"/>
          <w:szCs w:val="24"/>
        </w:rPr>
        <w:t>1.014.177</w:t>
      </w:r>
      <w:r w:rsidR="00A53F8A" w:rsidRPr="00465ED6">
        <w:rPr>
          <w:rFonts w:ascii="Times New Roman" w:hAnsi="Times New Roman"/>
          <w:color w:val="auto"/>
          <w:sz w:val="24"/>
          <w:szCs w:val="24"/>
        </w:rPr>
        <w:t xml:space="preserve"> άτομα</w:t>
      </w:r>
      <w:r w:rsidRPr="00465ED6">
        <w:rPr>
          <w:rFonts w:ascii="Times New Roman" w:hAnsi="Times New Roman"/>
          <w:color w:val="auto"/>
          <w:sz w:val="24"/>
          <w:szCs w:val="24"/>
        </w:rPr>
        <w:t xml:space="preserve">, δηλαδή το 11,2% του συνολικού πληθυσμού (16+), αντιμετωπίζουν σοβαρής μορφής </w:t>
      </w:r>
      <w:r w:rsidR="008F5450" w:rsidRPr="00465ED6">
        <w:rPr>
          <w:rFonts w:ascii="Times New Roman" w:hAnsi="Times New Roman"/>
          <w:color w:val="auto"/>
          <w:sz w:val="24"/>
          <w:szCs w:val="24"/>
        </w:rPr>
        <w:t>περιορισμό στην δραστηριότητα τους.</w:t>
      </w:r>
    </w:p>
    <w:p w:rsidR="00666C7A" w:rsidRPr="00465ED6" w:rsidRDefault="00666C7A" w:rsidP="00C75550">
      <w:pPr>
        <w:pStyle w:val="a8"/>
        <w:numPr>
          <w:ilvl w:val="0"/>
          <w:numId w:val="24"/>
        </w:numPr>
        <w:spacing w:after="160" w:line="259" w:lineRule="auto"/>
        <w:rPr>
          <w:rFonts w:ascii="Times New Roman" w:hAnsi="Times New Roman"/>
          <w:i/>
          <w:color w:val="auto"/>
          <w:sz w:val="24"/>
          <w:szCs w:val="24"/>
        </w:rPr>
      </w:pPr>
      <w:r w:rsidRPr="00465ED6">
        <w:rPr>
          <w:rFonts w:ascii="Times New Roman" w:hAnsi="Times New Roman"/>
          <w:color w:val="auto"/>
          <w:sz w:val="24"/>
          <w:szCs w:val="24"/>
        </w:rPr>
        <w:t xml:space="preserve">1.217.020 άτομα (13,5%) εκτιμάται ότι έχουν περιορίσει επίσης τη δραστηριότητα τους λόγω προβλήματος υγείας </w:t>
      </w:r>
      <w:r w:rsidRPr="00465ED6">
        <w:rPr>
          <w:rFonts w:ascii="Times New Roman" w:hAnsi="Times New Roman"/>
          <w:i/>
          <w:color w:val="auto"/>
          <w:sz w:val="24"/>
          <w:szCs w:val="24"/>
        </w:rPr>
        <w:t>«αλλά όχι πάρα πολύ».</w:t>
      </w:r>
    </w:p>
    <w:p w:rsidR="008F5450" w:rsidRPr="00465ED6" w:rsidRDefault="008F5450" w:rsidP="00C75550">
      <w:pPr>
        <w:pStyle w:val="a8"/>
        <w:numPr>
          <w:ilvl w:val="0"/>
          <w:numId w:val="24"/>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 xml:space="preserve">Το 5,3% των νοικοκυριών αναφέρουν ότι έχουν μέλος ή μέλη με αναπηρία </w:t>
      </w:r>
      <w:r w:rsidR="00E07E60" w:rsidRPr="00465ED6">
        <w:rPr>
          <w:rFonts w:ascii="Times New Roman" w:hAnsi="Times New Roman"/>
          <w:color w:val="auto"/>
          <w:sz w:val="24"/>
          <w:szCs w:val="24"/>
        </w:rPr>
        <w:t xml:space="preserve">ποσοστού </w:t>
      </w:r>
      <w:r w:rsidRPr="00465ED6">
        <w:rPr>
          <w:rFonts w:ascii="Times New Roman" w:hAnsi="Times New Roman"/>
          <w:color w:val="auto"/>
          <w:sz w:val="24"/>
          <w:szCs w:val="24"/>
        </w:rPr>
        <w:t>67% και άνω.</w:t>
      </w:r>
    </w:p>
    <w:p w:rsidR="00793E8D" w:rsidRPr="00465ED6" w:rsidRDefault="00793E8D" w:rsidP="00C75550">
      <w:pPr>
        <w:pStyle w:val="a8"/>
        <w:numPr>
          <w:ilvl w:val="0"/>
          <w:numId w:val="24"/>
        </w:numPr>
        <w:spacing w:after="160" w:line="259" w:lineRule="auto"/>
        <w:rPr>
          <w:rFonts w:ascii="Times New Roman" w:hAnsi="Times New Roman"/>
          <w:b/>
          <w:color w:val="auto"/>
          <w:sz w:val="24"/>
          <w:szCs w:val="24"/>
        </w:rPr>
      </w:pPr>
      <w:r w:rsidRPr="00465ED6">
        <w:rPr>
          <w:rFonts w:ascii="Times New Roman" w:hAnsi="Times New Roman"/>
          <w:b/>
          <w:color w:val="auto"/>
          <w:sz w:val="24"/>
          <w:szCs w:val="24"/>
        </w:rPr>
        <w:t xml:space="preserve">Σε όλες τις ομάδες ηλικιών ο </w:t>
      </w:r>
      <w:r w:rsidR="00B879A8" w:rsidRPr="00465ED6">
        <w:rPr>
          <w:rFonts w:ascii="Times New Roman" w:hAnsi="Times New Roman"/>
          <w:b/>
          <w:color w:val="auto"/>
          <w:sz w:val="24"/>
          <w:szCs w:val="24"/>
        </w:rPr>
        <w:t>«</w:t>
      </w:r>
      <w:r w:rsidRPr="00465ED6">
        <w:rPr>
          <w:rFonts w:ascii="Times New Roman" w:hAnsi="Times New Roman"/>
          <w:b/>
          <w:color w:val="auto"/>
          <w:sz w:val="24"/>
          <w:szCs w:val="24"/>
        </w:rPr>
        <w:t>κίνδυνος φτώχειας ή αποκλεισμού</w:t>
      </w:r>
      <w:r w:rsidR="00B879A8" w:rsidRPr="00465ED6">
        <w:rPr>
          <w:rFonts w:ascii="Times New Roman" w:hAnsi="Times New Roman"/>
          <w:b/>
          <w:color w:val="auto"/>
          <w:sz w:val="24"/>
          <w:szCs w:val="24"/>
        </w:rPr>
        <w:t>», σύμφωνα με τον σύνθετο δείκτη,</w:t>
      </w:r>
      <w:r w:rsidRPr="00465ED6">
        <w:rPr>
          <w:rFonts w:ascii="Times New Roman" w:hAnsi="Times New Roman"/>
          <w:b/>
          <w:color w:val="auto"/>
          <w:sz w:val="24"/>
          <w:szCs w:val="24"/>
        </w:rPr>
        <w:t xml:space="preserve"> είναι μεγαλύτερος για τα άτομα με αναπηρία σε σύγκριση με τον πληθυσμό χωρίς κανέναν περιορισμό, και επίσης η εν λόγω διαφορά λαμβάνει τρομακτικές διαστάσεις στις ηλικίες έως 54 ετών (της τάξεως των 20 ποσοστιαίων μονάδων). </w:t>
      </w:r>
    </w:p>
    <w:p w:rsidR="008F5450" w:rsidRPr="00465ED6" w:rsidRDefault="00E07E60" w:rsidP="00C75550">
      <w:pPr>
        <w:pStyle w:val="a8"/>
        <w:numPr>
          <w:ilvl w:val="0"/>
          <w:numId w:val="24"/>
        </w:numPr>
        <w:spacing w:after="160" w:line="259" w:lineRule="auto"/>
        <w:rPr>
          <w:rFonts w:ascii="Times New Roman" w:hAnsi="Times New Roman"/>
          <w:b/>
          <w:color w:val="auto"/>
          <w:sz w:val="24"/>
          <w:szCs w:val="24"/>
        </w:rPr>
      </w:pPr>
      <w:r w:rsidRPr="00465ED6">
        <w:rPr>
          <w:rFonts w:ascii="Times New Roman" w:hAnsi="Times New Roman"/>
          <w:b/>
          <w:color w:val="auto"/>
          <w:sz w:val="24"/>
          <w:szCs w:val="24"/>
        </w:rPr>
        <w:t>Στις ηλικίες από 16 έως 64 ετών, σ</w:t>
      </w:r>
      <w:r w:rsidR="008F5450" w:rsidRPr="00465ED6">
        <w:rPr>
          <w:rFonts w:ascii="Times New Roman" w:hAnsi="Times New Roman"/>
          <w:b/>
          <w:color w:val="auto"/>
          <w:sz w:val="24"/>
          <w:szCs w:val="24"/>
        </w:rPr>
        <w:t>το φάσμα της φτώχειας και του αποκλεισμού βρίσκονται οι 6 στους 10 πολίτες με σοβαρή αναπηρία, και οι 5 στους 10 με μέτριο περιορισμό δραστηριότητας</w:t>
      </w:r>
      <w:r w:rsidRPr="00465ED6">
        <w:rPr>
          <w:rFonts w:ascii="Times New Roman" w:hAnsi="Times New Roman"/>
          <w:b/>
          <w:color w:val="auto"/>
          <w:sz w:val="24"/>
          <w:szCs w:val="24"/>
        </w:rPr>
        <w:t>.</w:t>
      </w:r>
    </w:p>
    <w:p w:rsidR="00A5211A" w:rsidRPr="00465ED6" w:rsidRDefault="00E07E60" w:rsidP="007B075A">
      <w:pPr>
        <w:spacing w:after="160" w:line="259" w:lineRule="auto"/>
        <w:ind w:left="360"/>
        <w:rPr>
          <w:rFonts w:ascii="Times New Roman" w:hAnsi="Times New Roman"/>
          <w:color w:val="auto"/>
          <w:sz w:val="24"/>
          <w:szCs w:val="24"/>
        </w:rPr>
      </w:pPr>
      <w:r w:rsidRPr="00465ED6">
        <w:rPr>
          <w:rFonts w:ascii="Times New Roman" w:hAnsi="Times New Roman"/>
          <w:color w:val="auto"/>
          <w:sz w:val="24"/>
          <w:szCs w:val="24"/>
        </w:rPr>
        <w:t xml:space="preserve">Ειδικότερα ανά ηλικιακή κατηγορία, </w:t>
      </w:r>
      <w:r w:rsidR="00A5211A" w:rsidRPr="00465ED6">
        <w:rPr>
          <w:rFonts w:ascii="Times New Roman" w:hAnsi="Times New Roman"/>
          <w:color w:val="auto"/>
          <w:sz w:val="24"/>
          <w:szCs w:val="24"/>
        </w:rPr>
        <w:t xml:space="preserve">σε κίνδυνο φτώχειας ή κοινωνικού αποκλεισμού βρίσκεται: </w:t>
      </w:r>
    </w:p>
    <w:p w:rsidR="00A5211A" w:rsidRPr="00465ED6" w:rsidRDefault="00A5211A" w:rsidP="00C75550">
      <w:pPr>
        <w:pStyle w:val="a8"/>
        <w:numPr>
          <w:ilvl w:val="0"/>
          <w:numId w:val="25"/>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Το 71,5% του πληθυσμού με αναπηρία 16-19 ετών (έναντι του 46,6% του πληθυσμού χωρίς αναπηρία)</w:t>
      </w:r>
      <w:r w:rsidR="00E07E60" w:rsidRPr="00465ED6">
        <w:rPr>
          <w:rFonts w:ascii="Times New Roman" w:hAnsi="Times New Roman"/>
          <w:color w:val="auto"/>
          <w:sz w:val="24"/>
          <w:szCs w:val="24"/>
        </w:rPr>
        <w:t>,</w:t>
      </w:r>
    </w:p>
    <w:p w:rsidR="00A5211A" w:rsidRPr="00465ED6" w:rsidRDefault="00E07E60" w:rsidP="00C75550">
      <w:pPr>
        <w:pStyle w:val="a8"/>
        <w:numPr>
          <w:ilvl w:val="0"/>
          <w:numId w:val="25"/>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τ</w:t>
      </w:r>
      <w:r w:rsidR="00A5211A" w:rsidRPr="00465ED6">
        <w:rPr>
          <w:rFonts w:ascii="Times New Roman" w:hAnsi="Times New Roman"/>
          <w:color w:val="auto"/>
          <w:sz w:val="24"/>
          <w:szCs w:val="24"/>
        </w:rPr>
        <w:t>ο 57,6% του πληθυσμού με αναπηρία 20-24 ετών (έναντι του 49,1% του πληθυσμού χωρίς αναπηρία)</w:t>
      </w:r>
      <w:r w:rsidR="00882B20" w:rsidRPr="00465ED6">
        <w:rPr>
          <w:rFonts w:ascii="Times New Roman" w:hAnsi="Times New Roman"/>
          <w:color w:val="auto"/>
          <w:sz w:val="24"/>
          <w:szCs w:val="24"/>
        </w:rPr>
        <w:t>,</w:t>
      </w:r>
    </w:p>
    <w:p w:rsidR="00A5211A" w:rsidRPr="00465ED6" w:rsidRDefault="00E07E60" w:rsidP="00C75550">
      <w:pPr>
        <w:pStyle w:val="a8"/>
        <w:numPr>
          <w:ilvl w:val="0"/>
          <w:numId w:val="25"/>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τ</w:t>
      </w:r>
      <w:r w:rsidR="00A5211A" w:rsidRPr="00465ED6">
        <w:rPr>
          <w:rFonts w:ascii="Times New Roman" w:hAnsi="Times New Roman"/>
          <w:color w:val="auto"/>
          <w:sz w:val="24"/>
          <w:szCs w:val="24"/>
        </w:rPr>
        <w:t>ο 63,5% του πληθυσμού με αναπηρία 25-29 ετών (έναντι του 44,7% του πληθυσμού χωρίς αναπηρία)</w:t>
      </w:r>
      <w:r w:rsidR="00882B20" w:rsidRPr="00465ED6">
        <w:rPr>
          <w:rFonts w:ascii="Times New Roman" w:hAnsi="Times New Roman"/>
          <w:color w:val="auto"/>
          <w:sz w:val="24"/>
          <w:szCs w:val="24"/>
        </w:rPr>
        <w:t>,</w:t>
      </w:r>
    </w:p>
    <w:p w:rsidR="00A5211A" w:rsidRPr="00465ED6" w:rsidRDefault="00E07E60" w:rsidP="00C75550">
      <w:pPr>
        <w:pStyle w:val="a8"/>
        <w:numPr>
          <w:ilvl w:val="0"/>
          <w:numId w:val="25"/>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τ</w:t>
      </w:r>
      <w:r w:rsidR="00A5211A" w:rsidRPr="00465ED6">
        <w:rPr>
          <w:rFonts w:ascii="Times New Roman" w:hAnsi="Times New Roman"/>
          <w:color w:val="auto"/>
          <w:sz w:val="24"/>
          <w:szCs w:val="24"/>
        </w:rPr>
        <w:t>ο 54,2% του πληθυσμού με αναπηρία 30-34 ετών (έναντι του 32,5% του πληθυσμού χωρίς αναπηρία)</w:t>
      </w:r>
      <w:r w:rsidR="00882B20" w:rsidRPr="00465ED6">
        <w:rPr>
          <w:rFonts w:ascii="Times New Roman" w:hAnsi="Times New Roman"/>
          <w:color w:val="auto"/>
          <w:sz w:val="24"/>
          <w:szCs w:val="24"/>
        </w:rPr>
        <w:t>,</w:t>
      </w:r>
    </w:p>
    <w:p w:rsidR="00A5211A" w:rsidRPr="00465ED6" w:rsidRDefault="00882B20" w:rsidP="00C75550">
      <w:pPr>
        <w:pStyle w:val="a8"/>
        <w:numPr>
          <w:ilvl w:val="0"/>
          <w:numId w:val="25"/>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τ</w:t>
      </w:r>
      <w:r w:rsidR="00A5211A" w:rsidRPr="00465ED6">
        <w:rPr>
          <w:rFonts w:ascii="Times New Roman" w:hAnsi="Times New Roman"/>
          <w:color w:val="auto"/>
          <w:sz w:val="24"/>
          <w:szCs w:val="24"/>
        </w:rPr>
        <w:t>ο 52,7% του πληθυσμού με αναπηρία 35-39 ετών (έναντι του 31% του πληθυσμού χωρίς αναπηρία)</w:t>
      </w:r>
      <w:r w:rsidRPr="00465ED6">
        <w:rPr>
          <w:rFonts w:ascii="Times New Roman" w:hAnsi="Times New Roman"/>
          <w:color w:val="auto"/>
          <w:sz w:val="24"/>
          <w:szCs w:val="24"/>
        </w:rPr>
        <w:t>,</w:t>
      </w:r>
    </w:p>
    <w:p w:rsidR="00A5211A" w:rsidRPr="00465ED6" w:rsidRDefault="00882B20" w:rsidP="00C75550">
      <w:pPr>
        <w:pStyle w:val="a8"/>
        <w:numPr>
          <w:ilvl w:val="0"/>
          <w:numId w:val="25"/>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τ</w:t>
      </w:r>
      <w:r w:rsidR="00A5211A" w:rsidRPr="00465ED6">
        <w:rPr>
          <w:rFonts w:ascii="Times New Roman" w:hAnsi="Times New Roman"/>
          <w:color w:val="auto"/>
          <w:sz w:val="24"/>
          <w:szCs w:val="24"/>
        </w:rPr>
        <w:t>ο 56,4% του πληθυσμού με αναπηρία 40-44 ετών (έναντι του 36,5% του πληθυσμού χωρίς αναπηρία)</w:t>
      </w:r>
      <w:r w:rsidRPr="00465ED6">
        <w:rPr>
          <w:rFonts w:ascii="Times New Roman" w:hAnsi="Times New Roman"/>
          <w:color w:val="auto"/>
          <w:sz w:val="24"/>
          <w:szCs w:val="24"/>
        </w:rPr>
        <w:t>,</w:t>
      </w:r>
    </w:p>
    <w:p w:rsidR="00A5211A" w:rsidRPr="00465ED6" w:rsidRDefault="00882B20" w:rsidP="00C75550">
      <w:pPr>
        <w:pStyle w:val="a8"/>
        <w:numPr>
          <w:ilvl w:val="0"/>
          <w:numId w:val="25"/>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τ</w:t>
      </w:r>
      <w:r w:rsidR="00A5211A" w:rsidRPr="00465ED6">
        <w:rPr>
          <w:rFonts w:ascii="Times New Roman" w:hAnsi="Times New Roman"/>
          <w:color w:val="auto"/>
          <w:sz w:val="24"/>
          <w:szCs w:val="24"/>
        </w:rPr>
        <w:t>ο 53,9% του πληθυσμού με αναπηρία 45-49 ετών (έναντι του 35,2% του πληθυσμού χωρίς αναπηρία)</w:t>
      </w:r>
      <w:r w:rsidRPr="00465ED6">
        <w:rPr>
          <w:rFonts w:ascii="Times New Roman" w:hAnsi="Times New Roman"/>
          <w:color w:val="auto"/>
          <w:sz w:val="24"/>
          <w:szCs w:val="24"/>
        </w:rPr>
        <w:t>,</w:t>
      </w:r>
    </w:p>
    <w:p w:rsidR="00A5211A" w:rsidRPr="00465ED6" w:rsidRDefault="00882B20" w:rsidP="00C75550">
      <w:pPr>
        <w:pStyle w:val="a8"/>
        <w:numPr>
          <w:ilvl w:val="0"/>
          <w:numId w:val="25"/>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τ</w:t>
      </w:r>
      <w:r w:rsidR="00A5211A" w:rsidRPr="00465ED6">
        <w:rPr>
          <w:rFonts w:ascii="Times New Roman" w:hAnsi="Times New Roman"/>
          <w:color w:val="auto"/>
          <w:sz w:val="24"/>
          <w:szCs w:val="24"/>
        </w:rPr>
        <w:t>ο 58,1% του πληθυσμού με αναπηρία 50-54 ετών (έναντι του 38,4% του πληθυσμού χωρίς αναπηρία)</w:t>
      </w:r>
      <w:r w:rsidRPr="00465ED6">
        <w:rPr>
          <w:rFonts w:ascii="Times New Roman" w:hAnsi="Times New Roman"/>
          <w:color w:val="auto"/>
          <w:sz w:val="24"/>
          <w:szCs w:val="24"/>
        </w:rPr>
        <w:t>,</w:t>
      </w:r>
    </w:p>
    <w:p w:rsidR="00A5211A" w:rsidRPr="00465ED6" w:rsidRDefault="00882B20" w:rsidP="00C75550">
      <w:pPr>
        <w:pStyle w:val="a8"/>
        <w:numPr>
          <w:ilvl w:val="0"/>
          <w:numId w:val="25"/>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lastRenderedPageBreak/>
        <w:t>τ</w:t>
      </w:r>
      <w:r w:rsidR="00A5211A" w:rsidRPr="00465ED6">
        <w:rPr>
          <w:rFonts w:ascii="Times New Roman" w:hAnsi="Times New Roman"/>
          <w:color w:val="auto"/>
          <w:sz w:val="24"/>
          <w:szCs w:val="24"/>
        </w:rPr>
        <w:t>ο 58,7% του πληθυσμού με αναπηρία 55-59 ετών (έναντι του 47,3% του πληθυσμού χωρίς αναπηρία).</w:t>
      </w:r>
    </w:p>
    <w:p w:rsidR="00A91413" w:rsidRPr="00465ED6" w:rsidRDefault="00A31532" w:rsidP="00C75550">
      <w:pPr>
        <w:spacing w:after="160" w:line="259" w:lineRule="auto"/>
        <w:ind w:left="360"/>
        <w:rPr>
          <w:rFonts w:ascii="Times New Roman" w:hAnsi="Times New Roman"/>
          <w:b/>
          <w:color w:val="auto"/>
          <w:sz w:val="24"/>
          <w:szCs w:val="24"/>
        </w:rPr>
      </w:pPr>
      <w:r w:rsidRPr="00465ED6">
        <w:rPr>
          <w:rFonts w:ascii="Times New Roman" w:hAnsi="Times New Roman"/>
          <w:b/>
          <w:color w:val="auto"/>
          <w:sz w:val="24"/>
          <w:szCs w:val="24"/>
        </w:rPr>
        <w:t xml:space="preserve">Παρότι ο </w:t>
      </w:r>
      <w:r w:rsidR="00432A67" w:rsidRPr="00465ED6">
        <w:rPr>
          <w:rFonts w:ascii="Times New Roman" w:hAnsi="Times New Roman"/>
          <w:b/>
          <w:color w:val="auto"/>
          <w:sz w:val="24"/>
          <w:szCs w:val="24"/>
        </w:rPr>
        <w:t xml:space="preserve">μεμονωμένος </w:t>
      </w:r>
      <w:r w:rsidR="004F0D0F" w:rsidRPr="00465ED6">
        <w:rPr>
          <w:rFonts w:ascii="Times New Roman" w:hAnsi="Times New Roman"/>
          <w:b/>
          <w:color w:val="auto"/>
          <w:sz w:val="24"/>
          <w:szCs w:val="24"/>
        </w:rPr>
        <w:t>δείκτης κινδύνου φτώχειας</w:t>
      </w:r>
      <w:r w:rsidR="00A91413" w:rsidRPr="00465ED6">
        <w:rPr>
          <w:rFonts w:ascii="Times New Roman" w:hAnsi="Times New Roman"/>
          <w:b/>
          <w:color w:val="auto"/>
          <w:sz w:val="24"/>
          <w:szCs w:val="24"/>
        </w:rPr>
        <w:t xml:space="preserve"> υποεκτιμά σημαντικά το ποσοστό των ατόμων με αναπηρία που διαβιούν σε συνθήκες φτώχειας, διαπιστώνεται </w:t>
      </w:r>
      <w:r w:rsidR="00432A67" w:rsidRPr="00465ED6">
        <w:rPr>
          <w:rFonts w:ascii="Times New Roman" w:hAnsi="Times New Roman"/>
          <w:b/>
          <w:color w:val="auto"/>
          <w:sz w:val="24"/>
          <w:szCs w:val="24"/>
        </w:rPr>
        <w:t xml:space="preserve">και εδώ </w:t>
      </w:r>
      <w:r w:rsidR="00A91413" w:rsidRPr="00465ED6">
        <w:rPr>
          <w:rFonts w:ascii="Times New Roman" w:hAnsi="Times New Roman"/>
          <w:b/>
          <w:color w:val="auto"/>
          <w:sz w:val="24"/>
          <w:szCs w:val="24"/>
        </w:rPr>
        <w:t>ότι σε όλες τις ηλικιακές ομάδες οι τιμές</w:t>
      </w:r>
      <w:r w:rsidR="001E204C" w:rsidRPr="00465ED6">
        <w:rPr>
          <w:rFonts w:ascii="Times New Roman" w:hAnsi="Times New Roman"/>
          <w:b/>
          <w:color w:val="auto"/>
          <w:sz w:val="24"/>
          <w:szCs w:val="24"/>
        </w:rPr>
        <w:t xml:space="preserve"> </w:t>
      </w:r>
      <w:r w:rsidR="00A91413" w:rsidRPr="00465ED6">
        <w:rPr>
          <w:rFonts w:ascii="Times New Roman" w:hAnsi="Times New Roman"/>
          <w:b/>
          <w:color w:val="auto"/>
          <w:sz w:val="24"/>
          <w:szCs w:val="24"/>
        </w:rPr>
        <w:t>του δείκτη είναι υψηλότερες στα άτομα με αναπηρία</w:t>
      </w:r>
      <w:r w:rsidR="00A50A66" w:rsidRPr="00465ED6">
        <w:rPr>
          <w:rFonts w:ascii="Times New Roman" w:hAnsi="Times New Roman"/>
          <w:b/>
          <w:color w:val="auto"/>
          <w:sz w:val="24"/>
          <w:szCs w:val="24"/>
        </w:rPr>
        <w:t>,</w:t>
      </w:r>
      <w:r w:rsidR="00A91413" w:rsidRPr="00465ED6">
        <w:rPr>
          <w:rFonts w:ascii="Times New Roman" w:hAnsi="Times New Roman"/>
          <w:b/>
          <w:color w:val="auto"/>
          <w:sz w:val="24"/>
          <w:szCs w:val="24"/>
        </w:rPr>
        <w:t xml:space="preserve"> σε σύγκριση με τον πληθυσμό χωρίς αναπηρία. </w:t>
      </w:r>
    </w:p>
    <w:p w:rsidR="00A91413" w:rsidRPr="00465ED6" w:rsidRDefault="00A91413" w:rsidP="00C75550">
      <w:pPr>
        <w:pStyle w:val="a8"/>
        <w:numPr>
          <w:ilvl w:val="0"/>
          <w:numId w:val="26"/>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 xml:space="preserve">Για το σύνολο του πληθυσμού 16-64 ετών ο κίνδυνος φτώχειας εκτιμάται στο  26,7% έναντι του 22,3% του πληθυσμού χωρίς αναπηρία. </w:t>
      </w:r>
    </w:p>
    <w:p w:rsidR="00A91413" w:rsidRPr="00465ED6" w:rsidRDefault="00A91413" w:rsidP="00C75550">
      <w:pPr>
        <w:pStyle w:val="a8"/>
        <w:numPr>
          <w:ilvl w:val="0"/>
          <w:numId w:val="26"/>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Μεγάλες αποκλίσεις των επιπέδων σχετικής φτώχειας διαπιστώνονται ειδικότερα στις ηλικιακές ομάδες: «16-19 ετών»: 52,8% στα άτομα με αναπηρία</w:t>
      </w:r>
      <w:r w:rsidR="00296F0F" w:rsidRPr="00465ED6">
        <w:rPr>
          <w:rFonts w:ascii="Times New Roman" w:hAnsi="Times New Roman"/>
          <w:color w:val="auto"/>
        </w:rPr>
        <w:t xml:space="preserve"> </w:t>
      </w:r>
      <w:r w:rsidRPr="00465ED6">
        <w:rPr>
          <w:rFonts w:ascii="Times New Roman" w:hAnsi="Times New Roman"/>
          <w:color w:val="auto"/>
          <w:sz w:val="24"/>
          <w:szCs w:val="24"/>
        </w:rPr>
        <w:t>έναντι 32,4% στα άτομα χωρίς αναπηρία, «30-34 ετών»: 30,8% στα άτομα με αναπηρία έναντι 18,5% στα άτομα χωρίς αναπηρία, «35-39 ετών»: 28,4% στα άτομα με αναπηρία έναντι 20% στα άτομα χωρίς αναπηρία, «50-54 ετών»: 29,8% στα άτομα με αναπηρία έναντι 21,6% στα άτομα χωρίς αναπηρία.</w:t>
      </w:r>
    </w:p>
    <w:p w:rsidR="000051D9" w:rsidRPr="00465ED6" w:rsidRDefault="000051D9" w:rsidP="00C75550">
      <w:pPr>
        <w:pStyle w:val="a8"/>
        <w:numPr>
          <w:ilvl w:val="0"/>
          <w:numId w:val="26"/>
        </w:numPr>
        <w:spacing w:after="160" w:line="259" w:lineRule="auto"/>
        <w:rPr>
          <w:rFonts w:ascii="Times New Roman" w:hAnsi="Times New Roman"/>
          <w:b/>
          <w:color w:val="auto"/>
          <w:sz w:val="24"/>
          <w:szCs w:val="24"/>
        </w:rPr>
      </w:pPr>
      <w:r w:rsidRPr="00465ED6">
        <w:rPr>
          <w:rFonts w:ascii="Times New Roman" w:hAnsi="Times New Roman"/>
          <w:b/>
          <w:color w:val="auto"/>
          <w:sz w:val="24"/>
          <w:szCs w:val="24"/>
        </w:rPr>
        <w:t>Στην ομάδα 16-64 το ποσοστό κινδύνου φτώχειας πριν από όλες τις κοινωνικές μεταβιβάσεις</w:t>
      </w:r>
      <w:r w:rsidR="00CD296C" w:rsidRPr="00465ED6">
        <w:rPr>
          <w:rFonts w:ascii="Times New Roman" w:hAnsi="Times New Roman"/>
          <w:b/>
          <w:color w:val="auto"/>
          <w:sz w:val="24"/>
          <w:szCs w:val="24"/>
        </w:rPr>
        <w:t xml:space="preserve"> (αφαιρώντας δηλαδή τα επιδόματα και τις συντάξεις από το εισόδημα)</w:t>
      </w:r>
      <w:r w:rsidRPr="00465ED6">
        <w:rPr>
          <w:rFonts w:ascii="Times New Roman" w:hAnsi="Times New Roman"/>
          <w:b/>
          <w:color w:val="auto"/>
          <w:sz w:val="24"/>
          <w:szCs w:val="24"/>
        </w:rPr>
        <w:t xml:space="preserve"> αγγίζει το 67% στον πληθυσμό των ατόμων με σοβαρή αναπηρία και το 58,1 στην ομάδα με μετρίου βαθμού περιορισμό δραστηριότητας, ενώ στον πληθυσμό χωρίς αναπηρία ανέρχεται στο 42,2%. </w:t>
      </w:r>
    </w:p>
    <w:p w:rsidR="001016DF" w:rsidRPr="00465ED6" w:rsidRDefault="001016DF" w:rsidP="00C75550">
      <w:pPr>
        <w:pStyle w:val="a8"/>
        <w:numPr>
          <w:ilvl w:val="0"/>
          <w:numId w:val="26"/>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 xml:space="preserve">Το ποσοστό των ατόμων άνω των 16 ετών με σοβαρό περιορισμό δραστηριότητας που διαβιεί σε νοικοκυριά με υλική στέρηση είναι 25,7%, ενώ στις παραγωγικές ηλικίες 16-64 ετών το ποσοστό εκτοξεύεται στο 36,9%. </w:t>
      </w:r>
      <w:r w:rsidRPr="00465ED6">
        <w:rPr>
          <w:rFonts w:ascii="Times New Roman" w:hAnsi="Times New Roman"/>
          <w:b/>
          <w:color w:val="auto"/>
          <w:sz w:val="24"/>
          <w:szCs w:val="24"/>
        </w:rPr>
        <w:t>Σχεδόν δηλαδή οι 4 στους 10 πολίτες με σοβαρή αναπηρία μεταξύ 16 και 64 ετών βιώνουν σοβαρές υλικές στερήσεις.</w:t>
      </w:r>
      <w:r w:rsidRPr="00465ED6">
        <w:rPr>
          <w:rFonts w:ascii="Times New Roman" w:hAnsi="Times New Roman"/>
          <w:color w:val="auto"/>
          <w:sz w:val="24"/>
          <w:szCs w:val="24"/>
        </w:rPr>
        <w:t xml:space="preserve"> </w:t>
      </w:r>
    </w:p>
    <w:p w:rsidR="00027528" w:rsidRPr="00465ED6" w:rsidRDefault="00027528" w:rsidP="00C75550">
      <w:pPr>
        <w:pStyle w:val="a8"/>
        <w:numPr>
          <w:ilvl w:val="0"/>
          <w:numId w:val="26"/>
        </w:numPr>
        <w:spacing w:after="160" w:line="259" w:lineRule="auto"/>
        <w:rPr>
          <w:rFonts w:ascii="Times New Roman" w:hAnsi="Times New Roman"/>
          <w:b/>
          <w:color w:val="auto"/>
          <w:sz w:val="24"/>
          <w:szCs w:val="24"/>
        </w:rPr>
      </w:pPr>
      <w:r w:rsidRPr="00465ED6">
        <w:rPr>
          <w:rFonts w:ascii="Times New Roman" w:hAnsi="Times New Roman"/>
          <w:b/>
          <w:color w:val="auto"/>
          <w:sz w:val="24"/>
          <w:szCs w:val="24"/>
        </w:rPr>
        <w:t>Τέλος, το 42,8% του πληθυσμού με βαριά αναπηρία και το 28% του πληθυσμού με</w:t>
      </w:r>
      <w:r w:rsidR="00D31D79" w:rsidRPr="00465ED6">
        <w:rPr>
          <w:rFonts w:ascii="Times New Roman" w:hAnsi="Times New Roman"/>
          <w:b/>
          <w:color w:val="auto"/>
          <w:sz w:val="24"/>
          <w:szCs w:val="24"/>
        </w:rPr>
        <w:t xml:space="preserve"> μέτρια αναπηρία στην ηλικία 16 έως </w:t>
      </w:r>
      <w:r w:rsidRPr="00465ED6">
        <w:rPr>
          <w:rFonts w:ascii="Times New Roman" w:hAnsi="Times New Roman"/>
          <w:b/>
          <w:color w:val="auto"/>
          <w:sz w:val="24"/>
          <w:szCs w:val="24"/>
        </w:rPr>
        <w:t xml:space="preserve">59 ετών διαβιούν σε νοικοκυριά με εργασία χαμηλής έντασης, έναντι του 17,1 των ατόμων με κανένα περιορισμό δραστηριότητας. </w:t>
      </w:r>
    </w:p>
    <w:p w:rsidR="00304E29" w:rsidRPr="00465ED6" w:rsidRDefault="00304E29" w:rsidP="00465ED6">
      <w:pPr>
        <w:pStyle w:val="af1"/>
        <w:jc w:val="center"/>
        <w:rPr>
          <w:rFonts w:ascii="Times New Roman" w:hAnsi="Times New Roman" w:cs="Times New Roman"/>
          <w:b/>
          <w:color w:val="auto"/>
        </w:rPr>
      </w:pPr>
      <w:r w:rsidRPr="00465ED6">
        <w:rPr>
          <w:rFonts w:ascii="Times New Roman" w:hAnsi="Times New Roman" w:cs="Times New Roman"/>
          <w:b/>
          <w:color w:val="auto"/>
        </w:rPr>
        <w:t>ΑΝΑΛΥΣΗ ΕΥΡΥΜΑΤΩΝ</w:t>
      </w:r>
    </w:p>
    <w:p w:rsidR="00AC4E87" w:rsidRPr="00465ED6" w:rsidRDefault="00AC4E87" w:rsidP="00465ED6">
      <w:pPr>
        <w:pStyle w:val="af1"/>
        <w:jc w:val="center"/>
        <w:rPr>
          <w:rFonts w:ascii="Times New Roman" w:eastAsia="Batang" w:hAnsi="Times New Roman" w:cs="Times New Roman"/>
          <w:b/>
          <w:bCs/>
          <w:color w:val="auto"/>
          <w:u w:val="single"/>
        </w:rPr>
      </w:pPr>
      <w:r w:rsidRPr="00465ED6">
        <w:rPr>
          <w:rFonts w:ascii="Times New Roman" w:hAnsi="Times New Roman" w:cs="Times New Roman"/>
          <w:b/>
          <w:color w:val="auto"/>
        </w:rPr>
        <w:t>«ΦΤΩΧΕΙΑ ΚΑΙ ΚΟΙΝΩΝΙΚΟΣ ΑΠΟΚΛΕΙΣΜΟΣ ΤΟΥ ΠΛΗΘΥΣΜΟΥ ΜΕ ΑΝΑΠΗΡΙΑ ΣΤΗΝ ΕΛΛΑΔΑ (2016)»</w:t>
      </w:r>
    </w:p>
    <w:p w:rsidR="00681B6D" w:rsidRPr="00465ED6" w:rsidRDefault="00B05F56" w:rsidP="00465ED6">
      <w:pPr>
        <w:pStyle w:val="af1"/>
        <w:jc w:val="center"/>
        <w:rPr>
          <w:rFonts w:ascii="Times New Roman" w:hAnsi="Times New Roman" w:cs="Times New Roman"/>
          <w:b/>
          <w:color w:val="auto"/>
        </w:rPr>
      </w:pPr>
      <w:r w:rsidRPr="00465ED6">
        <w:rPr>
          <w:rFonts w:ascii="Times New Roman" w:hAnsi="Times New Roman" w:cs="Times New Roman"/>
          <w:b/>
          <w:color w:val="auto"/>
        </w:rPr>
        <w:t>Α. ΠΛΗΘΥΣΜΟΣ ΤΩΝ ΑΤΟΜΩΝ ΜΕ ΑΝΑΠΗΡΙΑ ΣΤΗΝ ΕΛΛΑΔΑ</w:t>
      </w:r>
    </w:p>
    <w:p w:rsidR="00681B6D" w:rsidRPr="00465ED6" w:rsidRDefault="00B05F56" w:rsidP="00681B6D">
      <w:pPr>
        <w:rPr>
          <w:rFonts w:ascii="Times New Roman" w:hAnsi="Times New Roman"/>
          <w:b/>
          <w:color w:val="auto"/>
          <w:sz w:val="26"/>
          <w:szCs w:val="26"/>
          <w:u w:val="single"/>
        </w:rPr>
      </w:pPr>
      <w:r w:rsidRPr="00465ED6">
        <w:rPr>
          <w:rFonts w:ascii="Times New Roman" w:hAnsi="Times New Roman"/>
          <w:b/>
          <w:color w:val="auto"/>
          <w:sz w:val="26"/>
          <w:szCs w:val="26"/>
          <w:u w:val="single"/>
        </w:rPr>
        <w:t xml:space="preserve">Ο πληθυσμός των Ατόμων με Αναπηρία 16 ετών και άνω: Δείκτης </w:t>
      </w:r>
      <w:r w:rsidRPr="00465ED6">
        <w:rPr>
          <w:rFonts w:ascii="Times New Roman" w:hAnsi="Times New Roman"/>
          <w:b/>
          <w:color w:val="auto"/>
          <w:sz w:val="26"/>
          <w:szCs w:val="26"/>
          <w:u w:val="single"/>
          <w:lang w:val="en-US"/>
        </w:rPr>
        <w:t>GALI</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Στην Έρευνα Εισοδήματος και Συνθηκών Διαβίωσης η πληθυσμιακή ομάδα των ατόμων με αναπηρία προσεγγίζεται στατιστικά με τον δείκτη GALI (Global Activity Limitation Index). </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Ο δείκτης </w:t>
      </w:r>
      <w:r w:rsidRPr="00465ED6">
        <w:rPr>
          <w:rFonts w:ascii="Times New Roman" w:hAnsi="Times New Roman"/>
          <w:color w:val="auto"/>
          <w:sz w:val="24"/>
          <w:szCs w:val="24"/>
          <w:lang w:val="en-US"/>
        </w:rPr>
        <w:t>GALI</w:t>
      </w:r>
      <w:r w:rsidRPr="00465ED6">
        <w:rPr>
          <w:rFonts w:ascii="Times New Roman" w:hAnsi="Times New Roman"/>
          <w:color w:val="auto"/>
          <w:sz w:val="24"/>
          <w:szCs w:val="24"/>
        </w:rPr>
        <w:t xml:space="preserve"> αποτυπώνει την αναπηρία ως τον περιορισμό στις συνήθεις δραστηριότητες των ατόμων εξαιτίας προβλημάτων υγείας.</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lastRenderedPageBreak/>
        <w:t>Σύμφωνα με τα στοιχεία του έτους 2016, το ποσοστό των ατόμων με αναπηρία/περιορισμό της συνήθους δραστηριότητας εξαιτίας προβλήματος υγείας ανέρχεται σε</w:t>
      </w:r>
      <w:r w:rsidRPr="00465ED6">
        <w:rPr>
          <w:rFonts w:ascii="Times New Roman" w:hAnsi="Times New Roman"/>
          <w:b/>
          <w:color w:val="auto"/>
          <w:sz w:val="24"/>
          <w:szCs w:val="24"/>
        </w:rPr>
        <w:t xml:space="preserve"> 24,7%,</w:t>
      </w:r>
      <w:r w:rsidRPr="00465ED6">
        <w:rPr>
          <w:rFonts w:ascii="Times New Roman" w:hAnsi="Times New Roman"/>
          <w:color w:val="auto"/>
          <w:sz w:val="24"/>
          <w:szCs w:val="24"/>
        </w:rPr>
        <w:t xml:space="preserve"> του πληθυσμού ηλικίας 16 ετών και άνω.</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Το </w:t>
      </w:r>
      <w:r w:rsidRPr="00465ED6">
        <w:rPr>
          <w:rFonts w:ascii="Times New Roman" w:hAnsi="Times New Roman"/>
          <w:b/>
          <w:color w:val="auto"/>
          <w:sz w:val="24"/>
          <w:szCs w:val="24"/>
        </w:rPr>
        <w:t>11,2%</w:t>
      </w:r>
      <w:r w:rsidRPr="00465ED6">
        <w:rPr>
          <w:rFonts w:ascii="Times New Roman" w:hAnsi="Times New Roman"/>
          <w:color w:val="auto"/>
          <w:sz w:val="24"/>
          <w:szCs w:val="24"/>
        </w:rPr>
        <w:t xml:space="preserve"> του πληθυσμού, δηλαδή </w:t>
      </w:r>
      <w:r w:rsidRPr="00465ED6">
        <w:rPr>
          <w:rFonts w:ascii="Times New Roman" w:hAnsi="Times New Roman"/>
          <w:b/>
          <w:color w:val="auto"/>
          <w:sz w:val="24"/>
          <w:szCs w:val="24"/>
        </w:rPr>
        <w:t>1.014.177 άτομα</w:t>
      </w:r>
      <w:r w:rsidR="002351C5" w:rsidRPr="00465ED6">
        <w:rPr>
          <w:rFonts w:ascii="Times New Roman" w:hAnsi="Times New Roman"/>
          <w:color w:val="auto"/>
          <w:sz w:val="24"/>
          <w:szCs w:val="24"/>
        </w:rPr>
        <w:t xml:space="preserve">, </w:t>
      </w:r>
      <w:r w:rsidRPr="00465ED6">
        <w:rPr>
          <w:rFonts w:ascii="Times New Roman" w:hAnsi="Times New Roman"/>
          <w:color w:val="auto"/>
          <w:sz w:val="24"/>
          <w:szCs w:val="24"/>
        </w:rPr>
        <w:t xml:space="preserve">αντιμετωπίζουν </w:t>
      </w:r>
      <w:r w:rsidRPr="00465ED6">
        <w:rPr>
          <w:rFonts w:ascii="Times New Roman" w:hAnsi="Times New Roman"/>
          <w:b/>
          <w:color w:val="auto"/>
          <w:sz w:val="24"/>
          <w:szCs w:val="24"/>
        </w:rPr>
        <w:t>σοβαρή αναπηρία</w:t>
      </w:r>
      <w:r w:rsidRPr="00465ED6">
        <w:rPr>
          <w:rFonts w:ascii="Times New Roman" w:hAnsi="Times New Roman"/>
          <w:color w:val="auto"/>
          <w:sz w:val="24"/>
          <w:szCs w:val="24"/>
        </w:rPr>
        <w:t>.</w:t>
      </w:r>
    </w:p>
    <w:p w:rsidR="00681B6D" w:rsidRPr="00465ED6" w:rsidRDefault="002351C5" w:rsidP="00681B6D">
      <w:pPr>
        <w:rPr>
          <w:rFonts w:ascii="Times New Roman" w:hAnsi="Times New Roman"/>
          <w:i/>
          <w:color w:val="auto"/>
          <w:sz w:val="24"/>
          <w:szCs w:val="24"/>
        </w:rPr>
      </w:pPr>
      <w:r w:rsidRPr="00465ED6">
        <w:rPr>
          <w:rFonts w:ascii="Times New Roman" w:hAnsi="Times New Roman"/>
          <w:color w:val="auto"/>
          <w:sz w:val="24"/>
          <w:szCs w:val="24"/>
        </w:rPr>
        <w:t xml:space="preserve">1.217.020 άτομα (13,5%) εκτιμάται ότι </w:t>
      </w:r>
      <w:r w:rsidR="00B05F56" w:rsidRPr="00465ED6">
        <w:rPr>
          <w:rFonts w:ascii="Times New Roman" w:hAnsi="Times New Roman"/>
          <w:color w:val="auto"/>
          <w:sz w:val="24"/>
          <w:szCs w:val="24"/>
        </w:rPr>
        <w:t xml:space="preserve">έχουν περιορίσει επίσης τη δραστηριότητα τους λόγω προβλήματος υγείας </w:t>
      </w:r>
      <w:r w:rsidR="00B05F56" w:rsidRPr="00465ED6">
        <w:rPr>
          <w:rFonts w:ascii="Times New Roman" w:hAnsi="Times New Roman"/>
          <w:i/>
          <w:color w:val="auto"/>
          <w:sz w:val="24"/>
          <w:szCs w:val="24"/>
        </w:rPr>
        <w:t>«αλλά όχι πάρα πολύ»</w:t>
      </w:r>
      <w:r w:rsidRPr="00465ED6">
        <w:rPr>
          <w:rFonts w:ascii="Times New Roman" w:hAnsi="Times New Roman"/>
          <w:i/>
          <w:color w:val="auto"/>
          <w:sz w:val="24"/>
          <w:szCs w:val="24"/>
        </w:rPr>
        <w:t>.</w:t>
      </w:r>
    </w:p>
    <w:p w:rsidR="00681B6D" w:rsidRPr="00465ED6" w:rsidRDefault="00681B6D" w:rsidP="00681B6D">
      <w:pPr>
        <w:rPr>
          <w:rFonts w:ascii="Times New Roman" w:hAnsi="Times New Roman"/>
          <w:color w:val="auto"/>
          <w:sz w:val="24"/>
          <w:szCs w:val="24"/>
        </w:rPr>
      </w:pPr>
    </w:p>
    <w:p w:rsidR="00681B6D" w:rsidRPr="00465ED6" w:rsidRDefault="00B05F56" w:rsidP="00681B6D">
      <w:pPr>
        <w:pStyle w:val="a3"/>
        <w:keepNext/>
        <w:rPr>
          <w:rFonts w:ascii="Times New Roman" w:hAnsi="Times New Roman"/>
          <w:noProof/>
          <w:color w:val="auto"/>
        </w:rPr>
      </w:pPr>
      <w:r w:rsidRPr="00465ED6">
        <w:rPr>
          <w:rFonts w:ascii="Times New Roman" w:hAnsi="Times New Roman"/>
          <w:color w:val="auto"/>
        </w:rPr>
        <w:t xml:space="preserve">Γράφημα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Γράφημα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1</w:t>
      </w:r>
      <w:r w:rsidR="00E33BFF" w:rsidRPr="00465ED6">
        <w:rPr>
          <w:rFonts w:ascii="Times New Roman" w:hAnsi="Times New Roman"/>
          <w:noProof/>
          <w:color w:val="auto"/>
        </w:rPr>
        <w:fldChar w:fldCharType="end"/>
      </w:r>
    </w:p>
    <w:p w:rsidR="00C4054E" w:rsidRPr="00465ED6" w:rsidRDefault="00C4054E" w:rsidP="00C4054E">
      <w:pPr>
        <w:rPr>
          <w:rFonts w:ascii="Times New Roman" w:hAnsi="Times New Roman"/>
          <w:color w:val="auto"/>
        </w:rPr>
      </w:pPr>
      <w:r w:rsidRPr="00465ED6">
        <w:rPr>
          <w:rFonts w:ascii="Times New Roman" w:hAnsi="Times New Roman"/>
          <w:noProof/>
          <w:color w:val="auto"/>
        </w:rPr>
        <w:drawing>
          <wp:inline distT="0" distB="0" distL="0" distR="0" wp14:anchorId="28F5311D" wp14:editId="3688C4D0">
            <wp:extent cx="4933951" cy="2552700"/>
            <wp:effectExtent l="0" t="0" r="0" b="0"/>
            <wp:docPr id="12" name="Γράφημα 12" title="γράφημα"/>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1B6D" w:rsidRPr="00465ED6" w:rsidRDefault="00B05F56" w:rsidP="00681B6D">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w:t>
      </w:r>
      <w:r w:rsidR="006B482C" w:rsidRPr="00465ED6">
        <w:rPr>
          <w:rFonts w:ascii="Times New Roman" w:hAnsi="Times New Roman"/>
          <w:b w:val="0"/>
          <w:i/>
          <w:color w:val="auto"/>
          <w:sz w:val="18"/>
          <w:szCs w:val="18"/>
        </w:rPr>
        <w:t xml:space="preserve"> ΔΕΔΟΜΕΝΩΝ</w:t>
      </w:r>
      <w:r w:rsidRPr="00465ED6">
        <w:rPr>
          <w:rFonts w:ascii="Times New Roman" w:hAnsi="Times New Roman"/>
          <w:b w:val="0"/>
          <w:i/>
          <w:color w:val="auto"/>
          <w:sz w:val="18"/>
          <w:szCs w:val="18"/>
        </w:rPr>
        <w:t>: ΕΛΣΤΑΤ, Έρευνα Εισοδήματος και Συνθηκών Διαβίωσης 2016/ ΕΠΕΞΕΡΓΑΣΙΑ: Παρατηρητήριο Θεμάτων Αναπηρίας-Ε.Σ.Α.μεΑ.</w:t>
      </w:r>
    </w:p>
    <w:p w:rsidR="00BC4C99" w:rsidRPr="00465ED6" w:rsidRDefault="00B05F56" w:rsidP="00BC4C99">
      <w:pPr>
        <w:rPr>
          <w:rFonts w:ascii="Times New Roman" w:hAnsi="Times New Roman"/>
          <w:color w:val="auto"/>
          <w:sz w:val="24"/>
          <w:szCs w:val="24"/>
        </w:rPr>
      </w:pPr>
      <w:r w:rsidRPr="00465ED6">
        <w:rPr>
          <w:rFonts w:ascii="Times New Roman" w:hAnsi="Times New Roman"/>
          <w:color w:val="auto"/>
          <w:sz w:val="24"/>
          <w:szCs w:val="24"/>
        </w:rPr>
        <w:t>Ένα ιδιαίτερο χαρακτηριστικό του πληθυσμού που αναφέρει περιορισμούς στην συνήθη δραστηριότητα λόγω προβλημάτων υγείας είναι η σημαντικά διαφορετική από τον γενικό πληθυσμό ηλικιακή κατανομ</w:t>
      </w:r>
      <w:r w:rsidR="002B4131" w:rsidRPr="00465ED6">
        <w:rPr>
          <w:rFonts w:ascii="Times New Roman" w:hAnsi="Times New Roman"/>
          <w:color w:val="auto"/>
          <w:sz w:val="24"/>
          <w:szCs w:val="24"/>
        </w:rPr>
        <w:t>ή του.</w:t>
      </w:r>
    </w:p>
    <w:p w:rsidR="00BC4C99" w:rsidRPr="00465ED6" w:rsidRDefault="00B05F56" w:rsidP="00BC4C99">
      <w:pPr>
        <w:rPr>
          <w:rFonts w:ascii="Times New Roman" w:hAnsi="Times New Roman"/>
          <w:color w:val="auto"/>
          <w:sz w:val="24"/>
          <w:szCs w:val="24"/>
        </w:rPr>
      </w:pPr>
      <w:r w:rsidRPr="00465ED6">
        <w:rPr>
          <w:rFonts w:ascii="Times New Roman" w:hAnsi="Times New Roman"/>
          <w:color w:val="auto"/>
          <w:sz w:val="24"/>
          <w:szCs w:val="24"/>
        </w:rPr>
        <w:t>Όπως φαίνεται στο γράφημα 2, το πλήθος των ατόμων με αναπηρία αυξάνεται προοδευτικά με την αύξηση της ηλικίας, με αποτέλεσμα ο συνολικός αριθμός</w:t>
      </w:r>
      <w:r w:rsidR="00813665" w:rsidRPr="00465ED6">
        <w:rPr>
          <w:rFonts w:ascii="Times New Roman" w:hAnsi="Times New Roman"/>
          <w:color w:val="auto"/>
          <w:sz w:val="24"/>
          <w:szCs w:val="24"/>
        </w:rPr>
        <w:t xml:space="preserve"> των</w:t>
      </w:r>
      <w:r w:rsidRPr="00465ED6">
        <w:rPr>
          <w:rFonts w:ascii="Times New Roman" w:hAnsi="Times New Roman"/>
          <w:color w:val="auto"/>
          <w:sz w:val="24"/>
          <w:szCs w:val="24"/>
        </w:rPr>
        <w:t xml:space="preserve"> ατόμων που δηλώνουν περιορισμό </w:t>
      </w:r>
      <w:r w:rsidR="00813665" w:rsidRPr="00465ED6">
        <w:rPr>
          <w:rFonts w:ascii="Times New Roman" w:hAnsi="Times New Roman"/>
          <w:color w:val="auto"/>
          <w:sz w:val="24"/>
          <w:szCs w:val="24"/>
        </w:rPr>
        <w:t xml:space="preserve">δραστηριότητας </w:t>
      </w:r>
      <w:r w:rsidRPr="00465ED6">
        <w:rPr>
          <w:rFonts w:ascii="Times New Roman" w:hAnsi="Times New Roman"/>
          <w:color w:val="auto"/>
          <w:sz w:val="24"/>
          <w:szCs w:val="24"/>
        </w:rPr>
        <w:t xml:space="preserve">λόγω προβλήματος υγείας να ανήκουν σε ποσοστό 60% σε ηλικίες από 65 ετών και άνω, ενώ το 45% του πληθυσμού με αναπηρία είναι 70 ετών και άνω. </w:t>
      </w:r>
    </w:p>
    <w:p w:rsidR="00681B6D" w:rsidRPr="00465ED6" w:rsidRDefault="00681B6D" w:rsidP="00681B6D">
      <w:pPr>
        <w:rPr>
          <w:rFonts w:ascii="Times New Roman" w:hAnsi="Times New Roman"/>
          <w:color w:val="auto"/>
          <w:sz w:val="24"/>
          <w:szCs w:val="24"/>
        </w:rPr>
      </w:pPr>
    </w:p>
    <w:p w:rsidR="002A02E2" w:rsidRPr="00465ED6" w:rsidRDefault="00B05F56" w:rsidP="002A02E2">
      <w:pPr>
        <w:pStyle w:val="a3"/>
        <w:keepNext/>
        <w:rPr>
          <w:rFonts w:ascii="Times New Roman" w:hAnsi="Times New Roman"/>
          <w:color w:val="auto"/>
        </w:rPr>
      </w:pPr>
      <w:r w:rsidRPr="00465ED6">
        <w:rPr>
          <w:rFonts w:ascii="Times New Roman" w:hAnsi="Times New Roman"/>
          <w:color w:val="auto"/>
        </w:rPr>
        <w:lastRenderedPageBreak/>
        <w:t xml:space="preserve">Γράφημα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Γράφημα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2</w:t>
      </w:r>
      <w:r w:rsidR="00E33BFF" w:rsidRPr="00465ED6">
        <w:rPr>
          <w:rFonts w:ascii="Times New Roman" w:hAnsi="Times New Roman"/>
          <w:noProof/>
          <w:color w:val="auto"/>
        </w:rPr>
        <w:fldChar w:fldCharType="end"/>
      </w:r>
    </w:p>
    <w:p w:rsidR="002A02E2" w:rsidRPr="00465ED6" w:rsidRDefault="00475B2D" w:rsidP="002A02E2">
      <w:pPr>
        <w:keepNext/>
        <w:rPr>
          <w:rFonts w:ascii="Times New Roman" w:hAnsi="Times New Roman"/>
          <w:color w:val="auto"/>
        </w:rPr>
      </w:pPr>
      <w:r w:rsidRPr="00465ED6">
        <w:rPr>
          <w:rFonts w:ascii="Times New Roman" w:hAnsi="Times New Roman"/>
          <w:noProof/>
          <w:color w:val="auto"/>
        </w:rPr>
        <w:drawing>
          <wp:inline distT="0" distB="0" distL="0" distR="0">
            <wp:extent cx="5273040" cy="4229100"/>
            <wp:effectExtent l="0" t="0" r="3810" b="0"/>
            <wp:docPr id="5" name="Εικόνα 1" title="γράφ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a:srcRect/>
                    <a:stretch>
                      <a:fillRect/>
                    </a:stretch>
                  </pic:blipFill>
                  <pic:spPr bwMode="auto">
                    <a:xfrm>
                      <a:off x="0" y="0"/>
                      <a:ext cx="5273040" cy="4229100"/>
                    </a:xfrm>
                    <a:prstGeom prst="rect">
                      <a:avLst/>
                    </a:prstGeom>
                    <a:noFill/>
                    <a:ln w="9525">
                      <a:noFill/>
                      <a:miter lim="800000"/>
                      <a:headEnd/>
                      <a:tailEnd/>
                    </a:ln>
                  </pic:spPr>
                </pic:pic>
              </a:graphicData>
            </a:graphic>
          </wp:inline>
        </w:drawing>
      </w:r>
    </w:p>
    <w:p w:rsidR="002A02E2" w:rsidRPr="00465ED6" w:rsidRDefault="00B05F56" w:rsidP="002A02E2">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w:t>
      </w:r>
      <w:r w:rsidR="005D410B" w:rsidRPr="00465ED6">
        <w:rPr>
          <w:rFonts w:ascii="Times New Roman" w:hAnsi="Times New Roman"/>
          <w:b w:val="0"/>
          <w:i/>
          <w:color w:val="auto"/>
          <w:sz w:val="18"/>
          <w:szCs w:val="18"/>
        </w:rPr>
        <w:t xml:space="preserve"> ΔΕΔΟΜΕΝΩΝ</w:t>
      </w:r>
      <w:r w:rsidRPr="00465ED6">
        <w:rPr>
          <w:rFonts w:ascii="Times New Roman" w:hAnsi="Times New Roman"/>
          <w:b w:val="0"/>
          <w:i/>
          <w:color w:val="auto"/>
          <w:sz w:val="18"/>
          <w:szCs w:val="18"/>
        </w:rPr>
        <w:t>: ΕΛΣΤΑΤ, Έρευνα Εισοδήματος και Συνθηκών Διαβίωσης 2016/ ΕΠΕΞΕΡΓΑΣΙΑ: Παρατηρητήριο Θεμάτων Αναπηρίας-Ε.Σ.Α.μεΑ.</w:t>
      </w:r>
    </w:p>
    <w:p w:rsidR="00681B6D" w:rsidRPr="00465ED6" w:rsidRDefault="00681B6D" w:rsidP="00681B6D">
      <w:pPr>
        <w:rPr>
          <w:rFonts w:ascii="Times New Roman" w:hAnsi="Times New Roman"/>
          <w:color w:val="auto"/>
          <w:sz w:val="24"/>
          <w:szCs w:val="24"/>
        </w:rPr>
      </w:pPr>
    </w:p>
    <w:p w:rsidR="00681B6D" w:rsidRPr="00465ED6" w:rsidRDefault="00B05F56" w:rsidP="00681B6D">
      <w:pPr>
        <w:rPr>
          <w:rFonts w:ascii="Times New Roman" w:hAnsi="Times New Roman"/>
          <w:b/>
          <w:color w:val="auto"/>
          <w:sz w:val="26"/>
          <w:szCs w:val="26"/>
          <w:u w:val="single"/>
        </w:rPr>
      </w:pPr>
      <w:r w:rsidRPr="00465ED6">
        <w:rPr>
          <w:rFonts w:ascii="Times New Roman" w:hAnsi="Times New Roman"/>
          <w:b/>
          <w:color w:val="auto"/>
          <w:sz w:val="26"/>
          <w:szCs w:val="26"/>
          <w:u w:val="single"/>
        </w:rPr>
        <w:t xml:space="preserve">Νοικοκυριά με μέλος/η άτομο/α με αναπηρία 67% και άνω </w:t>
      </w:r>
    </w:p>
    <w:p w:rsidR="00681B6D" w:rsidRPr="00465ED6" w:rsidRDefault="00B05F56" w:rsidP="00681B6D">
      <w:pPr>
        <w:rPr>
          <w:rFonts w:ascii="Times New Roman" w:hAnsi="Times New Roman"/>
          <w:bCs/>
          <w:i/>
          <w:color w:val="auto"/>
          <w:sz w:val="24"/>
          <w:szCs w:val="24"/>
        </w:rPr>
      </w:pPr>
      <w:r w:rsidRPr="00465ED6">
        <w:rPr>
          <w:rFonts w:ascii="Times New Roman" w:hAnsi="Times New Roman"/>
          <w:color w:val="auto"/>
          <w:sz w:val="24"/>
          <w:szCs w:val="24"/>
        </w:rPr>
        <w:t xml:space="preserve">Η προσέγγιση του πληθυσμού με </w:t>
      </w:r>
      <w:r w:rsidR="00312417" w:rsidRPr="00465ED6">
        <w:rPr>
          <w:rFonts w:ascii="Times New Roman" w:hAnsi="Times New Roman"/>
          <w:color w:val="auto"/>
          <w:sz w:val="24"/>
          <w:szCs w:val="24"/>
        </w:rPr>
        <w:t>ποσοστό</w:t>
      </w:r>
      <w:r w:rsidRPr="00465ED6">
        <w:rPr>
          <w:rFonts w:ascii="Times New Roman" w:hAnsi="Times New Roman"/>
          <w:color w:val="auto"/>
          <w:sz w:val="24"/>
          <w:szCs w:val="24"/>
        </w:rPr>
        <w:t xml:space="preserve"> αναπηρία</w:t>
      </w:r>
      <w:r w:rsidR="00312417" w:rsidRPr="00465ED6">
        <w:rPr>
          <w:rFonts w:ascii="Times New Roman" w:hAnsi="Times New Roman"/>
          <w:color w:val="auto"/>
          <w:sz w:val="24"/>
          <w:szCs w:val="24"/>
        </w:rPr>
        <w:t>ς</w:t>
      </w:r>
      <w:r w:rsidRPr="00465ED6">
        <w:rPr>
          <w:rFonts w:ascii="Times New Roman" w:hAnsi="Times New Roman"/>
          <w:color w:val="auto"/>
          <w:sz w:val="24"/>
          <w:szCs w:val="24"/>
        </w:rPr>
        <w:t xml:space="preserve"> 67% και άνω βασίζεται σε ερώτηση της Έρευνας Εισοδήματος και Συνθηκών Διαβίωσης στον υπεύθυνο κάθε </w:t>
      </w:r>
      <w:r w:rsidRPr="00465ED6">
        <w:rPr>
          <w:rFonts w:ascii="Times New Roman" w:hAnsi="Times New Roman"/>
          <w:bCs/>
          <w:color w:val="auto"/>
          <w:sz w:val="24"/>
          <w:szCs w:val="24"/>
        </w:rPr>
        <w:t>νοικοκυριού του δείγματος. Ειδικότερα</w:t>
      </w:r>
      <w:r w:rsidR="00B3338C" w:rsidRPr="00465ED6">
        <w:rPr>
          <w:rFonts w:ascii="Times New Roman" w:hAnsi="Times New Roman"/>
          <w:bCs/>
          <w:color w:val="auto"/>
          <w:sz w:val="24"/>
          <w:szCs w:val="24"/>
        </w:rPr>
        <w:t>,</w:t>
      </w:r>
      <w:r w:rsidRPr="00465ED6">
        <w:rPr>
          <w:rFonts w:ascii="Times New Roman" w:hAnsi="Times New Roman"/>
          <w:bCs/>
          <w:color w:val="auto"/>
          <w:sz w:val="24"/>
          <w:szCs w:val="24"/>
        </w:rPr>
        <w:t xml:space="preserve"> στο ερωτηματολόγιο της έρευνας για τα νοικοκυριά, περιλαμβάνεται η ερώτηση: </w:t>
      </w:r>
      <w:r w:rsidRPr="00465ED6">
        <w:rPr>
          <w:rFonts w:ascii="Times New Roman" w:hAnsi="Times New Roman"/>
          <w:bCs/>
          <w:i/>
          <w:color w:val="auto"/>
          <w:sz w:val="24"/>
          <w:szCs w:val="24"/>
        </w:rPr>
        <w:t>«Υπάρχει/ουν άτομο/α με αναπηρία 67% και άνω (ΑΜΕΑ) που βαρύνει/ουν οικονομικά το νοικοκυριό, ανεξάρτητα αν διαμένει/ουν ή όχι σε αυτό;».</w:t>
      </w:r>
    </w:p>
    <w:p w:rsidR="00681B6D" w:rsidRPr="00465ED6" w:rsidRDefault="00B05F56" w:rsidP="00681B6D">
      <w:pPr>
        <w:rPr>
          <w:rFonts w:ascii="Times New Roman" w:hAnsi="Times New Roman"/>
          <w:bCs/>
          <w:color w:val="auto"/>
          <w:sz w:val="24"/>
          <w:szCs w:val="24"/>
        </w:rPr>
      </w:pPr>
      <w:r w:rsidRPr="00465ED6">
        <w:rPr>
          <w:rFonts w:ascii="Times New Roman" w:hAnsi="Times New Roman"/>
          <w:bCs/>
          <w:color w:val="auto"/>
          <w:sz w:val="24"/>
          <w:szCs w:val="24"/>
        </w:rPr>
        <w:t xml:space="preserve">Σύμφωνα με την επεξεργασία που πραγματοποίησε το </w:t>
      </w:r>
      <w:r w:rsidR="00C85527" w:rsidRPr="00465ED6">
        <w:rPr>
          <w:rFonts w:ascii="Times New Roman" w:hAnsi="Times New Roman"/>
          <w:bCs/>
          <w:color w:val="auto"/>
          <w:sz w:val="24"/>
          <w:szCs w:val="24"/>
        </w:rPr>
        <w:t>«</w:t>
      </w:r>
      <w:r w:rsidRPr="00465ED6">
        <w:rPr>
          <w:rFonts w:ascii="Times New Roman" w:hAnsi="Times New Roman"/>
          <w:bCs/>
          <w:color w:val="auto"/>
          <w:sz w:val="24"/>
          <w:szCs w:val="24"/>
        </w:rPr>
        <w:t>Παρατηρητήριο</w:t>
      </w:r>
      <w:r w:rsidR="00C85527" w:rsidRPr="00465ED6">
        <w:rPr>
          <w:rFonts w:ascii="Times New Roman" w:hAnsi="Times New Roman"/>
          <w:bCs/>
          <w:color w:val="auto"/>
          <w:sz w:val="24"/>
          <w:szCs w:val="24"/>
        </w:rPr>
        <w:t>»</w:t>
      </w:r>
      <w:r w:rsidRPr="00465ED6">
        <w:rPr>
          <w:rFonts w:ascii="Times New Roman" w:hAnsi="Times New Roman"/>
          <w:bCs/>
          <w:color w:val="auto"/>
          <w:sz w:val="24"/>
          <w:szCs w:val="24"/>
        </w:rPr>
        <w:t xml:space="preserve">, </w:t>
      </w:r>
      <w:r w:rsidRPr="00465ED6">
        <w:rPr>
          <w:rFonts w:ascii="Times New Roman" w:hAnsi="Times New Roman"/>
          <w:b/>
          <w:bCs/>
          <w:color w:val="auto"/>
          <w:sz w:val="24"/>
          <w:szCs w:val="24"/>
        </w:rPr>
        <w:t>το 5,3% των νοικοκυριών αναφέρουν ότι έχουν μέλος ή μέλη με αναπηρία 67% και άνω.</w:t>
      </w:r>
      <w:r w:rsidRPr="00465ED6">
        <w:rPr>
          <w:rFonts w:ascii="Times New Roman" w:hAnsi="Times New Roman"/>
          <w:bCs/>
          <w:color w:val="auto"/>
          <w:sz w:val="24"/>
          <w:szCs w:val="24"/>
        </w:rPr>
        <w:t xml:space="preserve"> </w:t>
      </w:r>
    </w:p>
    <w:p w:rsidR="00681B6D" w:rsidRPr="00465ED6" w:rsidRDefault="00B05F56" w:rsidP="00681B6D">
      <w:pPr>
        <w:rPr>
          <w:rFonts w:ascii="Times New Roman" w:hAnsi="Times New Roman"/>
          <w:color w:val="auto"/>
          <w:sz w:val="24"/>
          <w:szCs w:val="24"/>
        </w:rPr>
      </w:pPr>
      <w:r w:rsidRPr="00465ED6">
        <w:rPr>
          <w:rFonts w:ascii="Times New Roman" w:hAnsi="Times New Roman"/>
          <w:bCs/>
          <w:color w:val="auto"/>
          <w:sz w:val="24"/>
          <w:szCs w:val="24"/>
        </w:rPr>
        <w:t>Λαμβάνοντας υπόψη τον αριθμό των μελών με</w:t>
      </w:r>
      <w:r w:rsidRPr="00465ED6">
        <w:rPr>
          <w:rFonts w:ascii="Times New Roman" w:hAnsi="Times New Roman"/>
          <w:color w:val="auto"/>
          <w:sz w:val="24"/>
          <w:szCs w:val="24"/>
        </w:rPr>
        <w:t xml:space="preserve"> αναπηρία που</w:t>
      </w:r>
      <w:r w:rsidR="00B3338C" w:rsidRPr="00465ED6">
        <w:rPr>
          <w:rFonts w:ascii="Times New Roman" w:hAnsi="Times New Roman"/>
          <w:color w:val="auto"/>
          <w:sz w:val="24"/>
          <w:szCs w:val="24"/>
        </w:rPr>
        <w:t xml:space="preserve"> αναφέρθηκαν από τα νοικοκυριά </w:t>
      </w:r>
      <w:r w:rsidRPr="00465ED6">
        <w:rPr>
          <w:rFonts w:ascii="Times New Roman" w:hAnsi="Times New Roman"/>
          <w:color w:val="auto"/>
          <w:sz w:val="24"/>
          <w:szCs w:val="24"/>
        </w:rPr>
        <w:t>προκύπτει ότι ο συνολικός αριθμός ατόμων με αναπηρία 67% και άνω ανέρχεται σε</w:t>
      </w:r>
      <w:r w:rsidRPr="00465ED6">
        <w:rPr>
          <w:rFonts w:ascii="Times New Roman" w:hAnsi="Times New Roman"/>
          <w:b/>
          <w:color w:val="auto"/>
          <w:sz w:val="24"/>
          <w:szCs w:val="24"/>
        </w:rPr>
        <w:t xml:space="preserve"> 520.341 άτομα</w:t>
      </w:r>
      <w:r w:rsidRPr="00465ED6">
        <w:rPr>
          <w:rFonts w:ascii="Times New Roman" w:hAnsi="Times New Roman"/>
          <w:color w:val="auto"/>
          <w:sz w:val="24"/>
          <w:szCs w:val="24"/>
        </w:rPr>
        <w:t xml:space="preserve">. </w:t>
      </w:r>
    </w:p>
    <w:p w:rsidR="00681B6D" w:rsidRPr="00465ED6" w:rsidRDefault="00681B6D" w:rsidP="00681B6D">
      <w:pPr>
        <w:rPr>
          <w:rFonts w:ascii="Times New Roman" w:hAnsi="Times New Roman"/>
          <w:color w:val="auto"/>
        </w:rPr>
      </w:pPr>
    </w:p>
    <w:p w:rsidR="00681B6D" w:rsidRPr="00465ED6" w:rsidRDefault="00B05F56" w:rsidP="00681B6D">
      <w:pPr>
        <w:pStyle w:val="a3"/>
        <w:keepNext/>
        <w:rPr>
          <w:rFonts w:ascii="Times New Roman" w:hAnsi="Times New Roman"/>
          <w:color w:val="auto"/>
        </w:rPr>
      </w:pPr>
      <w:r w:rsidRPr="00465ED6">
        <w:rPr>
          <w:rFonts w:ascii="Times New Roman" w:hAnsi="Times New Roman"/>
          <w:color w:val="auto"/>
        </w:rPr>
        <w:lastRenderedPageBreak/>
        <w:t xml:space="preserve">Πίνακας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Πίνακας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1</w:t>
      </w:r>
      <w:r w:rsidR="00E33BFF" w:rsidRPr="00465ED6">
        <w:rPr>
          <w:rFonts w:ascii="Times New Roman" w:hAnsi="Times New Roman"/>
          <w:noProof/>
          <w:color w:val="auto"/>
        </w:rPr>
        <w:fldChar w:fldCharType="end"/>
      </w:r>
    </w:p>
    <w:tbl>
      <w:tblPr>
        <w:tblW w:w="0" w:type="auto"/>
        <w:tblBorders>
          <w:top w:val="single" w:sz="4" w:space="0" w:color="7F7F7F"/>
          <w:left w:val="nil"/>
          <w:bottom w:val="single" w:sz="4" w:space="0" w:color="7F7F7F"/>
          <w:right w:val="nil"/>
          <w:insideH w:val="nil"/>
          <w:insideV w:val="nil"/>
        </w:tblBorders>
        <w:tblLook w:val="04A0" w:firstRow="1" w:lastRow="0" w:firstColumn="1" w:lastColumn="0" w:noHBand="0" w:noVBand="1"/>
      </w:tblPr>
      <w:tblGrid>
        <w:gridCol w:w="3539"/>
        <w:gridCol w:w="2126"/>
        <w:gridCol w:w="2631"/>
      </w:tblGrid>
      <w:tr w:rsidR="00465ED6" w:rsidRPr="00465ED6" w:rsidTr="00CA3BB6">
        <w:trPr>
          <w:trHeight w:val="416"/>
        </w:trPr>
        <w:tc>
          <w:tcPr>
            <w:tcW w:w="8296" w:type="dxa"/>
            <w:gridSpan w:val="3"/>
            <w:tcBorders>
              <w:bottom w:val="single" w:sz="4" w:space="0" w:color="7F7F7F"/>
            </w:tcBorders>
            <w:shd w:val="clear" w:color="auto" w:fill="auto"/>
            <w:hideMark/>
          </w:tcPr>
          <w:p w:rsidR="00681B6D" w:rsidRPr="00465ED6" w:rsidRDefault="00B05F56" w:rsidP="00CA3BB6">
            <w:pPr>
              <w:jc w:val="center"/>
              <w:rPr>
                <w:rFonts w:ascii="Times New Roman" w:eastAsia="Calibri" w:hAnsi="Times New Roman"/>
                <w:b/>
                <w:bCs/>
                <w:color w:val="auto"/>
                <w:lang w:eastAsia="en-US"/>
              </w:rPr>
            </w:pPr>
            <w:r w:rsidRPr="00465ED6">
              <w:rPr>
                <w:rFonts w:ascii="Times New Roman" w:hAnsi="Times New Roman"/>
                <w:b/>
                <w:bCs/>
                <w:color w:val="auto"/>
                <w:sz w:val="24"/>
                <w:szCs w:val="24"/>
              </w:rPr>
              <w:t>ΝΟΙΚΟΚΥΡΙΑ ΜΕ  ΑΤΟΜΟ/Α ΜΕ ΑΝΑΠΗΡΙΑ 67% ΚΑΙ ΑΝΩ</w:t>
            </w:r>
            <w:r w:rsidRPr="00465ED6">
              <w:rPr>
                <w:rFonts w:ascii="Times New Roman" w:eastAsia="Calibri" w:hAnsi="Times New Roman"/>
                <w:b/>
                <w:bCs/>
                <w:color w:val="auto"/>
                <w:lang w:eastAsia="en-US"/>
              </w:rPr>
              <w:t xml:space="preserve">  </w:t>
            </w:r>
          </w:p>
        </w:tc>
      </w:tr>
      <w:tr w:rsidR="00465ED6" w:rsidRPr="00465ED6" w:rsidTr="00CA3BB6">
        <w:trPr>
          <w:trHeight w:val="330"/>
        </w:trPr>
        <w:tc>
          <w:tcPr>
            <w:tcW w:w="3539" w:type="dxa"/>
            <w:tcBorders>
              <w:top w:val="single" w:sz="4" w:space="0" w:color="7F7F7F"/>
              <w:bottom w:val="single" w:sz="4" w:space="0" w:color="7F7F7F"/>
            </w:tcBorders>
            <w:shd w:val="clear" w:color="auto" w:fill="auto"/>
            <w:hideMark/>
          </w:tcPr>
          <w:p w:rsidR="00681B6D" w:rsidRPr="00465ED6" w:rsidRDefault="00B05F56" w:rsidP="002C6E09">
            <w:pPr>
              <w:pStyle w:val="ad"/>
              <w:rPr>
                <w:rFonts w:ascii="Times New Roman" w:hAnsi="Times New Roman"/>
                <w:b/>
                <w:bCs/>
                <w:lang w:eastAsia="en-US"/>
              </w:rPr>
            </w:pPr>
            <w:r w:rsidRPr="00465ED6">
              <w:rPr>
                <w:rFonts w:ascii="Times New Roman" w:hAnsi="Times New Roman"/>
                <w:bCs/>
                <w:lang w:eastAsia="en-US"/>
              </w:rPr>
              <w:t> </w:t>
            </w:r>
          </w:p>
        </w:tc>
        <w:tc>
          <w:tcPr>
            <w:tcW w:w="2126" w:type="dxa"/>
            <w:tcBorders>
              <w:top w:val="single" w:sz="4" w:space="0" w:color="7F7F7F"/>
              <w:bottom w:val="single" w:sz="4" w:space="0" w:color="7F7F7F"/>
            </w:tcBorders>
            <w:shd w:val="clear" w:color="auto" w:fill="auto"/>
            <w:hideMark/>
          </w:tcPr>
          <w:p w:rsidR="00681B6D" w:rsidRPr="00465ED6" w:rsidRDefault="00B05F56" w:rsidP="002C6E09">
            <w:pPr>
              <w:pStyle w:val="ad"/>
              <w:rPr>
                <w:rFonts w:ascii="Times New Roman" w:hAnsi="Times New Roman"/>
                <w:b/>
                <w:lang w:eastAsia="en-US"/>
              </w:rPr>
            </w:pPr>
            <w:r w:rsidRPr="00465ED6">
              <w:rPr>
                <w:rFonts w:ascii="Times New Roman" w:hAnsi="Times New Roman"/>
                <w:b/>
                <w:lang w:eastAsia="en-US"/>
              </w:rPr>
              <w:t>Πλήθος</w:t>
            </w:r>
          </w:p>
        </w:tc>
        <w:tc>
          <w:tcPr>
            <w:tcW w:w="2631" w:type="dxa"/>
            <w:tcBorders>
              <w:top w:val="single" w:sz="4" w:space="0" w:color="7F7F7F"/>
              <w:bottom w:val="single" w:sz="4" w:space="0" w:color="7F7F7F"/>
            </w:tcBorders>
            <w:shd w:val="clear" w:color="auto" w:fill="auto"/>
            <w:hideMark/>
          </w:tcPr>
          <w:p w:rsidR="00681B6D" w:rsidRPr="00465ED6" w:rsidRDefault="00B05F56" w:rsidP="002C6E09">
            <w:pPr>
              <w:pStyle w:val="ad"/>
              <w:rPr>
                <w:rFonts w:ascii="Times New Roman" w:hAnsi="Times New Roman"/>
                <w:b/>
                <w:lang w:eastAsia="en-US"/>
              </w:rPr>
            </w:pPr>
            <w:r w:rsidRPr="00465ED6">
              <w:rPr>
                <w:rFonts w:ascii="Times New Roman" w:hAnsi="Times New Roman"/>
                <w:b/>
                <w:lang w:eastAsia="en-US"/>
              </w:rPr>
              <w:t>Ποσοστό</w:t>
            </w:r>
          </w:p>
        </w:tc>
      </w:tr>
      <w:tr w:rsidR="00465ED6" w:rsidRPr="00465ED6" w:rsidTr="00CA3BB6">
        <w:trPr>
          <w:trHeight w:val="615"/>
        </w:trPr>
        <w:tc>
          <w:tcPr>
            <w:tcW w:w="3539" w:type="dxa"/>
            <w:shd w:val="clear" w:color="auto" w:fill="auto"/>
            <w:hideMark/>
          </w:tcPr>
          <w:p w:rsidR="00681B6D" w:rsidRPr="00465ED6" w:rsidRDefault="00B05F56" w:rsidP="002C6E09">
            <w:pPr>
              <w:pStyle w:val="ad"/>
              <w:rPr>
                <w:rFonts w:ascii="Times New Roman" w:hAnsi="Times New Roman"/>
                <w:b/>
                <w:bCs/>
                <w:lang w:eastAsia="en-US"/>
              </w:rPr>
            </w:pPr>
            <w:r w:rsidRPr="00465ED6">
              <w:rPr>
                <w:rFonts w:ascii="Times New Roman" w:hAnsi="Times New Roman"/>
                <w:bCs/>
                <w:lang w:eastAsia="en-US"/>
              </w:rPr>
              <w:t xml:space="preserve">Υπάρχει άτομο/α με αναπηρία 67% </w:t>
            </w:r>
          </w:p>
        </w:tc>
        <w:tc>
          <w:tcPr>
            <w:tcW w:w="2126" w:type="dxa"/>
            <w:shd w:val="clear" w:color="auto" w:fill="auto"/>
            <w:hideMark/>
          </w:tcPr>
          <w:p w:rsidR="00681B6D" w:rsidRPr="00465ED6" w:rsidRDefault="00B05F56" w:rsidP="002C6E09">
            <w:pPr>
              <w:pStyle w:val="ad"/>
              <w:rPr>
                <w:rFonts w:ascii="Times New Roman" w:hAnsi="Times New Roman"/>
                <w:lang w:eastAsia="en-US"/>
              </w:rPr>
            </w:pPr>
            <w:r w:rsidRPr="00465ED6">
              <w:rPr>
                <w:rFonts w:ascii="Times New Roman" w:hAnsi="Times New Roman"/>
                <w:lang w:eastAsia="en-US"/>
              </w:rPr>
              <w:t>481.241</w:t>
            </w:r>
          </w:p>
        </w:tc>
        <w:tc>
          <w:tcPr>
            <w:tcW w:w="2631" w:type="dxa"/>
            <w:shd w:val="clear" w:color="auto" w:fill="auto"/>
            <w:hideMark/>
          </w:tcPr>
          <w:p w:rsidR="00681B6D" w:rsidRPr="00465ED6" w:rsidRDefault="00B05F56" w:rsidP="002C6E09">
            <w:pPr>
              <w:pStyle w:val="ad"/>
              <w:rPr>
                <w:rFonts w:ascii="Times New Roman" w:hAnsi="Times New Roman"/>
                <w:lang w:eastAsia="en-US"/>
              </w:rPr>
            </w:pPr>
            <w:r w:rsidRPr="00465ED6">
              <w:rPr>
                <w:rFonts w:ascii="Times New Roman" w:hAnsi="Times New Roman"/>
                <w:lang w:eastAsia="en-US"/>
              </w:rPr>
              <w:t>5,3</w:t>
            </w:r>
          </w:p>
        </w:tc>
      </w:tr>
      <w:tr w:rsidR="00465ED6" w:rsidRPr="00465ED6" w:rsidTr="00CA3BB6">
        <w:trPr>
          <w:trHeight w:val="915"/>
        </w:trPr>
        <w:tc>
          <w:tcPr>
            <w:tcW w:w="3539" w:type="dxa"/>
            <w:tcBorders>
              <w:top w:val="single" w:sz="4" w:space="0" w:color="7F7F7F"/>
              <w:bottom w:val="single" w:sz="4" w:space="0" w:color="7F7F7F"/>
            </w:tcBorders>
            <w:shd w:val="clear" w:color="auto" w:fill="auto"/>
            <w:hideMark/>
          </w:tcPr>
          <w:p w:rsidR="00681B6D" w:rsidRPr="00465ED6" w:rsidRDefault="00B05F56" w:rsidP="002C6E09">
            <w:pPr>
              <w:pStyle w:val="ad"/>
              <w:rPr>
                <w:rFonts w:ascii="Times New Roman" w:hAnsi="Times New Roman"/>
                <w:b/>
                <w:bCs/>
                <w:lang w:eastAsia="en-US"/>
              </w:rPr>
            </w:pPr>
            <w:r w:rsidRPr="00465ED6">
              <w:rPr>
                <w:rFonts w:ascii="Times New Roman" w:hAnsi="Times New Roman"/>
                <w:bCs/>
                <w:lang w:eastAsia="en-US"/>
              </w:rPr>
              <w:t xml:space="preserve">Δεν υπάρχει άτομο/α με αναπηρία 67% </w:t>
            </w:r>
          </w:p>
        </w:tc>
        <w:tc>
          <w:tcPr>
            <w:tcW w:w="2126" w:type="dxa"/>
            <w:tcBorders>
              <w:top w:val="single" w:sz="4" w:space="0" w:color="7F7F7F"/>
              <w:bottom w:val="single" w:sz="4" w:space="0" w:color="7F7F7F"/>
            </w:tcBorders>
            <w:shd w:val="clear" w:color="auto" w:fill="auto"/>
            <w:hideMark/>
          </w:tcPr>
          <w:p w:rsidR="00681B6D" w:rsidRPr="00465ED6" w:rsidRDefault="00B05F56" w:rsidP="002C6E09">
            <w:pPr>
              <w:pStyle w:val="ad"/>
              <w:rPr>
                <w:rFonts w:ascii="Times New Roman" w:hAnsi="Times New Roman"/>
                <w:lang w:eastAsia="en-US"/>
              </w:rPr>
            </w:pPr>
            <w:r w:rsidRPr="00465ED6">
              <w:rPr>
                <w:rFonts w:ascii="Times New Roman" w:hAnsi="Times New Roman"/>
                <w:lang w:eastAsia="en-US"/>
              </w:rPr>
              <w:t>8.535.097</w:t>
            </w:r>
          </w:p>
        </w:tc>
        <w:tc>
          <w:tcPr>
            <w:tcW w:w="2631" w:type="dxa"/>
            <w:tcBorders>
              <w:top w:val="single" w:sz="4" w:space="0" w:color="7F7F7F"/>
              <w:bottom w:val="single" w:sz="4" w:space="0" w:color="7F7F7F"/>
            </w:tcBorders>
            <w:shd w:val="clear" w:color="auto" w:fill="auto"/>
            <w:hideMark/>
          </w:tcPr>
          <w:p w:rsidR="00681B6D" w:rsidRPr="00465ED6" w:rsidRDefault="00B05F56" w:rsidP="002C6E09">
            <w:pPr>
              <w:pStyle w:val="ad"/>
              <w:rPr>
                <w:rFonts w:ascii="Times New Roman" w:hAnsi="Times New Roman"/>
                <w:lang w:eastAsia="en-US"/>
              </w:rPr>
            </w:pPr>
            <w:r w:rsidRPr="00465ED6">
              <w:rPr>
                <w:rFonts w:ascii="Times New Roman" w:hAnsi="Times New Roman"/>
                <w:lang w:eastAsia="en-US"/>
              </w:rPr>
              <w:t>94,7</w:t>
            </w:r>
          </w:p>
        </w:tc>
      </w:tr>
      <w:tr w:rsidR="00465ED6" w:rsidRPr="00465ED6" w:rsidTr="00CA3BB6">
        <w:trPr>
          <w:trHeight w:val="330"/>
        </w:trPr>
        <w:tc>
          <w:tcPr>
            <w:tcW w:w="3539" w:type="dxa"/>
            <w:shd w:val="clear" w:color="auto" w:fill="auto"/>
            <w:hideMark/>
          </w:tcPr>
          <w:p w:rsidR="00681B6D" w:rsidRPr="00465ED6" w:rsidRDefault="00B05F56" w:rsidP="002C6E09">
            <w:pPr>
              <w:pStyle w:val="ad"/>
              <w:rPr>
                <w:rFonts w:ascii="Times New Roman" w:hAnsi="Times New Roman"/>
                <w:b/>
                <w:bCs/>
                <w:sz w:val="24"/>
                <w:szCs w:val="24"/>
                <w:lang w:eastAsia="en-US"/>
              </w:rPr>
            </w:pPr>
            <w:r w:rsidRPr="00465ED6">
              <w:rPr>
                <w:rFonts w:ascii="Times New Roman" w:hAnsi="Times New Roman"/>
                <w:b/>
                <w:bCs/>
                <w:sz w:val="24"/>
                <w:szCs w:val="24"/>
                <w:lang w:eastAsia="en-US"/>
              </w:rPr>
              <w:t>Σύνολο</w:t>
            </w:r>
          </w:p>
        </w:tc>
        <w:tc>
          <w:tcPr>
            <w:tcW w:w="2126" w:type="dxa"/>
            <w:shd w:val="clear" w:color="auto" w:fill="auto"/>
            <w:hideMark/>
          </w:tcPr>
          <w:p w:rsidR="00681B6D" w:rsidRPr="00465ED6" w:rsidRDefault="00B05F56" w:rsidP="002C6E09">
            <w:pPr>
              <w:pStyle w:val="ad"/>
              <w:rPr>
                <w:rFonts w:ascii="Times New Roman" w:hAnsi="Times New Roman"/>
                <w:lang w:eastAsia="en-US"/>
              </w:rPr>
            </w:pPr>
            <w:r w:rsidRPr="00465ED6">
              <w:rPr>
                <w:rFonts w:ascii="Times New Roman" w:hAnsi="Times New Roman"/>
                <w:lang w:eastAsia="en-US"/>
              </w:rPr>
              <w:t>9.016.338</w:t>
            </w:r>
          </w:p>
        </w:tc>
        <w:tc>
          <w:tcPr>
            <w:tcW w:w="2631" w:type="dxa"/>
            <w:shd w:val="clear" w:color="auto" w:fill="auto"/>
            <w:hideMark/>
          </w:tcPr>
          <w:p w:rsidR="00681B6D" w:rsidRPr="00465ED6" w:rsidRDefault="00B05F56" w:rsidP="00CA3BB6">
            <w:pPr>
              <w:pStyle w:val="ad"/>
              <w:keepNext/>
              <w:rPr>
                <w:rFonts w:ascii="Times New Roman" w:hAnsi="Times New Roman"/>
                <w:lang w:eastAsia="en-US"/>
              </w:rPr>
            </w:pPr>
            <w:r w:rsidRPr="00465ED6">
              <w:rPr>
                <w:rFonts w:ascii="Times New Roman" w:hAnsi="Times New Roman"/>
                <w:lang w:eastAsia="en-US"/>
              </w:rPr>
              <w:t>100</w:t>
            </w:r>
          </w:p>
        </w:tc>
      </w:tr>
    </w:tbl>
    <w:p w:rsidR="00681B6D" w:rsidRPr="00465ED6" w:rsidRDefault="00B05F56" w:rsidP="00681B6D">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w:t>
      </w:r>
      <w:r w:rsidR="00967982" w:rsidRPr="00465ED6">
        <w:rPr>
          <w:rFonts w:ascii="Times New Roman" w:hAnsi="Times New Roman"/>
          <w:b w:val="0"/>
          <w:i/>
          <w:color w:val="auto"/>
          <w:sz w:val="18"/>
          <w:szCs w:val="18"/>
        </w:rPr>
        <w:t xml:space="preserve"> ΔΕΔΟΜΕΝΩΝ</w:t>
      </w:r>
      <w:r w:rsidRPr="00465ED6">
        <w:rPr>
          <w:rFonts w:ascii="Times New Roman" w:hAnsi="Times New Roman"/>
          <w:b w:val="0"/>
          <w:i/>
          <w:color w:val="auto"/>
          <w:sz w:val="18"/>
          <w:szCs w:val="18"/>
        </w:rPr>
        <w:t>: ΕΛΣΤΑΤ, Έρευνα Εισοδήματος και Συνθηκών Διαβίωσης 2016/ ΕΠΕΞΕΡΓΑΣΙΑ: Παρατηρητήριο Θεμάτων Αναπηρίας-Ε.Σ.Α.μεΑ.</w:t>
      </w:r>
    </w:p>
    <w:p w:rsidR="00681B6D" w:rsidRPr="00465ED6" w:rsidRDefault="00681B6D" w:rsidP="00681B6D">
      <w:pPr>
        <w:rPr>
          <w:rFonts w:ascii="Times New Roman" w:hAnsi="Times New Roman"/>
          <w:color w:val="auto"/>
        </w:rPr>
      </w:pPr>
    </w:p>
    <w:p w:rsidR="00681B6D" w:rsidRPr="00465ED6" w:rsidRDefault="00B05F56" w:rsidP="00681B6D">
      <w:pPr>
        <w:pStyle w:val="a3"/>
        <w:keepNext/>
        <w:rPr>
          <w:rFonts w:ascii="Times New Roman" w:hAnsi="Times New Roman"/>
          <w:color w:val="auto"/>
        </w:rPr>
      </w:pPr>
      <w:r w:rsidRPr="00465ED6">
        <w:rPr>
          <w:rFonts w:ascii="Times New Roman" w:hAnsi="Times New Roman"/>
          <w:color w:val="auto"/>
        </w:rPr>
        <w:t xml:space="preserve">Πίνακας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Πίνακας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2</w:t>
      </w:r>
      <w:r w:rsidR="00E33BFF" w:rsidRPr="00465ED6">
        <w:rPr>
          <w:rFonts w:ascii="Times New Roman" w:hAnsi="Times New Roman"/>
          <w:noProof/>
          <w:color w:val="auto"/>
        </w:rPr>
        <w:fldChar w:fldCharType="end"/>
      </w:r>
    </w:p>
    <w:tbl>
      <w:tblPr>
        <w:tblW w:w="8136" w:type="dxa"/>
        <w:tblBorders>
          <w:top w:val="single" w:sz="4" w:space="0" w:color="7F7F7F"/>
          <w:left w:val="nil"/>
          <w:bottom w:val="single" w:sz="4" w:space="0" w:color="7F7F7F"/>
          <w:right w:val="nil"/>
          <w:insideH w:val="nil"/>
          <w:insideV w:val="nil"/>
        </w:tblBorders>
        <w:tblLook w:val="04A0" w:firstRow="1" w:lastRow="0" w:firstColumn="1" w:lastColumn="0" w:noHBand="0" w:noVBand="1"/>
      </w:tblPr>
      <w:tblGrid>
        <w:gridCol w:w="5490"/>
        <w:gridCol w:w="1398"/>
        <w:gridCol w:w="1248"/>
      </w:tblGrid>
      <w:tr w:rsidR="00465ED6" w:rsidRPr="00465ED6" w:rsidTr="00CA3BB6">
        <w:trPr>
          <w:trHeight w:val="700"/>
        </w:trPr>
        <w:tc>
          <w:tcPr>
            <w:tcW w:w="8136" w:type="dxa"/>
            <w:gridSpan w:val="3"/>
            <w:tcBorders>
              <w:bottom w:val="single" w:sz="4" w:space="0" w:color="7F7F7F"/>
            </w:tcBorders>
            <w:shd w:val="clear" w:color="auto" w:fill="auto"/>
            <w:hideMark/>
          </w:tcPr>
          <w:p w:rsidR="00681B6D" w:rsidRPr="00465ED6" w:rsidRDefault="00B05F56" w:rsidP="00CA3BB6">
            <w:pPr>
              <w:jc w:val="center"/>
              <w:rPr>
                <w:rFonts w:ascii="Times New Roman" w:hAnsi="Times New Roman"/>
                <w:b/>
                <w:bCs/>
                <w:color w:val="auto"/>
                <w:sz w:val="24"/>
                <w:szCs w:val="24"/>
              </w:rPr>
            </w:pPr>
            <w:r w:rsidRPr="00465ED6">
              <w:rPr>
                <w:rFonts w:ascii="Times New Roman" w:hAnsi="Times New Roman"/>
                <w:b/>
                <w:bCs/>
                <w:color w:val="auto"/>
                <w:sz w:val="24"/>
                <w:szCs w:val="24"/>
              </w:rPr>
              <w:t xml:space="preserve">ΑΡΙΘΜΟΣ ΑΤΟΜΩΝ ΜΕ ΑΝΑΠΗΡΙΑ 67% ΚΑΙ ΑΝΩ (Αναφορά από τον υπεύθυνο του νοικοκυριού) </w:t>
            </w:r>
          </w:p>
        </w:tc>
      </w:tr>
      <w:tr w:rsidR="00465ED6" w:rsidRPr="00465ED6" w:rsidTr="00CA3BB6">
        <w:trPr>
          <w:trHeight w:val="687"/>
        </w:trPr>
        <w:tc>
          <w:tcPr>
            <w:tcW w:w="5490" w:type="dxa"/>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b/>
                <w:bCs/>
                <w:color w:val="auto"/>
                <w:sz w:val="24"/>
                <w:szCs w:val="24"/>
              </w:rPr>
            </w:pPr>
            <w:r w:rsidRPr="00465ED6">
              <w:rPr>
                <w:rFonts w:ascii="Times New Roman" w:hAnsi="Times New Roman"/>
                <w:b/>
                <w:bCs/>
                <w:color w:val="auto"/>
                <w:sz w:val="24"/>
                <w:szCs w:val="24"/>
              </w:rPr>
              <w:t xml:space="preserve">Αριθμός ατόμων με αναπηρία 67% και άνω </w:t>
            </w:r>
          </w:p>
        </w:tc>
        <w:tc>
          <w:tcPr>
            <w:tcW w:w="1398" w:type="dxa"/>
            <w:tcBorders>
              <w:top w:val="single" w:sz="4" w:space="0" w:color="7F7F7F"/>
              <w:bottom w:val="single" w:sz="4" w:space="0" w:color="7F7F7F"/>
            </w:tcBorders>
            <w:shd w:val="clear" w:color="auto" w:fill="auto"/>
            <w:hideMark/>
          </w:tcPr>
          <w:p w:rsidR="00681B6D" w:rsidRPr="00465ED6" w:rsidRDefault="00B05F56" w:rsidP="00CA3BB6">
            <w:pPr>
              <w:jc w:val="center"/>
              <w:rPr>
                <w:rFonts w:ascii="Times New Roman" w:hAnsi="Times New Roman"/>
                <w:b/>
                <w:color w:val="auto"/>
                <w:sz w:val="24"/>
                <w:szCs w:val="24"/>
              </w:rPr>
            </w:pPr>
            <w:r w:rsidRPr="00465ED6">
              <w:rPr>
                <w:rFonts w:ascii="Times New Roman" w:hAnsi="Times New Roman"/>
                <w:b/>
                <w:color w:val="auto"/>
                <w:sz w:val="24"/>
                <w:szCs w:val="24"/>
              </w:rPr>
              <w:t>πλήθος αναφορών</w:t>
            </w:r>
          </w:p>
        </w:tc>
        <w:tc>
          <w:tcPr>
            <w:tcW w:w="1248" w:type="dxa"/>
            <w:tcBorders>
              <w:top w:val="single" w:sz="4" w:space="0" w:color="7F7F7F"/>
              <w:bottom w:val="single" w:sz="4" w:space="0" w:color="7F7F7F"/>
            </w:tcBorders>
            <w:shd w:val="clear" w:color="auto" w:fill="auto"/>
            <w:hideMark/>
          </w:tcPr>
          <w:p w:rsidR="00681B6D" w:rsidRPr="00465ED6" w:rsidRDefault="00B05F56" w:rsidP="00CA3BB6">
            <w:pPr>
              <w:jc w:val="center"/>
              <w:rPr>
                <w:rFonts w:ascii="Times New Roman" w:hAnsi="Times New Roman"/>
                <w:b/>
                <w:color w:val="auto"/>
                <w:sz w:val="24"/>
                <w:szCs w:val="24"/>
              </w:rPr>
            </w:pPr>
            <w:r w:rsidRPr="00465ED6">
              <w:rPr>
                <w:rFonts w:ascii="Times New Roman" w:hAnsi="Times New Roman"/>
                <w:b/>
                <w:color w:val="auto"/>
                <w:sz w:val="24"/>
                <w:szCs w:val="24"/>
              </w:rPr>
              <w:t>Ποσοστό</w:t>
            </w:r>
          </w:p>
        </w:tc>
      </w:tr>
      <w:tr w:rsidR="00465ED6" w:rsidRPr="00465ED6" w:rsidTr="00CA3BB6">
        <w:trPr>
          <w:trHeight w:val="359"/>
        </w:trPr>
        <w:tc>
          <w:tcPr>
            <w:tcW w:w="5490" w:type="dxa"/>
            <w:shd w:val="clear" w:color="auto" w:fill="auto"/>
            <w:hideMark/>
          </w:tcPr>
          <w:p w:rsidR="00681B6D" w:rsidRPr="00465ED6" w:rsidRDefault="00B05F56" w:rsidP="002C6E09">
            <w:pPr>
              <w:rPr>
                <w:rFonts w:ascii="Times New Roman" w:hAnsi="Times New Roman"/>
                <w:b/>
                <w:bCs/>
                <w:color w:val="auto"/>
              </w:rPr>
            </w:pPr>
            <w:r w:rsidRPr="00465ED6">
              <w:rPr>
                <w:rFonts w:ascii="Times New Roman" w:hAnsi="Times New Roman"/>
                <w:bCs/>
                <w:color w:val="auto"/>
              </w:rPr>
              <w:t>1 άτομο με αναπηρία 67%</w:t>
            </w:r>
          </w:p>
        </w:tc>
        <w:tc>
          <w:tcPr>
            <w:tcW w:w="1398" w:type="dxa"/>
            <w:shd w:val="clear" w:color="auto" w:fill="auto"/>
            <w:hideMark/>
          </w:tcPr>
          <w:p w:rsidR="00681B6D" w:rsidRPr="00465ED6" w:rsidRDefault="00B05F56" w:rsidP="00CA3BB6">
            <w:pPr>
              <w:jc w:val="right"/>
              <w:rPr>
                <w:rFonts w:ascii="Times New Roman" w:hAnsi="Times New Roman"/>
                <w:color w:val="auto"/>
              </w:rPr>
            </w:pPr>
            <w:r w:rsidRPr="00465ED6">
              <w:rPr>
                <w:rFonts w:ascii="Times New Roman" w:hAnsi="Times New Roman"/>
                <w:color w:val="auto"/>
              </w:rPr>
              <w:t>447.183</w:t>
            </w:r>
          </w:p>
        </w:tc>
        <w:tc>
          <w:tcPr>
            <w:tcW w:w="1248" w:type="dxa"/>
            <w:shd w:val="clear" w:color="auto" w:fill="auto"/>
            <w:hideMark/>
          </w:tcPr>
          <w:p w:rsidR="00681B6D" w:rsidRPr="00465ED6" w:rsidRDefault="00B05F56" w:rsidP="00CA3BB6">
            <w:pPr>
              <w:jc w:val="right"/>
              <w:rPr>
                <w:rFonts w:ascii="Times New Roman" w:hAnsi="Times New Roman"/>
                <w:color w:val="auto"/>
              </w:rPr>
            </w:pPr>
            <w:r w:rsidRPr="00465ED6">
              <w:rPr>
                <w:rFonts w:ascii="Times New Roman" w:hAnsi="Times New Roman"/>
                <w:color w:val="auto"/>
              </w:rPr>
              <w:t>92,9</w:t>
            </w:r>
          </w:p>
        </w:tc>
      </w:tr>
      <w:tr w:rsidR="00465ED6" w:rsidRPr="00465ED6" w:rsidTr="00CA3BB6">
        <w:trPr>
          <w:trHeight w:val="359"/>
        </w:trPr>
        <w:tc>
          <w:tcPr>
            <w:tcW w:w="5490" w:type="dxa"/>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b/>
                <w:bCs/>
                <w:color w:val="auto"/>
              </w:rPr>
            </w:pPr>
            <w:r w:rsidRPr="00465ED6">
              <w:rPr>
                <w:rFonts w:ascii="Times New Roman" w:hAnsi="Times New Roman"/>
                <w:bCs/>
                <w:color w:val="auto"/>
              </w:rPr>
              <w:t>2 άτομα με αναπηρία 67%</w:t>
            </w:r>
          </w:p>
        </w:tc>
        <w:tc>
          <w:tcPr>
            <w:tcW w:w="1398" w:type="dxa"/>
            <w:tcBorders>
              <w:top w:val="single" w:sz="4" w:space="0" w:color="7F7F7F"/>
              <w:bottom w:val="single" w:sz="4" w:space="0" w:color="7F7F7F"/>
            </w:tcBorders>
            <w:shd w:val="clear" w:color="auto" w:fill="auto"/>
            <w:hideMark/>
          </w:tcPr>
          <w:p w:rsidR="00681B6D" w:rsidRPr="00465ED6" w:rsidRDefault="00B05F56" w:rsidP="00CA3BB6">
            <w:pPr>
              <w:jc w:val="right"/>
              <w:rPr>
                <w:rFonts w:ascii="Times New Roman" w:hAnsi="Times New Roman"/>
                <w:color w:val="auto"/>
              </w:rPr>
            </w:pPr>
            <w:r w:rsidRPr="00465ED6">
              <w:rPr>
                <w:rFonts w:ascii="Times New Roman" w:hAnsi="Times New Roman"/>
                <w:color w:val="auto"/>
              </w:rPr>
              <w:t>29.016</w:t>
            </w:r>
          </w:p>
        </w:tc>
        <w:tc>
          <w:tcPr>
            <w:tcW w:w="1248" w:type="dxa"/>
            <w:tcBorders>
              <w:top w:val="single" w:sz="4" w:space="0" w:color="7F7F7F"/>
              <w:bottom w:val="single" w:sz="4" w:space="0" w:color="7F7F7F"/>
            </w:tcBorders>
            <w:shd w:val="clear" w:color="auto" w:fill="auto"/>
            <w:hideMark/>
          </w:tcPr>
          <w:p w:rsidR="00681B6D" w:rsidRPr="00465ED6" w:rsidRDefault="00B05F56" w:rsidP="00CA3BB6">
            <w:pPr>
              <w:jc w:val="right"/>
              <w:rPr>
                <w:rFonts w:ascii="Times New Roman" w:hAnsi="Times New Roman"/>
                <w:color w:val="auto"/>
              </w:rPr>
            </w:pPr>
            <w:r w:rsidRPr="00465ED6">
              <w:rPr>
                <w:rFonts w:ascii="Times New Roman" w:hAnsi="Times New Roman"/>
                <w:color w:val="auto"/>
              </w:rPr>
              <w:t>6,0</w:t>
            </w:r>
          </w:p>
        </w:tc>
      </w:tr>
      <w:tr w:rsidR="00465ED6" w:rsidRPr="00465ED6" w:rsidTr="00CA3BB6">
        <w:trPr>
          <w:trHeight w:val="359"/>
        </w:trPr>
        <w:tc>
          <w:tcPr>
            <w:tcW w:w="5490" w:type="dxa"/>
            <w:shd w:val="clear" w:color="auto" w:fill="auto"/>
            <w:hideMark/>
          </w:tcPr>
          <w:p w:rsidR="00681B6D" w:rsidRPr="00465ED6" w:rsidRDefault="00B05F56" w:rsidP="002C6E09">
            <w:pPr>
              <w:rPr>
                <w:rFonts w:ascii="Times New Roman" w:hAnsi="Times New Roman"/>
                <w:b/>
                <w:bCs/>
                <w:color w:val="auto"/>
              </w:rPr>
            </w:pPr>
            <w:r w:rsidRPr="00465ED6">
              <w:rPr>
                <w:rFonts w:ascii="Times New Roman" w:hAnsi="Times New Roman"/>
                <w:bCs/>
                <w:color w:val="auto"/>
              </w:rPr>
              <w:t>3 άτομα με αναπηρία 67%</w:t>
            </w:r>
          </w:p>
        </w:tc>
        <w:tc>
          <w:tcPr>
            <w:tcW w:w="1398" w:type="dxa"/>
            <w:shd w:val="clear" w:color="auto" w:fill="auto"/>
            <w:hideMark/>
          </w:tcPr>
          <w:p w:rsidR="00681B6D" w:rsidRPr="00465ED6" w:rsidRDefault="00B05F56" w:rsidP="00CA3BB6">
            <w:pPr>
              <w:jc w:val="right"/>
              <w:rPr>
                <w:rFonts w:ascii="Times New Roman" w:hAnsi="Times New Roman"/>
                <w:color w:val="auto"/>
              </w:rPr>
            </w:pPr>
            <w:r w:rsidRPr="00465ED6">
              <w:rPr>
                <w:rFonts w:ascii="Times New Roman" w:hAnsi="Times New Roman"/>
                <w:color w:val="auto"/>
              </w:rPr>
              <w:t>5.042</w:t>
            </w:r>
          </w:p>
        </w:tc>
        <w:tc>
          <w:tcPr>
            <w:tcW w:w="1248" w:type="dxa"/>
            <w:shd w:val="clear" w:color="auto" w:fill="auto"/>
            <w:hideMark/>
          </w:tcPr>
          <w:p w:rsidR="00681B6D" w:rsidRPr="00465ED6" w:rsidRDefault="00B05F56" w:rsidP="00CA3BB6">
            <w:pPr>
              <w:jc w:val="right"/>
              <w:rPr>
                <w:rFonts w:ascii="Times New Roman" w:hAnsi="Times New Roman"/>
                <w:color w:val="auto"/>
              </w:rPr>
            </w:pPr>
            <w:r w:rsidRPr="00465ED6">
              <w:rPr>
                <w:rFonts w:ascii="Times New Roman" w:hAnsi="Times New Roman"/>
                <w:color w:val="auto"/>
              </w:rPr>
              <w:t>1,0</w:t>
            </w:r>
          </w:p>
        </w:tc>
      </w:tr>
      <w:tr w:rsidR="00465ED6" w:rsidRPr="00465ED6" w:rsidTr="00CA3BB6">
        <w:trPr>
          <w:trHeight w:val="713"/>
        </w:trPr>
        <w:tc>
          <w:tcPr>
            <w:tcW w:w="5490" w:type="dxa"/>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b/>
                <w:bCs/>
                <w:color w:val="auto"/>
              </w:rPr>
            </w:pPr>
            <w:r w:rsidRPr="00465ED6">
              <w:rPr>
                <w:rFonts w:ascii="Times New Roman" w:hAnsi="Times New Roman"/>
                <w:bCs/>
                <w:color w:val="auto"/>
              </w:rPr>
              <w:t xml:space="preserve">Σύνολο ατόμων με αναπηρία 67% που αναφέρονται </w:t>
            </w:r>
          </w:p>
        </w:tc>
        <w:tc>
          <w:tcPr>
            <w:tcW w:w="1398" w:type="dxa"/>
            <w:tcBorders>
              <w:top w:val="single" w:sz="4" w:space="0" w:color="7F7F7F"/>
              <w:bottom w:val="single" w:sz="4" w:space="0" w:color="7F7F7F"/>
            </w:tcBorders>
            <w:shd w:val="clear" w:color="auto" w:fill="auto"/>
            <w:hideMark/>
          </w:tcPr>
          <w:p w:rsidR="00681B6D" w:rsidRPr="00465ED6" w:rsidRDefault="00B05F56" w:rsidP="00CA3BB6">
            <w:pPr>
              <w:jc w:val="right"/>
              <w:rPr>
                <w:rFonts w:ascii="Times New Roman" w:hAnsi="Times New Roman"/>
                <w:color w:val="auto"/>
              </w:rPr>
            </w:pPr>
            <w:r w:rsidRPr="00465ED6">
              <w:rPr>
                <w:rFonts w:ascii="Times New Roman" w:hAnsi="Times New Roman"/>
                <w:color w:val="auto"/>
              </w:rPr>
              <w:t>520.341</w:t>
            </w:r>
          </w:p>
        </w:tc>
        <w:tc>
          <w:tcPr>
            <w:tcW w:w="1248" w:type="dxa"/>
            <w:tcBorders>
              <w:top w:val="single" w:sz="4" w:space="0" w:color="7F7F7F"/>
              <w:bottom w:val="single" w:sz="4" w:space="0" w:color="7F7F7F"/>
            </w:tcBorders>
            <w:shd w:val="clear" w:color="auto" w:fill="auto"/>
            <w:hideMark/>
          </w:tcPr>
          <w:p w:rsidR="00681B6D" w:rsidRPr="00465ED6" w:rsidRDefault="00B05F56" w:rsidP="00CA3BB6">
            <w:pPr>
              <w:keepNext/>
              <w:jc w:val="right"/>
              <w:rPr>
                <w:rFonts w:ascii="Times New Roman" w:hAnsi="Times New Roman"/>
                <w:color w:val="auto"/>
              </w:rPr>
            </w:pPr>
            <w:r w:rsidRPr="00465ED6">
              <w:rPr>
                <w:rFonts w:ascii="Times New Roman" w:hAnsi="Times New Roman"/>
                <w:color w:val="auto"/>
              </w:rPr>
              <w:t> </w:t>
            </w:r>
          </w:p>
        </w:tc>
      </w:tr>
    </w:tbl>
    <w:p w:rsidR="00681B6D" w:rsidRPr="00465ED6" w:rsidRDefault="00B05F56" w:rsidP="00681B6D">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w:t>
      </w:r>
      <w:r w:rsidR="003F3968" w:rsidRPr="00465ED6">
        <w:rPr>
          <w:rFonts w:ascii="Times New Roman" w:hAnsi="Times New Roman"/>
          <w:b w:val="0"/>
          <w:i/>
          <w:color w:val="auto"/>
          <w:sz w:val="18"/>
          <w:szCs w:val="18"/>
        </w:rPr>
        <w:t xml:space="preserve"> ΔΕΔΟΜΕΝΩΝ</w:t>
      </w:r>
      <w:r w:rsidRPr="00465ED6">
        <w:rPr>
          <w:rFonts w:ascii="Times New Roman" w:hAnsi="Times New Roman"/>
          <w:b w:val="0"/>
          <w:i/>
          <w:color w:val="auto"/>
          <w:sz w:val="18"/>
          <w:szCs w:val="18"/>
        </w:rPr>
        <w:t>: ΕΛΣΤΑΤ, Έρευνα Εισοδήματος και Συνθηκών Διαβίωσης 2016/ ΕΠΕΞΕΡΓΑΣΙΑ: Παρατηρητήριο Θεμάτων Αναπηρίας-Ε.Σ.Α.μεΑ.</w:t>
      </w:r>
    </w:p>
    <w:p w:rsidR="00681B6D" w:rsidRPr="00465ED6" w:rsidRDefault="00681B6D" w:rsidP="00681B6D">
      <w:pPr>
        <w:rPr>
          <w:rFonts w:ascii="Times New Roman" w:hAnsi="Times New Roman"/>
          <w:color w:val="auto"/>
        </w:rPr>
      </w:pPr>
    </w:p>
    <w:p w:rsidR="00681B6D" w:rsidRPr="00465ED6" w:rsidRDefault="00B05F56" w:rsidP="00465ED6">
      <w:pPr>
        <w:pStyle w:val="af1"/>
        <w:rPr>
          <w:rFonts w:ascii="Times New Roman" w:hAnsi="Times New Roman" w:cs="Times New Roman"/>
          <w:b/>
          <w:color w:val="auto"/>
        </w:rPr>
      </w:pPr>
      <w:r w:rsidRPr="00465ED6">
        <w:rPr>
          <w:rFonts w:ascii="Times New Roman" w:hAnsi="Times New Roman" w:cs="Times New Roman"/>
          <w:b/>
          <w:color w:val="auto"/>
        </w:rPr>
        <w:t>Β. ΦΤΩΧΕΙΑ ΚΑΙ ΚΟΙΝΩΝΙΚΟΣ ΑΠΟΚΛΕΙΣΜΟΣ:  ΔΕΙΚΤΕΣ ΤΗΣ ΣΤΡΑΤΗΓΙΚΗΣ ΤΗΣ Ε</w:t>
      </w:r>
      <w:r w:rsidR="003F3968" w:rsidRPr="00465ED6">
        <w:rPr>
          <w:rFonts w:ascii="Times New Roman" w:hAnsi="Times New Roman" w:cs="Times New Roman"/>
          <w:b/>
          <w:color w:val="auto"/>
        </w:rPr>
        <w:t>.Ε.</w:t>
      </w:r>
      <w:r w:rsidRPr="00465ED6">
        <w:rPr>
          <w:rFonts w:ascii="Times New Roman" w:hAnsi="Times New Roman" w:cs="Times New Roman"/>
          <w:b/>
          <w:color w:val="auto"/>
        </w:rPr>
        <w:t xml:space="preserve"> «ΕΥΡΩΠΗ 2020»</w:t>
      </w:r>
    </w:p>
    <w:p w:rsidR="00681B6D" w:rsidRPr="00465ED6" w:rsidRDefault="00681B6D" w:rsidP="00465ED6">
      <w:pPr>
        <w:pStyle w:val="af1"/>
        <w:rPr>
          <w:rFonts w:ascii="Times New Roman" w:hAnsi="Times New Roman" w:cs="Times New Roman"/>
          <w:b/>
          <w:color w:val="auto"/>
          <w:u w:val="single"/>
        </w:rPr>
      </w:pPr>
    </w:p>
    <w:p w:rsidR="00681B6D" w:rsidRPr="00465ED6" w:rsidRDefault="00DD51D4" w:rsidP="00465ED6">
      <w:pPr>
        <w:pStyle w:val="af1"/>
        <w:rPr>
          <w:rFonts w:ascii="Times New Roman" w:hAnsi="Times New Roman" w:cs="Times New Roman"/>
          <w:b/>
          <w:color w:val="auto"/>
          <w:sz w:val="26"/>
          <w:szCs w:val="26"/>
          <w:u w:val="single"/>
        </w:rPr>
      </w:pPr>
      <w:r w:rsidRPr="00465ED6">
        <w:rPr>
          <w:rFonts w:ascii="Times New Roman" w:hAnsi="Times New Roman" w:cs="Times New Roman"/>
          <w:b/>
          <w:color w:val="auto"/>
          <w:sz w:val="26"/>
          <w:szCs w:val="26"/>
          <w:u w:val="single"/>
        </w:rPr>
        <w:t xml:space="preserve">Β.1. </w:t>
      </w:r>
      <w:r w:rsidR="00F16D78" w:rsidRPr="00465ED6">
        <w:rPr>
          <w:rFonts w:ascii="Times New Roman" w:hAnsi="Times New Roman" w:cs="Times New Roman"/>
          <w:b/>
          <w:color w:val="auto"/>
          <w:sz w:val="26"/>
          <w:szCs w:val="26"/>
          <w:u w:val="single"/>
        </w:rPr>
        <w:t>Ο Σύνθετος Δείκτης: «</w:t>
      </w:r>
      <w:r w:rsidR="00B05F56" w:rsidRPr="00465ED6">
        <w:rPr>
          <w:rFonts w:ascii="Times New Roman" w:hAnsi="Times New Roman" w:cs="Times New Roman"/>
          <w:b/>
          <w:color w:val="auto"/>
          <w:sz w:val="26"/>
          <w:szCs w:val="26"/>
          <w:u w:val="single"/>
        </w:rPr>
        <w:t>Ποσοστό πληθυσμού σε κίνδυνο φτώχειας ή σε κοινωνικό αποκλεισμό</w:t>
      </w:r>
      <w:r w:rsidR="00F16D78" w:rsidRPr="00465ED6">
        <w:rPr>
          <w:rFonts w:ascii="Times New Roman" w:hAnsi="Times New Roman" w:cs="Times New Roman"/>
          <w:b/>
          <w:color w:val="auto"/>
          <w:sz w:val="26"/>
          <w:szCs w:val="26"/>
          <w:u w:val="single"/>
        </w:rPr>
        <w:t>»</w:t>
      </w:r>
      <w:r w:rsidR="00B55744" w:rsidRPr="00465ED6">
        <w:rPr>
          <w:rFonts w:ascii="Times New Roman" w:hAnsi="Times New Roman" w:cs="Times New Roman"/>
          <w:b/>
          <w:color w:val="auto"/>
          <w:sz w:val="26"/>
          <w:szCs w:val="26"/>
          <w:u w:val="single"/>
        </w:rPr>
        <w:t>.</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Στο πλαίσιο της ευρωπαϊκής στρατηγικής «Ευρώπη 2020», αναφορικά με την καταπολέμηση της φτώχειας και του κοινωνικού αποκλεισμού, έχει τεθεί ως στόχος </w:t>
      </w:r>
      <w:r w:rsidRPr="00465ED6">
        <w:rPr>
          <w:rFonts w:ascii="Times New Roman" w:hAnsi="Times New Roman"/>
          <w:i/>
          <w:color w:val="auto"/>
          <w:sz w:val="24"/>
          <w:szCs w:val="24"/>
        </w:rPr>
        <w:t>«να μειωθούν κατά 20 εκατομμύρια τα άτομα που βρίσκονται ή που κινδυνεύουν να βρεθούν σε κίνδυνο φτώχειας ή κοινωνικό αποκλεισμό έως το 2020»</w:t>
      </w:r>
      <w:r w:rsidRPr="00465ED6">
        <w:rPr>
          <w:rFonts w:ascii="Times New Roman" w:hAnsi="Times New Roman"/>
          <w:color w:val="auto"/>
          <w:sz w:val="24"/>
          <w:szCs w:val="24"/>
        </w:rPr>
        <w:t xml:space="preserve">. Η επίτευξη του </w:t>
      </w:r>
      <w:r w:rsidRPr="00465ED6">
        <w:rPr>
          <w:rFonts w:ascii="Times New Roman" w:hAnsi="Times New Roman"/>
          <w:color w:val="auto"/>
          <w:sz w:val="24"/>
          <w:szCs w:val="24"/>
        </w:rPr>
        <w:lastRenderedPageBreak/>
        <w:t>στόχου παρακολουθείται και αποτυπών</w:t>
      </w:r>
      <w:r w:rsidR="002906FC" w:rsidRPr="00465ED6">
        <w:rPr>
          <w:rFonts w:ascii="Times New Roman" w:hAnsi="Times New Roman"/>
          <w:color w:val="auto"/>
          <w:sz w:val="24"/>
          <w:szCs w:val="24"/>
        </w:rPr>
        <w:t xml:space="preserve">εται με έναν σύνθετο δείκτη και </w:t>
      </w:r>
      <w:r w:rsidRPr="00465ED6">
        <w:rPr>
          <w:rFonts w:ascii="Times New Roman" w:hAnsi="Times New Roman"/>
          <w:color w:val="auto"/>
          <w:sz w:val="24"/>
          <w:szCs w:val="24"/>
        </w:rPr>
        <w:t>3 επιμέρους δείκτες</w:t>
      </w:r>
      <w:r w:rsidR="002B62CE" w:rsidRPr="00465ED6">
        <w:rPr>
          <w:rFonts w:ascii="Times New Roman" w:hAnsi="Times New Roman"/>
          <w:color w:val="auto"/>
          <w:sz w:val="24"/>
          <w:szCs w:val="24"/>
        </w:rPr>
        <w:t xml:space="preserve"> που τον απαρτίζουν</w:t>
      </w:r>
      <w:r w:rsidRPr="00465ED6">
        <w:rPr>
          <w:rFonts w:ascii="Times New Roman" w:hAnsi="Times New Roman"/>
          <w:color w:val="auto"/>
          <w:sz w:val="24"/>
          <w:szCs w:val="24"/>
        </w:rPr>
        <w:t>.</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Ο σύνθετος δείκτης </w:t>
      </w:r>
      <w:r w:rsidRPr="00465ED6">
        <w:rPr>
          <w:rFonts w:ascii="Times New Roman" w:hAnsi="Times New Roman"/>
          <w:b/>
          <w:color w:val="auto"/>
          <w:sz w:val="24"/>
          <w:szCs w:val="24"/>
        </w:rPr>
        <w:t>«Πληθυσμός σε κίνδυνο φτώχειας ή κοινωνικό αποκλεισμό</w:t>
      </w:r>
      <w:r w:rsidRPr="00465ED6">
        <w:rPr>
          <w:rFonts w:ascii="Times New Roman" w:hAnsi="Times New Roman"/>
          <w:color w:val="auto"/>
          <w:sz w:val="24"/>
          <w:szCs w:val="24"/>
        </w:rPr>
        <w:t xml:space="preserve">» εκτιμά τα ποσοστά των ατόμων σε κίνδυνο φτώχειας ή σε κοινωνικό αποκλεισμό σύμφωνα με τις εξής υποκατηγορίες ποσοστών (επιμέρους δείκτες): </w:t>
      </w:r>
    </w:p>
    <w:p w:rsidR="00681B6D" w:rsidRPr="00465ED6" w:rsidRDefault="00B05F56" w:rsidP="003A6F05">
      <w:pPr>
        <w:pStyle w:val="a8"/>
        <w:numPr>
          <w:ilvl w:val="0"/>
          <w:numId w:val="32"/>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Ποσοστό ατόμων πο</w:t>
      </w:r>
      <w:r w:rsidR="002906FC" w:rsidRPr="00465ED6">
        <w:rPr>
          <w:rFonts w:ascii="Times New Roman" w:hAnsi="Times New Roman"/>
          <w:color w:val="auto"/>
          <w:sz w:val="24"/>
          <w:szCs w:val="24"/>
        </w:rPr>
        <w:t>υ βρίσκεται σε κίνδυνο φτώχειας</w:t>
      </w:r>
      <w:r w:rsidRPr="00465ED6">
        <w:rPr>
          <w:rFonts w:ascii="Times New Roman" w:hAnsi="Times New Roman"/>
          <w:color w:val="auto"/>
          <w:sz w:val="24"/>
          <w:szCs w:val="24"/>
        </w:rPr>
        <w:t xml:space="preserve"> </w:t>
      </w:r>
    </w:p>
    <w:p w:rsidR="00681B6D" w:rsidRPr="00465ED6" w:rsidRDefault="00B05F56" w:rsidP="003A6F05">
      <w:pPr>
        <w:pStyle w:val="a8"/>
        <w:numPr>
          <w:ilvl w:val="0"/>
          <w:numId w:val="32"/>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 xml:space="preserve">Ποσοστό ατόμων με υλικές στερήσεις </w:t>
      </w:r>
    </w:p>
    <w:p w:rsidR="00681B6D" w:rsidRPr="00465ED6" w:rsidRDefault="00B05F56" w:rsidP="003A6F05">
      <w:pPr>
        <w:pStyle w:val="a8"/>
        <w:numPr>
          <w:ilvl w:val="0"/>
          <w:numId w:val="32"/>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Ποσοστό ατόμων που διαβιεί σε νοικοκυριά με χαμηλή</w:t>
      </w:r>
      <w:r w:rsidR="00A47CA5" w:rsidRPr="00465ED6">
        <w:rPr>
          <w:rFonts w:ascii="Times New Roman" w:hAnsi="Times New Roman"/>
          <w:color w:val="auto"/>
          <w:sz w:val="24"/>
          <w:szCs w:val="24"/>
        </w:rPr>
        <w:t>ς</w:t>
      </w:r>
      <w:r w:rsidRPr="00465ED6">
        <w:rPr>
          <w:rFonts w:ascii="Times New Roman" w:hAnsi="Times New Roman"/>
          <w:color w:val="auto"/>
          <w:sz w:val="24"/>
          <w:szCs w:val="24"/>
        </w:rPr>
        <w:t xml:space="preserve"> ένταση</w:t>
      </w:r>
      <w:r w:rsidR="00A47CA5" w:rsidRPr="00465ED6">
        <w:rPr>
          <w:rFonts w:ascii="Times New Roman" w:hAnsi="Times New Roman"/>
          <w:color w:val="auto"/>
          <w:sz w:val="24"/>
          <w:szCs w:val="24"/>
        </w:rPr>
        <w:t>ς εργασία</w:t>
      </w:r>
      <w:r w:rsidRPr="00465ED6">
        <w:rPr>
          <w:rFonts w:ascii="Times New Roman" w:hAnsi="Times New Roman"/>
          <w:color w:val="auto"/>
          <w:sz w:val="24"/>
          <w:szCs w:val="24"/>
        </w:rPr>
        <w:t>.</w:t>
      </w:r>
    </w:p>
    <w:p w:rsidR="00681B6D" w:rsidRPr="00465ED6" w:rsidRDefault="00681B6D" w:rsidP="00681B6D">
      <w:pPr>
        <w:rPr>
          <w:rFonts w:ascii="Times New Roman" w:hAnsi="Times New Roman"/>
          <w:color w:val="auto"/>
          <w:sz w:val="24"/>
          <w:szCs w:val="24"/>
        </w:rPr>
      </w:pP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Τα στοιχεία της Έρευνας Εισοδήματος και Συνθηκών Διαβίωσης των Νοικοκυριών (2016) είναι αποκαρδιωτικά για την Ελλάδα, με τον </w:t>
      </w:r>
      <w:r w:rsidRPr="00465ED6">
        <w:rPr>
          <w:rFonts w:ascii="Times New Roman" w:hAnsi="Times New Roman"/>
          <w:b/>
          <w:color w:val="auto"/>
          <w:sz w:val="24"/>
          <w:szCs w:val="24"/>
        </w:rPr>
        <w:t>συνολικό πληθυσμό που βρίσκεται σε κίνδυνο φτώχειας ή κοινωνικού αποκλεισμού να ανέρχεται στο 35,6%</w:t>
      </w:r>
      <w:r w:rsidRPr="00465ED6">
        <w:rPr>
          <w:rFonts w:ascii="Times New Roman" w:hAnsi="Times New Roman"/>
          <w:color w:val="auto"/>
          <w:sz w:val="24"/>
          <w:szCs w:val="24"/>
        </w:rPr>
        <w:t xml:space="preserve"> (3.789.300 άτομα).</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Για τον πληθυσμό </w:t>
      </w:r>
      <w:r w:rsidR="00021961" w:rsidRPr="00465ED6">
        <w:rPr>
          <w:rFonts w:ascii="Times New Roman" w:hAnsi="Times New Roman"/>
          <w:color w:val="auto"/>
          <w:sz w:val="24"/>
          <w:szCs w:val="24"/>
        </w:rPr>
        <w:t xml:space="preserve">ωστόσο </w:t>
      </w:r>
      <w:r w:rsidRPr="00465ED6">
        <w:rPr>
          <w:rFonts w:ascii="Times New Roman" w:hAnsi="Times New Roman"/>
          <w:color w:val="auto"/>
          <w:sz w:val="24"/>
          <w:szCs w:val="24"/>
        </w:rPr>
        <w:t xml:space="preserve">των ατόμων με </w:t>
      </w:r>
      <w:r w:rsidR="00024A95" w:rsidRPr="00465ED6">
        <w:rPr>
          <w:rFonts w:ascii="Times New Roman" w:hAnsi="Times New Roman"/>
          <w:color w:val="auto"/>
          <w:sz w:val="24"/>
          <w:szCs w:val="24"/>
        </w:rPr>
        <w:t>αναπηρία και τις οικογένε</w:t>
      </w:r>
      <w:r w:rsidR="000D55B9" w:rsidRPr="00465ED6">
        <w:rPr>
          <w:rFonts w:ascii="Times New Roman" w:hAnsi="Times New Roman"/>
          <w:color w:val="auto"/>
          <w:sz w:val="24"/>
          <w:szCs w:val="24"/>
        </w:rPr>
        <w:t>ιέ</w:t>
      </w:r>
      <w:r w:rsidRPr="00465ED6">
        <w:rPr>
          <w:rFonts w:ascii="Times New Roman" w:hAnsi="Times New Roman"/>
          <w:color w:val="auto"/>
          <w:sz w:val="24"/>
          <w:szCs w:val="24"/>
        </w:rPr>
        <w:t xml:space="preserve">ς τους ο κίνδυνος </w:t>
      </w:r>
      <w:r w:rsidR="00F3007E" w:rsidRPr="00465ED6">
        <w:rPr>
          <w:rFonts w:ascii="Times New Roman" w:hAnsi="Times New Roman"/>
          <w:color w:val="auto"/>
          <w:sz w:val="24"/>
          <w:szCs w:val="24"/>
        </w:rPr>
        <w:t xml:space="preserve">της </w:t>
      </w:r>
      <w:r w:rsidRPr="00465ED6">
        <w:rPr>
          <w:rFonts w:ascii="Times New Roman" w:hAnsi="Times New Roman"/>
          <w:color w:val="auto"/>
          <w:sz w:val="24"/>
          <w:szCs w:val="24"/>
        </w:rPr>
        <w:t>φτώχειας ή</w:t>
      </w:r>
      <w:r w:rsidR="00587293" w:rsidRPr="00465ED6">
        <w:rPr>
          <w:rFonts w:ascii="Times New Roman" w:hAnsi="Times New Roman"/>
          <w:color w:val="auto"/>
          <w:sz w:val="24"/>
          <w:szCs w:val="24"/>
        </w:rPr>
        <w:t xml:space="preserve"> </w:t>
      </w:r>
      <w:r w:rsidRPr="00465ED6">
        <w:rPr>
          <w:rFonts w:ascii="Times New Roman" w:hAnsi="Times New Roman"/>
          <w:color w:val="auto"/>
          <w:sz w:val="24"/>
          <w:szCs w:val="24"/>
        </w:rPr>
        <w:t xml:space="preserve">κοινωνικού αποκλεισμού είναι </w:t>
      </w:r>
      <w:r w:rsidR="00024A95" w:rsidRPr="00465ED6">
        <w:rPr>
          <w:rFonts w:ascii="Times New Roman" w:hAnsi="Times New Roman"/>
          <w:color w:val="auto"/>
          <w:sz w:val="24"/>
          <w:szCs w:val="24"/>
        </w:rPr>
        <w:t xml:space="preserve">ιδιαίτερα σοβαρός και </w:t>
      </w:r>
      <w:r w:rsidR="00F3007E" w:rsidRPr="00465ED6">
        <w:rPr>
          <w:rFonts w:ascii="Times New Roman" w:hAnsi="Times New Roman"/>
          <w:color w:val="auto"/>
          <w:sz w:val="24"/>
          <w:szCs w:val="24"/>
        </w:rPr>
        <w:t xml:space="preserve">ακόμα περισσότερο </w:t>
      </w:r>
      <w:r w:rsidRPr="00465ED6">
        <w:rPr>
          <w:rFonts w:ascii="Times New Roman" w:hAnsi="Times New Roman"/>
          <w:color w:val="auto"/>
          <w:sz w:val="24"/>
          <w:szCs w:val="24"/>
        </w:rPr>
        <w:t xml:space="preserve">εκτεταμένος. </w:t>
      </w:r>
    </w:p>
    <w:p w:rsidR="00681B6D" w:rsidRPr="00465ED6" w:rsidRDefault="00587293" w:rsidP="00681B6D">
      <w:pPr>
        <w:tabs>
          <w:tab w:val="left" w:pos="2410"/>
        </w:tabs>
        <w:rPr>
          <w:rFonts w:ascii="Times New Roman" w:hAnsi="Times New Roman"/>
          <w:color w:val="auto"/>
          <w:sz w:val="24"/>
          <w:szCs w:val="24"/>
        </w:rPr>
      </w:pPr>
      <w:r w:rsidRPr="00465ED6">
        <w:rPr>
          <w:rFonts w:ascii="Times New Roman" w:hAnsi="Times New Roman"/>
          <w:b/>
          <w:color w:val="auto"/>
          <w:sz w:val="24"/>
          <w:szCs w:val="24"/>
        </w:rPr>
        <w:t>Σε κίνδυνο φτώχειας ή κοινωνικό αποκλεισμό</w:t>
      </w:r>
      <w:r w:rsidR="00B05F56" w:rsidRPr="00465ED6">
        <w:rPr>
          <w:rFonts w:ascii="Times New Roman" w:hAnsi="Times New Roman"/>
          <w:b/>
          <w:color w:val="auto"/>
          <w:sz w:val="24"/>
          <w:szCs w:val="24"/>
        </w:rPr>
        <w:t xml:space="preserve"> βρίσκεται το 38,2% των ατόμων με σοβαρό περιορισμό δραστηριότητας ηλικίας 16 και άνω, καθώς και το 43,5% των νοικοκυριών που έχου</w:t>
      </w:r>
      <w:r w:rsidR="00850555" w:rsidRPr="00465ED6">
        <w:rPr>
          <w:rFonts w:ascii="Times New Roman" w:hAnsi="Times New Roman"/>
          <w:b/>
          <w:color w:val="auto"/>
          <w:sz w:val="24"/>
          <w:szCs w:val="24"/>
        </w:rPr>
        <w:t>ν μέλη με αναπηρία 67% και άνω</w:t>
      </w:r>
      <w:r w:rsidR="00850555" w:rsidRPr="00465ED6">
        <w:rPr>
          <w:rFonts w:ascii="Times New Roman" w:hAnsi="Times New Roman"/>
          <w:color w:val="auto"/>
          <w:sz w:val="24"/>
          <w:szCs w:val="24"/>
        </w:rPr>
        <w:t xml:space="preserve"> </w:t>
      </w:r>
      <w:r w:rsidR="00CE6F95" w:rsidRPr="00465ED6">
        <w:rPr>
          <w:rFonts w:ascii="Times New Roman" w:hAnsi="Times New Roman"/>
          <w:color w:val="auto"/>
          <w:sz w:val="24"/>
          <w:szCs w:val="24"/>
        </w:rPr>
        <w:t>(έναντι</w:t>
      </w:r>
      <w:r w:rsidR="00850555" w:rsidRPr="00465ED6">
        <w:rPr>
          <w:rFonts w:ascii="Times New Roman" w:hAnsi="Times New Roman"/>
          <w:color w:val="auto"/>
          <w:sz w:val="24"/>
          <w:szCs w:val="24"/>
        </w:rPr>
        <w:t xml:space="preserve"> του 34,9% των </w:t>
      </w:r>
      <w:r w:rsidR="00CE6F95" w:rsidRPr="00465ED6">
        <w:rPr>
          <w:rFonts w:ascii="Times New Roman" w:hAnsi="Times New Roman"/>
          <w:color w:val="auto"/>
          <w:sz w:val="24"/>
          <w:szCs w:val="24"/>
        </w:rPr>
        <w:t>νοικοκυριών</w:t>
      </w:r>
      <w:r w:rsidR="00850555" w:rsidRPr="00465ED6">
        <w:rPr>
          <w:rFonts w:ascii="Times New Roman" w:hAnsi="Times New Roman"/>
          <w:color w:val="auto"/>
          <w:sz w:val="24"/>
          <w:szCs w:val="24"/>
        </w:rPr>
        <w:t xml:space="preserve"> σε κίνδυνο φτώχειας ή </w:t>
      </w:r>
      <w:r w:rsidRPr="00465ED6">
        <w:rPr>
          <w:rFonts w:ascii="Times New Roman" w:hAnsi="Times New Roman"/>
          <w:color w:val="auto"/>
          <w:sz w:val="24"/>
          <w:szCs w:val="24"/>
        </w:rPr>
        <w:t>σε αποκλεισμό</w:t>
      </w:r>
      <w:r w:rsidR="00850555" w:rsidRPr="00465ED6">
        <w:rPr>
          <w:rFonts w:ascii="Times New Roman" w:hAnsi="Times New Roman"/>
          <w:color w:val="auto"/>
          <w:sz w:val="24"/>
          <w:szCs w:val="24"/>
        </w:rPr>
        <w:t xml:space="preserve"> χωρίς </w:t>
      </w:r>
      <w:r w:rsidR="00CE6F95" w:rsidRPr="00465ED6">
        <w:rPr>
          <w:rFonts w:ascii="Times New Roman" w:hAnsi="Times New Roman"/>
          <w:color w:val="auto"/>
          <w:sz w:val="24"/>
          <w:szCs w:val="24"/>
        </w:rPr>
        <w:t>μέλος</w:t>
      </w:r>
      <w:r w:rsidR="00850555" w:rsidRPr="00465ED6">
        <w:rPr>
          <w:rFonts w:ascii="Times New Roman" w:hAnsi="Times New Roman"/>
          <w:color w:val="auto"/>
          <w:sz w:val="24"/>
          <w:szCs w:val="24"/>
        </w:rPr>
        <w:t xml:space="preserve"> με </w:t>
      </w:r>
      <w:r w:rsidR="00CE6F95" w:rsidRPr="00465ED6">
        <w:rPr>
          <w:rFonts w:ascii="Times New Roman" w:hAnsi="Times New Roman"/>
          <w:color w:val="auto"/>
          <w:sz w:val="24"/>
          <w:szCs w:val="24"/>
        </w:rPr>
        <w:t xml:space="preserve">αναπηρία). </w:t>
      </w:r>
    </w:p>
    <w:p w:rsidR="00961571" w:rsidRPr="00465ED6" w:rsidRDefault="00B05F56" w:rsidP="00961571">
      <w:pPr>
        <w:rPr>
          <w:rFonts w:ascii="Times New Roman" w:hAnsi="Times New Roman"/>
          <w:color w:val="auto"/>
          <w:sz w:val="24"/>
          <w:szCs w:val="24"/>
        </w:rPr>
      </w:pPr>
      <w:r w:rsidRPr="00465ED6">
        <w:rPr>
          <w:rFonts w:ascii="Times New Roman" w:hAnsi="Times New Roman"/>
          <w:b/>
          <w:color w:val="auto"/>
          <w:sz w:val="24"/>
          <w:szCs w:val="24"/>
        </w:rPr>
        <w:t>Η πραγματική διάσταση του προβλήματος της φτώχειας και του κοινωνικού αποκλεισμού στην πληθυσμιακή ομάδα των ατόμων με αναπηρία</w:t>
      </w:r>
      <w:r w:rsidRPr="00465ED6">
        <w:rPr>
          <w:rFonts w:ascii="Times New Roman" w:hAnsi="Times New Roman"/>
          <w:color w:val="auto"/>
          <w:sz w:val="24"/>
          <w:szCs w:val="24"/>
        </w:rPr>
        <w:t>, καθώς και το υπερβολικό χάσμα που εξακολουθεί να χωρίζει τα άτομα με αναπηρία από τον πληθυσμό χωρίς αναπηρία σε επίπεδο υλικών συνθηκών διαβίωσης και κοινωνικής ενσωμάτωσης, αποκαλύπτεται αναλύοντας τον δείκτη ανά ηλικιακή κατηγορία.</w:t>
      </w:r>
    </w:p>
    <w:p w:rsidR="00166BA2" w:rsidRPr="00465ED6" w:rsidRDefault="00B05F56" w:rsidP="00961571">
      <w:pPr>
        <w:rPr>
          <w:rFonts w:ascii="Times New Roman" w:hAnsi="Times New Roman"/>
          <w:color w:val="auto"/>
          <w:sz w:val="24"/>
          <w:szCs w:val="24"/>
        </w:rPr>
      </w:pPr>
      <w:r w:rsidRPr="00465ED6">
        <w:rPr>
          <w:rFonts w:ascii="Times New Roman" w:hAnsi="Times New Roman"/>
          <w:color w:val="auto"/>
          <w:sz w:val="24"/>
          <w:szCs w:val="24"/>
        </w:rPr>
        <w:t>Όπως αναφέρθηκε παραπάνω, η ηλικιακή σύνθεση του στατιστικού πληθυσμού των ατόμων με αναπηρία χαρακτηρίζεται από την ιδιαίτερα αυξημένη συμμετοχή των</w:t>
      </w:r>
      <w:r w:rsidR="00166BA2" w:rsidRPr="00465ED6">
        <w:rPr>
          <w:rFonts w:ascii="Times New Roman" w:hAnsi="Times New Roman"/>
          <w:color w:val="auto"/>
          <w:sz w:val="24"/>
          <w:szCs w:val="24"/>
        </w:rPr>
        <w:t xml:space="preserve"> μεγαλύτερων ηλικιακών κατηγοριών</w:t>
      </w:r>
      <w:r w:rsidR="00166BA2" w:rsidRPr="00465ED6">
        <w:rPr>
          <w:rStyle w:val="aa"/>
          <w:rFonts w:ascii="Times New Roman" w:hAnsi="Times New Roman"/>
          <w:color w:val="auto"/>
          <w:sz w:val="24"/>
          <w:szCs w:val="24"/>
        </w:rPr>
        <w:footnoteReference w:id="1"/>
      </w:r>
      <w:r w:rsidR="0055536B" w:rsidRPr="00465ED6">
        <w:rPr>
          <w:rFonts w:ascii="Times New Roman" w:hAnsi="Times New Roman"/>
          <w:color w:val="auto"/>
          <w:sz w:val="24"/>
          <w:szCs w:val="24"/>
        </w:rPr>
        <w:t>, με το 60% του</w:t>
      </w:r>
      <w:r w:rsidR="00AA5747" w:rsidRPr="00465ED6">
        <w:rPr>
          <w:rFonts w:ascii="Times New Roman" w:hAnsi="Times New Roman"/>
          <w:color w:val="auto"/>
          <w:sz w:val="24"/>
          <w:szCs w:val="24"/>
        </w:rPr>
        <w:t xml:space="preserve"> πληθυσμού να ανήκει στις ηλικίες 65+. </w:t>
      </w:r>
    </w:p>
    <w:p w:rsidR="002F5532" w:rsidRPr="00465ED6" w:rsidRDefault="0055536B" w:rsidP="002F5532">
      <w:pPr>
        <w:rPr>
          <w:rFonts w:ascii="Times New Roman" w:hAnsi="Times New Roman"/>
          <w:color w:val="auto"/>
          <w:sz w:val="24"/>
          <w:szCs w:val="24"/>
        </w:rPr>
      </w:pPr>
      <w:r w:rsidRPr="00465ED6">
        <w:rPr>
          <w:rFonts w:ascii="Times New Roman" w:hAnsi="Times New Roman"/>
          <w:color w:val="auto"/>
          <w:sz w:val="24"/>
          <w:szCs w:val="24"/>
        </w:rPr>
        <w:t xml:space="preserve">Ωστόσο, η </w:t>
      </w:r>
      <w:r w:rsidRPr="00465ED6">
        <w:rPr>
          <w:rFonts w:ascii="Times New Roman" w:hAnsi="Times New Roman"/>
          <w:color w:val="auto"/>
        </w:rPr>
        <w:t>υπε</w:t>
      </w:r>
      <w:r w:rsidR="00CC62EE">
        <w:rPr>
          <w:rFonts w:ascii="Times New Roman" w:hAnsi="Times New Roman"/>
          <w:color w:val="auto"/>
        </w:rPr>
        <w:t xml:space="preserve">- </w:t>
      </w:r>
      <w:r w:rsidRPr="00465ED6">
        <w:rPr>
          <w:rFonts w:ascii="Times New Roman" w:hAnsi="Times New Roman"/>
          <w:color w:val="auto"/>
        </w:rPr>
        <w:t>ρεκπροσώπηση</w:t>
      </w:r>
      <w:r w:rsidR="00B05F56" w:rsidRPr="00465ED6">
        <w:rPr>
          <w:rFonts w:ascii="Times New Roman" w:hAnsi="Times New Roman"/>
          <w:color w:val="auto"/>
          <w:sz w:val="24"/>
          <w:szCs w:val="24"/>
        </w:rPr>
        <w:t xml:space="preserve"> αυτών των ηλικιακών κατηγοριών στο πληθυσμό των ατόμων με αναπηρία έχει σημαντικά επίδραση στις τιμές των υπό εξέταση δεικτών, καθώς </w:t>
      </w:r>
      <w:r w:rsidR="00995C48" w:rsidRPr="00465ED6">
        <w:rPr>
          <w:rFonts w:ascii="Times New Roman" w:hAnsi="Times New Roman"/>
          <w:color w:val="auto"/>
          <w:sz w:val="24"/>
          <w:szCs w:val="24"/>
        </w:rPr>
        <w:t>ό</w:t>
      </w:r>
      <w:r w:rsidR="00DD05A3" w:rsidRPr="00465ED6">
        <w:rPr>
          <w:rFonts w:ascii="Times New Roman" w:hAnsi="Times New Roman"/>
          <w:color w:val="auto"/>
          <w:sz w:val="24"/>
          <w:szCs w:val="24"/>
        </w:rPr>
        <w:t>πως γίνεται φανερό στο</w:t>
      </w:r>
      <w:r w:rsidR="00720140" w:rsidRPr="00465ED6">
        <w:rPr>
          <w:rFonts w:ascii="Times New Roman" w:hAnsi="Times New Roman"/>
          <w:color w:val="auto"/>
          <w:sz w:val="24"/>
          <w:szCs w:val="24"/>
        </w:rPr>
        <w:t xml:space="preserve"> γράφημα 3 </w:t>
      </w:r>
      <w:r w:rsidR="00995C48" w:rsidRPr="00465ED6">
        <w:rPr>
          <w:rFonts w:ascii="Times New Roman" w:hAnsi="Times New Roman"/>
          <w:color w:val="auto"/>
          <w:sz w:val="24"/>
          <w:szCs w:val="24"/>
        </w:rPr>
        <w:t>-</w:t>
      </w:r>
      <w:r w:rsidR="00DD05A3" w:rsidRPr="00465ED6">
        <w:rPr>
          <w:rFonts w:ascii="Times New Roman" w:hAnsi="Times New Roman"/>
          <w:color w:val="auto"/>
          <w:sz w:val="24"/>
          <w:szCs w:val="24"/>
        </w:rPr>
        <w:t>τόσο στο γενικό πληθυσμό όσο και στα άτομα με αναπηρία</w:t>
      </w:r>
      <w:r w:rsidR="00995C48" w:rsidRPr="00465ED6">
        <w:rPr>
          <w:rFonts w:ascii="Times New Roman" w:hAnsi="Times New Roman"/>
          <w:color w:val="auto"/>
          <w:sz w:val="24"/>
          <w:szCs w:val="24"/>
        </w:rPr>
        <w:t>-</w:t>
      </w:r>
      <w:r w:rsidR="00DD05A3" w:rsidRPr="00465ED6">
        <w:rPr>
          <w:rFonts w:ascii="Times New Roman" w:hAnsi="Times New Roman"/>
          <w:color w:val="auto"/>
          <w:sz w:val="24"/>
          <w:szCs w:val="24"/>
        </w:rPr>
        <w:t xml:space="preserve"> ο κίνδυνος φτώχειας ή κοινωνικού αποκλεισμού μειώνεται </w:t>
      </w:r>
      <w:r w:rsidR="00DD05A3" w:rsidRPr="00465ED6">
        <w:rPr>
          <w:rFonts w:ascii="Times New Roman" w:hAnsi="Times New Roman"/>
          <w:color w:val="auto"/>
          <w:sz w:val="24"/>
          <w:szCs w:val="24"/>
        </w:rPr>
        <w:lastRenderedPageBreak/>
        <w:t>δραστικά μετά την ηλικία των 60 ετών</w:t>
      </w:r>
      <w:r w:rsidR="008F4267" w:rsidRPr="00465ED6">
        <w:rPr>
          <w:rStyle w:val="aa"/>
          <w:rFonts w:ascii="Times New Roman" w:hAnsi="Times New Roman"/>
          <w:color w:val="auto"/>
          <w:sz w:val="24"/>
          <w:szCs w:val="24"/>
        </w:rPr>
        <w:footnoteReference w:id="2"/>
      </w:r>
      <w:r w:rsidR="00DD05A3" w:rsidRPr="00465ED6">
        <w:rPr>
          <w:rFonts w:ascii="Times New Roman" w:hAnsi="Times New Roman"/>
          <w:color w:val="auto"/>
          <w:sz w:val="24"/>
          <w:szCs w:val="24"/>
        </w:rPr>
        <w:t xml:space="preserve">. </w:t>
      </w:r>
      <w:r w:rsidR="001468A8" w:rsidRPr="00465ED6">
        <w:rPr>
          <w:rFonts w:ascii="Times New Roman" w:hAnsi="Times New Roman"/>
          <w:color w:val="auto"/>
          <w:sz w:val="24"/>
          <w:szCs w:val="24"/>
        </w:rPr>
        <w:t xml:space="preserve"> </w:t>
      </w:r>
      <w:r w:rsidR="002F5532" w:rsidRPr="00465ED6">
        <w:rPr>
          <w:rFonts w:ascii="Times New Roman" w:hAnsi="Times New Roman"/>
          <w:color w:val="auto"/>
          <w:sz w:val="24"/>
          <w:szCs w:val="24"/>
        </w:rPr>
        <w:t>Συνεπώς, ένα γενικό ποσοστό του δείκτη συσκοτίζει την πραγματική εικόνα της φτώχειας</w:t>
      </w:r>
      <w:r w:rsidR="00A1326E" w:rsidRPr="00465ED6">
        <w:rPr>
          <w:rFonts w:ascii="Times New Roman" w:hAnsi="Times New Roman"/>
          <w:color w:val="auto"/>
          <w:sz w:val="24"/>
          <w:szCs w:val="24"/>
        </w:rPr>
        <w:t xml:space="preserve"> και του αποκλεισμού </w:t>
      </w:r>
      <w:r w:rsidR="002F5532" w:rsidRPr="00465ED6">
        <w:rPr>
          <w:rFonts w:ascii="Times New Roman" w:hAnsi="Times New Roman"/>
          <w:color w:val="auto"/>
          <w:sz w:val="24"/>
          <w:szCs w:val="24"/>
        </w:rPr>
        <w:t>στην κοινωνική κατηγορία των ατόμων με αναπηρία.</w:t>
      </w:r>
    </w:p>
    <w:p w:rsidR="002149DC" w:rsidRPr="00465ED6" w:rsidRDefault="00B05F56" w:rsidP="00DD05A3">
      <w:pPr>
        <w:rPr>
          <w:rFonts w:ascii="Times New Roman" w:hAnsi="Times New Roman"/>
          <w:color w:val="auto"/>
          <w:sz w:val="24"/>
          <w:szCs w:val="24"/>
        </w:rPr>
      </w:pPr>
      <w:r w:rsidRPr="00465ED6">
        <w:rPr>
          <w:rFonts w:ascii="Times New Roman" w:hAnsi="Times New Roman"/>
          <w:color w:val="auto"/>
          <w:sz w:val="24"/>
          <w:szCs w:val="24"/>
        </w:rPr>
        <w:t>Η</w:t>
      </w:r>
      <w:r w:rsidR="009E565D" w:rsidRPr="00465ED6">
        <w:rPr>
          <w:rFonts w:ascii="Times New Roman" w:hAnsi="Times New Roman"/>
          <w:color w:val="auto"/>
          <w:sz w:val="24"/>
          <w:szCs w:val="24"/>
        </w:rPr>
        <w:t xml:space="preserve"> τιμή του </w:t>
      </w:r>
      <w:r w:rsidR="00976B19" w:rsidRPr="00465ED6">
        <w:rPr>
          <w:rFonts w:ascii="Times New Roman" w:hAnsi="Times New Roman"/>
          <w:color w:val="auto"/>
          <w:sz w:val="24"/>
          <w:szCs w:val="24"/>
        </w:rPr>
        <w:t xml:space="preserve">σύνθετου </w:t>
      </w:r>
      <w:r w:rsidR="009E565D" w:rsidRPr="00465ED6">
        <w:rPr>
          <w:rFonts w:ascii="Times New Roman" w:hAnsi="Times New Roman"/>
          <w:color w:val="auto"/>
          <w:sz w:val="24"/>
          <w:szCs w:val="24"/>
        </w:rPr>
        <w:t xml:space="preserve">δείκτη στο σύνολο των ατόμων με αναπηρία </w:t>
      </w:r>
      <w:r w:rsidR="00976B19" w:rsidRPr="00465ED6">
        <w:rPr>
          <w:rFonts w:ascii="Times New Roman" w:hAnsi="Times New Roman"/>
          <w:color w:val="auto"/>
          <w:sz w:val="24"/>
          <w:szCs w:val="24"/>
        </w:rPr>
        <w:t>(</w:t>
      </w:r>
      <w:r w:rsidR="009E565D" w:rsidRPr="00465ED6">
        <w:rPr>
          <w:rFonts w:ascii="Times New Roman" w:hAnsi="Times New Roman"/>
          <w:color w:val="auto"/>
          <w:sz w:val="24"/>
          <w:szCs w:val="24"/>
        </w:rPr>
        <w:t>16</w:t>
      </w:r>
      <w:r w:rsidR="00976B19" w:rsidRPr="00465ED6">
        <w:rPr>
          <w:rFonts w:ascii="Times New Roman" w:hAnsi="Times New Roman"/>
          <w:color w:val="auto"/>
          <w:sz w:val="24"/>
          <w:szCs w:val="24"/>
        </w:rPr>
        <w:t xml:space="preserve"> ετών και άνω)</w:t>
      </w:r>
      <w:r w:rsidR="009E565D" w:rsidRPr="00465ED6">
        <w:rPr>
          <w:rFonts w:ascii="Times New Roman" w:hAnsi="Times New Roman"/>
          <w:color w:val="auto"/>
          <w:sz w:val="24"/>
          <w:szCs w:val="24"/>
        </w:rPr>
        <w:t xml:space="preserve"> ανέρχεται στο </w:t>
      </w:r>
      <w:r w:rsidR="00EC1433" w:rsidRPr="00465ED6">
        <w:rPr>
          <w:rFonts w:ascii="Times New Roman" w:hAnsi="Times New Roman"/>
          <w:color w:val="auto"/>
          <w:sz w:val="24"/>
          <w:szCs w:val="24"/>
        </w:rPr>
        <w:t xml:space="preserve">35,6%, όντας </w:t>
      </w:r>
      <w:r w:rsidR="00657542" w:rsidRPr="00465ED6">
        <w:rPr>
          <w:rFonts w:ascii="Times New Roman" w:hAnsi="Times New Roman"/>
          <w:color w:val="auto"/>
          <w:sz w:val="24"/>
          <w:szCs w:val="24"/>
        </w:rPr>
        <w:t xml:space="preserve">μόνο </w:t>
      </w:r>
      <w:r w:rsidR="009E565D" w:rsidRPr="00465ED6">
        <w:rPr>
          <w:rFonts w:ascii="Times New Roman" w:hAnsi="Times New Roman"/>
          <w:color w:val="auto"/>
          <w:sz w:val="24"/>
          <w:szCs w:val="24"/>
        </w:rPr>
        <w:t>οριακά μεγαλύτερη από τη</w:t>
      </w:r>
      <w:r w:rsidR="00EC1433" w:rsidRPr="00465ED6">
        <w:rPr>
          <w:rFonts w:ascii="Times New Roman" w:hAnsi="Times New Roman"/>
          <w:color w:val="auto"/>
          <w:sz w:val="24"/>
          <w:szCs w:val="24"/>
        </w:rPr>
        <w:t xml:space="preserve"> αντίστοιχη</w:t>
      </w:r>
      <w:r w:rsidR="009E565D" w:rsidRPr="00465ED6">
        <w:rPr>
          <w:rFonts w:ascii="Times New Roman" w:hAnsi="Times New Roman"/>
          <w:color w:val="auto"/>
          <w:sz w:val="24"/>
          <w:szCs w:val="24"/>
        </w:rPr>
        <w:t xml:space="preserve"> τι</w:t>
      </w:r>
      <w:r w:rsidR="00E65389" w:rsidRPr="00465ED6">
        <w:rPr>
          <w:rFonts w:ascii="Times New Roman" w:hAnsi="Times New Roman"/>
          <w:color w:val="auto"/>
          <w:sz w:val="24"/>
          <w:szCs w:val="24"/>
        </w:rPr>
        <w:t>μή στον πληθυσμό χωρίς αναπηρία</w:t>
      </w:r>
      <w:r w:rsidR="009E565D" w:rsidRPr="00465ED6">
        <w:rPr>
          <w:rFonts w:ascii="Times New Roman" w:hAnsi="Times New Roman"/>
          <w:color w:val="auto"/>
          <w:sz w:val="24"/>
          <w:szCs w:val="24"/>
        </w:rPr>
        <w:t xml:space="preserve"> 35,3%. </w:t>
      </w:r>
    </w:p>
    <w:p w:rsidR="00A5211A" w:rsidRPr="00465ED6" w:rsidRDefault="00210891" w:rsidP="00961571">
      <w:pPr>
        <w:rPr>
          <w:rFonts w:ascii="Times New Roman" w:hAnsi="Times New Roman"/>
          <w:color w:val="auto"/>
          <w:sz w:val="24"/>
          <w:szCs w:val="24"/>
        </w:rPr>
      </w:pPr>
      <w:r w:rsidRPr="00465ED6">
        <w:rPr>
          <w:rFonts w:ascii="Times New Roman" w:hAnsi="Times New Roman"/>
          <w:color w:val="auto"/>
          <w:sz w:val="24"/>
          <w:szCs w:val="24"/>
        </w:rPr>
        <w:t xml:space="preserve">Εισάγοντας τη μεταβλητή της ηλικίας στην </w:t>
      </w:r>
      <w:r w:rsidR="006C2002" w:rsidRPr="00465ED6">
        <w:rPr>
          <w:rFonts w:ascii="Times New Roman" w:hAnsi="Times New Roman"/>
          <w:color w:val="auto"/>
          <w:sz w:val="24"/>
          <w:szCs w:val="24"/>
        </w:rPr>
        <w:t>εξέταση</w:t>
      </w:r>
      <w:r w:rsidRPr="00465ED6">
        <w:rPr>
          <w:rFonts w:ascii="Times New Roman" w:hAnsi="Times New Roman"/>
          <w:color w:val="auto"/>
          <w:sz w:val="24"/>
          <w:szCs w:val="24"/>
        </w:rPr>
        <w:t xml:space="preserve"> του δείκτη διαπιστώνουμε ότι </w:t>
      </w:r>
      <w:r w:rsidR="00D253C5" w:rsidRPr="00465ED6">
        <w:rPr>
          <w:rFonts w:ascii="Times New Roman" w:hAnsi="Times New Roman"/>
          <w:b/>
          <w:color w:val="auto"/>
          <w:sz w:val="24"/>
          <w:szCs w:val="24"/>
        </w:rPr>
        <w:t xml:space="preserve">σε όλες τις ηλικιακές ομάδες ο κίνδυνος φτώχειας ή αποκλεισμού είναι μεγαλύτερος για τα άτομα με αναπηρία </w:t>
      </w:r>
      <w:r w:rsidR="00D253C5" w:rsidRPr="00465ED6">
        <w:rPr>
          <w:rFonts w:ascii="Times New Roman" w:hAnsi="Times New Roman"/>
          <w:color w:val="auto"/>
          <w:sz w:val="24"/>
          <w:szCs w:val="24"/>
        </w:rPr>
        <w:t>σε σύγκριση με τον πληθυσμό χωρίς κανέναν περιορισμό</w:t>
      </w:r>
      <w:r w:rsidR="00F65EF0" w:rsidRPr="00465ED6">
        <w:rPr>
          <w:rFonts w:ascii="Times New Roman" w:hAnsi="Times New Roman"/>
          <w:color w:val="auto"/>
          <w:sz w:val="24"/>
          <w:szCs w:val="24"/>
        </w:rPr>
        <w:t>,</w:t>
      </w:r>
      <w:r w:rsidR="00D253C5" w:rsidRPr="00465ED6">
        <w:rPr>
          <w:rFonts w:ascii="Times New Roman" w:hAnsi="Times New Roman"/>
          <w:color w:val="auto"/>
          <w:sz w:val="24"/>
          <w:szCs w:val="24"/>
        </w:rPr>
        <w:t xml:space="preserve"> και </w:t>
      </w:r>
      <w:r w:rsidR="006C2002" w:rsidRPr="00465ED6">
        <w:rPr>
          <w:rFonts w:ascii="Times New Roman" w:hAnsi="Times New Roman"/>
          <w:color w:val="auto"/>
          <w:sz w:val="24"/>
          <w:szCs w:val="24"/>
        </w:rPr>
        <w:t xml:space="preserve">επίσης ότι </w:t>
      </w:r>
      <w:r w:rsidR="00D253C5" w:rsidRPr="00465ED6">
        <w:rPr>
          <w:rFonts w:ascii="Times New Roman" w:hAnsi="Times New Roman"/>
          <w:b/>
          <w:color w:val="auto"/>
          <w:sz w:val="24"/>
          <w:szCs w:val="24"/>
        </w:rPr>
        <w:t>η εν λόγω διαφορά λαμβάνει τρομακτικές διαστάσεις στις ηλικίες</w:t>
      </w:r>
      <w:r w:rsidR="00970CD3" w:rsidRPr="00465ED6">
        <w:rPr>
          <w:rFonts w:ascii="Times New Roman" w:hAnsi="Times New Roman"/>
          <w:b/>
          <w:color w:val="auto"/>
          <w:sz w:val="24"/>
          <w:szCs w:val="24"/>
        </w:rPr>
        <w:t xml:space="preserve"> </w:t>
      </w:r>
      <w:r w:rsidR="00EE4AF5" w:rsidRPr="00465ED6">
        <w:rPr>
          <w:rFonts w:ascii="Times New Roman" w:hAnsi="Times New Roman"/>
          <w:b/>
          <w:color w:val="auto"/>
          <w:sz w:val="24"/>
          <w:szCs w:val="24"/>
        </w:rPr>
        <w:t>έως 54 ετών</w:t>
      </w:r>
      <w:r w:rsidR="001F1819" w:rsidRPr="00465ED6">
        <w:rPr>
          <w:rFonts w:ascii="Times New Roman" w:hAnsi="Times New Roman"/>
          <w:b/>
          <w:color w:val="auto"/>
          <w:sz w:val="24"/>
          <w:szCs w:val="24"/>
        </w:rPr>
        <w:t xml:space="preserve"> </w:t>
      </w:r>
      <w:r w:rsidR="001F1819" w:rsidRPr="00465ED6">
        <w:rPr>
          <w:rFonts w:ascii="Times New Roman" w:hAnsi="Times New Roman"/>
          <w:color w:val="auto"/>
          <w:sz w:val="24"/>
          <w:szCs w:val="24"/>
        </w:rPr>
        <w:t>(της</w:t>
      </w:r>
      <w:r w:rsidR="001F1819" w:rsidRPr="00465ED6">
        <w:rPr>
          <w:rFonts w:ascii="Times New Roman" w:hAnsi="Times New Roman"/>
          <w:b/>
          <w:color w:val="auto"/>
          <w:sz w:val="24"/>
          <w:szCs w:val="24"/>
        </w:rPr>
        <w:t xml:space="preserve"> </w:t>
      </w:r>
      <w:r w:rsidR="00F65EF0" w:rsidRPr="00465ED6">
        <w:rPr>
          <w:rFonts w:ascii="Times New Roman" w:hAnsi="Times New Roman"/>
          <w:color w:val="auto"/>
          <w:sz w:val="24"/>
          <w:szCs w:val="24"/>
        </w:rPr>
        <w:t>τάξ</w:t>
      </w:r>
      <w:r w:rsidR="001F1819" w:rsidRPr="00465ED6">
        <w:rPr>
          <w:rFonts w:ascii="Times New Roman" w:hAnsi="Times New Roman"/>
          <w:color w:val="auto"/>
          <w:sz w:val="24"/>
          <w:szCs w:val="24"/>
        </w:rPr>
        <w:t xml:space="preserve">εως των 20 ποσοστιαίων μονάδων </w:t>
      </w:r>
      <w:r w:rsidR="00F65EF0" w:rsidRPr="00465ED6">
        <w:rPr>
          <w:rFonts w:ascii="Times New Roman" w:hAnsi="Times New Roman"/>
          <w:color w:val="auto"/>
          <w:sz w:val="24"/>
          <w:szCs w:val="24"/>
        </w:rPr>
        <w:t xml:space="preserve">με εξαίρεση την ομάδα 20-24). </w:t>
      </w:r>
      <w:r w:rsidR="006826F9" w:rsidRPr="00465ED6">
        <w:rPr>
          <w:rFonts w:ascii="Times New Roman" w:hAnsi="Times New Roman"/>
          <w:color w:val="auto"/>
          <w:sz w:val="24"/>
          <w:szCs w:val="24"/>
        </w:rPr>
        <w:t xml:space="preserve">Παρατηρούμε δηλαδή </w:t>
      </w:r>
      <w:r w:rsidR="00C33695" w:rsidRPr="00465ED6">
        <w:rPr>
          <w:rFonts w:ascii="Times New Roman" w:hAnsi="Times New Roman"/>
          <w:color w:val="auto"/>
          <w:sz w:val="24"/>
          <w:szCs w:val="24"/>
        </w:rPr>
        <w:t xml:space="preserve">κάτι </w:t>
      </w:r>
      <w:r w:rsidR="006826F9" w:rsidRPr="00465ED6">
        <w:rPr>
          <w:rFonts w:ascii="Times New Roman" w:hAnsi="Times New Roman"/>
          <w:color w:val="auto"/>
          <w:sz w:val="24"/>
          <w:szCs w:val="24"/>
        </w:rPr>
        <w:t>φαινομενικά παράδοξο</w:t>
      </w:r>
      <w:r w:rsidR="006C2002" w:rsidRPr="00465ED6">
        <w:rPr>
          <w:rFonts w:ascii="Times New Roman" w:hAnsi="Times New Roman"/>
          <w:color w:val="auto"/>
          <w:sz w:val="24"/>
          <w:szCs w:val="24"/>
        </w:rPr>
        <w:t>,</w:t>
      </w:r>
      <w:r w:rsidR="006826F9" w:rsidRPr="00465ED6">
        <w:rPr>
          <w:rFonts w:ascii="Times New Roman" w:hAnsi="Times New Roman"/>
          <w:color w:val="auto"/>
          <w:sz w:val="24"/>
          <w:szCs w:val="24"/>
        </w:rPr>
        <w:t xml:space="preserve"> </w:t>
      </w:r>
      <w:r w:rsidR="00A5211A" w:rsidRPr="00465ED6">
        <w:rPr>
          <w:rFonts w:ascii="Times New Roman" w:hAnsi="Times New Roman"/>
          <w:color w:val="auto"/>
          <w:sz w:val="24"/>
          <w:szCs w:val="24"/>
        </w:rPr>
        <w:t>ότι</w:t>
      </w:r>
      <w:r w:rsidR="00C33695" w:rsidRPr="00465ED6">
        <w:rPr>
          <w:rFonts w:ascii="Times New Roman" w:hAnsi="Times New Roman"/>
          <w:color w:val="auto"/>
          <w:sz w:val="24"/>
          <w:szCs w:val="24"/>
        </w:rPr>
        <w:t xml:space="preserve"> η </w:t>
      </w:r>
      <w:r w:rsidR="006C2002" w:rsidRPr="00465ED6">
        <w:rPr>
          <w:rFonts w:ascii="Times New Roman" w:hAnsi="Times New Roman"/>
          <w:color w:val="auto"/>
          <w:sz w:val="24"/>
          <w:szCs w:val="24"/>
        </w:rPr>
        <w:t>σοβαρή</w:t>
      </w:r>
      <w:r w:rsidR="00C33695" w:rsidRPr="00465ED6">
        <w:rPr>
          <w:rFonts w:ascii="Times New Roman" w:hAnsi="Times New Roman"/>
          <w:color w:val="auto"/>
          <w:sz w:val="24"/>
          <w:szCs w:val="24"/>
        </w:rPr>
        <w:t xml:space="preserve"> ανισότητα που διαπιστώνεται εις βάρος του πληθυσμού με αναπηρία σε όρους φτώχειας και αποκλεισμού δεν αποτυπώνεται στο γενικό ποσοστό</w:t>
      </w:r>
      <w:r w:rsidR="001F1819" w:rsidRPr="00465ED6">
        <w:rPr>
          <w:rFonts w:ascii="Times New Roman" w:hAnsi="Times New Roman"/>
          <w:color w:val="auto"/>
          <w:sz w:val="24"/>
          <w:szCs w:val="24"/>
        </w:rPr>
        <w:t xml:space="preserve"> του δείκτη,</w:t>
      </w:r>
      <w:r w:rsidR="00C33695" w:rsidRPr="00465ED6">
        <w:rPr>
          <w:rFonts w:ascii="Times New Roman" w:hAnsi="Times New Roman"/>
          <w:color w:val="auto"/>
          <w:sz w:val="24"/>
          <w:szCs w:val="24"/>
        </w:rPr>
        <w:t xml:space="preserve"> λόγω της </w:t>
      </w:r>
      <w:r w:rsidR="0034773B" w:rsidRPr="00465ED6">
        <w:rPr>
          <w:rFonts w:ascii="Times New Roman" w:hAnsi="Times New Roman"/>
          <w:color w:val="auto"/>
        </w:rPr>
        <w:t>υπερ</w:t>
      </w:r>
      <w:r w:rsidR="00C75550" w:rsidRPr="00465ED6">
        <w:rPr>
          <w:rFonts w:ascii="Times New Roman" w:hAnsi="Times New Roman"/>
          <w:color w:val="auto"/>
        </w:rPr>
        <w:t xml:space="preserve">- </w:t>
      </w:r>
      <w:r w:rsidR="0034773B" w:rsidRPr="00465ED6">
        <w:rPr>
          <w:rFonts w:ascii="Times New Roman" w:hAnsi="Times New Roman"/>
          <w:color w:val="auto"/>
        </w:rPr>
        <w:t>εκπροσώπησης</w:t>
      </w:r>
      <w:r w:rsidR="00C33695" w:rsidRPr="00465ED6">
        <w:rPr>
          <w:rFonts w:ascii="Times New Roman" w:hAnsi="Times New Roman"/>
          <w:color w:val="auto"/>
          <w:sz w:val="24"/>
          <w:szCs w:val="24"/>
        </w:rPr>
        <w:t xml:space="preserve"> σε αυτό των μεγαλύτερων σε ηλικία ατόμων, παρότι</w:t>
      </w:r>
      <w:r w:rsidR="001E364E" w:rsidRPr="00465ED6">
        <w:rPr>
          <w:rFonts w:ascii="Times New Roman" w:hAnsi="Times New Roman"/>
          <w:color w:val="auto"/>
          <w:sz w:val="24"/>
          <w:szCs w:val="24"/>
        </w:rPr>
        <w:t xml:space="preserve"> δε</w:t>
      </w:r>
      <w:r w:rsidR="00C33695" w:rsidRPr="00465ED6">
        <w:rPr>
          <w:rFonts w:ascii="Times New Roman" w:hAnsi="Times New Roman"/>
          <w:color w:val="auto"/>
          <w:sz w:val="24"/>
          <w:szCs w:val="24"/>
        </w:rPr>
        <w:t xml:space="preserve"> και σε αυτές τις </w:t>
      </w:r>
      <w:r w:rsidR="001E364E" w:rsidRPr="00465ED6">
        <w:rPr>
          <w:rFonts w:ascii="Times New Roman" w:hAnsi="Times New Roman"/>
          <w:color w:val="auto"/>
          <w:sz w:val="24"/>
          <w:szCs w:val="24"/>
        </w:rPr>
        <w:t xml:space="preserve">ηλικιακές </w:t>
      </w:r>
      <w:r w:rsidR="00C33695" w:rsidRPr="00465ED6">
        <w:rPr>
          <w:rFonts w:ascii="Times New Roman" w:hAnsi="Times New Roman"/>
          <w:color w:val="auto"/>
          <w:sz w:val="24"/>
          <w:szCs w:val="24"/>
        </w:rPr>
        <w:t xml:space="preserve">ομάδες </w:t>
      </w:r>
      <w:r w:rsidR="001E364E" w:rsidRPr="00465ED6">
        <w:rPr>
          <w:rFonts w:ascii="Times New Roman" w:hAnsi="Times New Roman"/>
          <w:color w:val="auto"/>
          <w:sz w:val="24"/>
          <w:szCs w:val="24"/>
        </w:rPr>
        <w:t xml:space="preserve">βρέθηκε ότι ο </w:t>
      </w:r>
      <w:r w:rsidR="0034773B" w:rsidRPr="00465ED6">
        <w:rPr>
          <w:rFonts w:ascii="Times New Roman" w:hAnsi="Times New Roman"/>
          <w:color w:val="auto"/>
          <w:sz w:val="24"/>
          <w:szCs w:val="24"/>
        </w:rPr>
        <w:t xml:space="preserve">εν λόγω δείκτης </w:t>
      </w:r>
      <w:r w:rsidR="001E364E" w:rsidRPr="00465ED6">
        <w:rPr>
          <w:rFonts w:ascii="Times New Roman" w:hAnsi="Times New Roman"/>
          <w:color w:val="auto"/>
          <w:sz w:val="24"/>
          <w:szCs w:val="24"/>
        </w:rPr>
        <w:t>είναι υψηλότερο</w:t>
      </w:r>
      <w:r w:rsidR="00A813ED" w:rsidRPr="00465ED6">
        <w:rPr>
          <w:rFonts w:ascii="Times New Roman" w:hAnsi="Times New Roman"/>
          <w:color w:val="auto"/>
          <w:sz w:val="24"/>
          <w:szCs w:val="24"/>
        </w:rPr>
        <w:t>ς</w:t>
      </w:r>
      <w:r w:rsidR="001E364E" w:rsidRPr="00465ED6">
        <w:rPr>
          <w:rFonts w:ascii="Times New Roman" w:hAnsi="Times New Roman"/>
          <w:color w:val="auto"/>
          <w:sz w:val="24"/>
          <w:szCs w:val="24"/>
        </w:rPr>
        <w:t xml:space="preserve"> </w:t>
      </w:r>
      <w:r w:rsidR="00A5211A" w:rsidRPr="00465ED6">
        <w:rPr>
          <w:rFonts w:ascii="Times New Roman" w:hAnsi="Times New Roman"/>
          <w:color w:val="auto"/>
          <w:sz w:val="24"/>
          <w:szCs w:val="24"/>
        </w:rPr>
        <w:t>(</w:t>
      </w:r>
      <w:r w:rsidR="001E364E" w:rsidRPr="00465ED6">
        <w:rPr>
          <w:rFonts w:ascii="Times New Roman" w:hAnsi="Times New Roman"/>
          <w:color w:val="auto"/>
          <w:sz w:val="24"/>
          <w:szCs w:val="24"/>
        </w:rPr>
        <w:t>συγκριτικά με τα άτομα χωρίς κανέναν περιορισμό δραστηριότητα</w:t>
      </w:r>
      <w:r w:rsidR="00A813ED" w:rsidRPr="00465ED6">
        <w:rPr>
          <w:rFonts w:ascii="Times New Roman" w:hAnsi="Times New Roman"/>
          <w:color w:val="auto"/>
          <w:sz w:val="24"/>
          <w:szCs w:val="24"/>
        </w:rPr>
        <w:t>ς</w:t>
      </w:r>
      <w:r w:rsidR="00A5211A" w:rsidRPr="00465ED6">
        <w:rPr>
          <w:rFonts w:ascii="Times New Roman" w:hAnsi="Times New Roman"/>
          <w:color w:val="auto"/>
          <w:sz w:val="24"/>
          <w:szCs w:val="24"/>
        </w:rPr>
        <w:t>)</w:t>
      </w:r>
      <w:r w:rsidR="001E364E" w:rsidRPr="00465ED6">
        <w:rPr>
          <w:rFonts w:ascii="Times New Roman" w:hAnsi="Times New Roman"/>
          <w:color w:val="auto"/>
          <w:sz w:val="24"/>
          <w:szCs w:val="24"/>
        </w:rPr>
        <w:t xml:space="preserve">. </w:t>
      </w:r>
    </w:p>
    <w:p w:rsidR="00657542" w:rsidRPr="00465ED6" w:rsidRDefault="00B05F56" w:rsidP="00961571">
      <w:pPr>
        <w:rPr>
          <w:rFonts w:ascii="Times New Roman" w:hAnsi="Times New Roman"/>
          <w:b/>
          <w:color w:val="auto"/>
          <w:sz w:val="24"/>
          <w:szCs w:val="24"/>
        </w:rPr>
      </w:pPr>
      <w:r w:rsidRPr="00465ED6">
        <w:rPr>
          <w:rFonts w:ascii="Times New Roman" w:hAnsi="Times New Roman"/>
          <w:b/>
          <w:color w:val="auto"/>
          <w:sz w:val="24"/>
          <w:szCs w:val="24"/>
        </w:rPr>
        <w:t xml:space="preserve">Ειδικότερα, </w:t>
      </w:r>
      <w:r w:rsidR="00657542" w:rsidRPr="00465ED6">
        <w:rPr>
          <w:rFonts w:ascii="Times New Roman" w:hAnsi="Times New Roman"/>
          <w:b/>
          <w:color w:val="auto"/>
          <w:sz w:val="24"/>
          <w:szCs w:val="24"/>
        </w:rPr>
        <w:t xml:space="preserve"> σε κίνδυνο φτώχειας ή </w:t>
      </w:r>
      <w:r w:rsidR="0034773B" w:rsidRPr="00465ED6">
        <w:rPr>
          <w:rFonts w:ascii="Times New Roman" w:hAnsi="Times New Roman"/>
          <w:b/>
          <w:color w:val="auto"/>
          <w:sz w:val="24"/>
          <w:szCs w:val="24"/>
        </w:rPr>
        <w:t xml:space="preserve">σε κοινωνικό αποκλεισμό </w:t>
      </w:r>
      <w:r w:rsidR="00657542" w:rsidRPr="00465ED6">
        <w:rPr>
          <w:rFonts w:ascii="Times New Roman" w:hAnsi="Times New Roman"/>
          <w:b/>
          <w:color w:val="auto"/>
          <w:sz w:val="24"/>
          <w:szCs w:val="24"/>
        </w:rPr>
        <w:t xml:space="preserve">βρίσκεται: </w:t>
      </w:r>
    </w:p>
    <w:p w:rsidR="00657542" w:rsidRPr="00465ED6" w:rsidRDefault="00B05F56" w:rsidP="00C75550">
      <w:pPr>
        <w:pStyle w:val="a8"/>
        <w:numPr>
          <w:ilvl w:val="0"/>
          <w:numId w:val="27"/>
        </w:numPr>
        <w:rPr>
          <w:rFonts w:ascii="Times New Roman" w:hAnsi="Times New Roman"/>
          <w:b/>
          <w:color w:val="auto"/>
          <w:sz w:val="24"/>
          <w:szCs w:val="24"/>
        </w:rPr>
      </w:pPr>
      <w:r w:rsidRPr="00465ED6">
        <w:rPr>
          <w:rFonts w:ascii="Times New Roman" w:hAnsi="Times New Roman"/>
          <w:b/>
          <w:color w:val="auto"/>
          <w:sz w:val="24"/>
          <w:szCs w:val="24"/>
        </w:rPr>
        <w:t>Το 71,5% του πληθυσμού με αναπηρία 16-19 ετών (έναντι του 46,6% του πληθυσμού χωρίς αναπηρία)</w:t>
      </w:r>
    </w:p>
    <w:p w:rsidR="00657542" w:rsidRPr="00465ED6" w:rsidRDefault="00B05F56" w:rsidP="00C75550">
      <w:pPr>
        <w:pStyle w:val="a8"/>
        <w:numPr>
          <w:ilvl w:val="0"/>
          <w:numId w:val="27"/>
        </w:numPr>
        <w:rPr>
          <w:rFonts w:ascii="Times New Roman" w:hAnsi="Times New Roman"/>
          <w:b/>
          <w:color w:val="auto"/>
          <w:sz w:val="24"/>
          <w:szCs w:val="24"/>
        </w:rPr>
      </w:pPr>
      <w:r w:rsidRPr="00465ED6">
        <w:rPr>
          <w:rFonts w:ascii="Times New Roman" w:hAnsi="Times New Roman"/>
          <w:b/>
          <w:color w:val="auto"/>
          <w:sz w:val="24"/>
          <w:szCs w:val="24"/>
        </w:rPr>
        <w:t>Το 57,6% του πληθυσμού με αναπηρία 20-24 ετών (έναντι του 49,1% του πληθυσμού χωρίς αναπηρία)</w:t>
      </w:r>
    </w:p>
    <w:p w:rsidR="00657542" w:rsidRPr="00465ED6" w:rsidRDefault="00B05F56" w:rsidP="00C75550">
      <w:pPr>
        <w:pStyle w:val="a8"/>
        <w:numPr>
          <w:ilvl w:val="0"/>
          <w:numId w:val="27"/>
        </w:numPr>
        <w:rPr>
          <w:rFonts w:ascii="Times New Roman" w:hAnsi="Times New Roman"/>
          <w:b/>
          <w:color w:val="auto"/>
          <w:sz w:val="24"/>
          <w:szCs w:val="24"/>
        </w:rPr>
      </w:pPr>
      <w:r w:rsidRPr="00465ED6">
        <w:rPr>
          <w:rFonts w:ascii="Times New Roman" w:hAnsi="Times New Roman"/>
          <w:b/>
          <w:color w:val="auto"/>
          <w:sz w:val="24"/>
          <w:szCs w:val="24"/>
        </w:rPr>
        <w:t>Το 63,5% του πληθυσμού με αναπηρία 25-29 ετών (έναντι του 44,7% του πληθυσμού χωρίς αναπηρία)</w:t>
      </w:r>
    </w:p>
    <w:p w:rsidR="00657542" w:rsidRPr="00465ED6" w:rsidRDefault="00B05F56" w:rsidP="00C75550">
      <w:pPr>
        <w:pStyle w:val="a8"/>
        <w:numPr>
          <w:ilvl w:val="0"/>
          <w:numId w:val="27"/>
        </w:numPr>
        <w:rPr>
          <w:rFonts w:ascii="Times New Roman" w:hAnsi="Times New Roman"/>
          <w:b/>
          <w:color w:val="auto"/>
          <w:sz w:val="24"/>
          <w:szCs w:val="24"/>
        </w:rPr>
      </w:pPr>
      <w:r w:rsidRPr="00465ED6">
        <w:rPr>
          <w:rFonts w:ascii="Times New Roman" w:hAnsi="Times New Roman"/>
          <w:b/>
          <w:color w:val="auto"/>
          <w:sz w:val="24"/>
          <w:szCs w:val="24"/>
        </w:rPr>
        <w:t>Το 54,2% του πληθυσμού με αναπηρία 30-34 ετών (έναντι του 32,5% του πληθυσμού χωρίς αναπηρία)</w:t>
      </w:r>
    </w:p>
    <w:p w:rsidR="00657542" w:rsidRPr="00465ED6" w:rsidRDefault="00B05F56" w:rsidP="00C75550">
      <w:pPr>
        <w:pStyle w:val="a8"/>
        <w:numPr>
          <w:ilvl w:val="0"/>
          <w:numId w:val="27"/>
        </w:numPr>
        <w:rPr>
          <w:rFonts w:ascii="Times New Roman" w:hAnsi="Times New Roman"/>
          <w:b/>
          <w:color w:val="auto"/>
          <w:sz w:val="24"/>
          <w:szCs w:val="24"/>
        </w:rPr>
      </w:pPr>
      <w:r w:rsidRPr="00465ED6">
        <w:rPr>
          <w:rFonts w:ascii="Times New Roman" w:hAnsi="Times New Roman"/>
          <w:b/>
          <w:color w:val="auto"/>
          <w:sz w:val="24"/>
          <w:szCs w:val="24"/>
        </w:rPr>
        <w:t>Το 52,7% του πληθυσμού με αναπηρία 35-39 ετών (έναντι του 31% του πληθυσμού χωρίς αναπηρία)</w:t>
      </w:r>
    </w:p>
    <w:p w:rsidR="00E10AB6" w:rsidRPr="00465ED6" w:rsidRDefault="00B05F56" w:rsidP="00C75550">
      <w:pPr>
        <w:pStyle w:val="a8"/>
        <w:numPr>
          <w:ilvl w:val="0"/>
          <w:numId w:val="27"/>
        </w:numPr>
        <w:rPr>
          <w:rFonts w:ascii="Times New Roman" w:hAnsi="Times New Roman"/>
          <w:b/>
          <w:color w:val="auto"/>
          <w:sz w:val="24"/>
          <w:szCs w:val="24"/>
        </w:rPr>
      </w:pPr>
      <w:r w:rsidRPr="00465ED6">
        <w:rPr>
          <w:rFonts w:ascii="Times New Roman" w:hAnsi="Times New Roman"/>
          <w:b/>
          <w:color w:val="auto"/>
          <w:sz w:val="24"/>
          <w:szCs w:val="24"/>
        </w:rPr>
        <w:t>Το 56,4% του πληθυσμού με αναπηρία 40-44 ετών (έναντι του 36,5% του πληθυσμού χωρίς αναπηρία)</w:t>
      </w:r>
      <w:r w:rsidR="00690A8B" w:rsidRPr="00465ED6">
        <w:rPr>
          <w:rFonts w:ascii="Times New Roman" w:hAnsi="Times New Roman"/>
          <w:b/>
          <w:color w:val="auto"/>
          <w:sz w:val="24"/>
          <w:szCs w:val="24"/>
        </w:rPr>
        <w:t>.</w:t>
      </w:r>
    </w:p>
    <w:p w:rsidR="000A00C8" w:rsidRPr="00465ED6" w:rsidRDefault="00B05F56" w:rsidP="00C75550">
      <w:pPr>
        <w:pStyle w:val="a8"/>
        <w:numPr>
          <w:ilvl w:val="0"/>
          <w:numId w:val="28"/>
        </w:numPr>
        <w:rPr>
          <w:rFonts w:ascii="Times New Roman" w:hAnsi="Times New Roman"/>
          <w:b/>
          <w:color w:val="auto"/>
          <w:sz w:val="24"/>
          <w:szCs w:val="24"/>
        </w:rPr>
      </w:pPr>
      <w:r w:rsidRPr="00465ED6">
        <w:rPr>
          <w:rFonts w:ascii="Times New Roman" w:hAnsi="Times New Roman"/>
          <w:b/>
          <w:color w:val="auto"/>
          <w:sz w:val="24"/>
          <w:szCs w:val="24"/>
        </w:rPr>
        <w:lastRenderedPageBreak/>
        <w:t>Το 53,9% του πληθυσμού με αναπηρία 45-49 ετών (έναντι του 35,2% του πληθυσμού χωρίς αναπηρία)</w:t>
      </w:r>
    </w:p>
    <w:p w:rsidR="002C6E09" w:rsidRPr="00465ED6" w:rsidRDefault="00B05F56" w:rsidP="00C75550">
      <w:pPr>
        <w:pStyle w:val="a8"/>
        <w:numPr>
          <w:ilvl w:val="0"/>
          <w:numId w:val="28"/>
        </w:numPr>
        <w:rPr>
          <w:rFonts w:ascii="Times New Roman" w:hAnsi="Times New Roman"/>
          <w:b/>
          <w:color w:val="auto"/>
          <w:sz w:val="24"/>
          <w:szCs w:val="24"/>
        </w:rPr>
      </w:pPr>
      <w:r w:rsidRPr="00465ED6">
        <w:rPr>
          <w:rFonts w:ascii="Times New Roman" w:hAnsi="Times New Roman"/>
          <w:b/>
          <w:color w:val="auto"/>
          <w:sz w:val="24"/>
          <w:szCs w:val="24"/>
        </w:rPr>
        <w:t>Το 58,1% του πληθυσμού με αναπηρία 50-54 ετών (έναντι του 38,4% του πληθυσμού χωρίς αναπηρία)</w:t>
      </w:r>
    </w:p>
    <w:p w:rsidR="002C6E09" w:rsidRPr="00465ED6" w:rsidRDefault="00B05F56" w:rsidP="00C75550">
      <w:pPr>
        <w:pStyle w:val="a8"/>
        <w:numPr>
          <w:ilvl w:val="0"/>
          <w:numId w:val="28"/>
        </w:numPr>
        <w:rPr>
          <w:rFonts w:ascii="Times New Roman" w:hAnsi="Times New Roman"/>
          <w:b/>
          <w:color w:val="auto"/>
          <w:sz w:val="24"/>
          <w:szCs w:val="24"/>
        </w:rPr>
      </w:pPr>
      <w:r w:rsidRPr="00465ED6">
        <w:rPr>
          <w:rFonts w:ascii="Times New Roman" w:hAnsi="Times New Roman"/>
          <w:b/>
          <w:color w:val="auto"/>
          <w:sz w:val="24"/>
          <w:szCs w:val="24"/>
        </w:rPr>
        <w:t>Το 58,7</w:t>
      </w:r>
      <w:r w:rsidR="002C6E09" w:rsidRPr="00465ED6">
        <w:rPr>
          <w:rFonts w:ascii="Times New Roman" w:hAnsi="Times New Roman"/>
          <w:b/>
          <w:color w:val="auto"/>
          <w:sz w:val="24"/>
          <w:szCs w:val="24"/>
        </w:rPr>
        <w:t>%</w:t>
      </w:r>
      <w:r w:rsidRPr="00465ED6">
        <w:rPr>
          <w:rFonts w:ascii="Times New Roman" w:hAnsi="Times New Roman"/>
          <w:b/>
          <w:color w:val="auto"/>
          <w:sz w:val="24"/>
          <w:szCs w:val="24"/>
        </w:rPr>
        <w:t xml:space="preserve"> του πληθυσμού με αναπηρία 55-59 ετών (έναντι του 47,3</w:t>
      </w:r>
      <w:r w:rsidR="002C6E09" w:rsidRPr="00465ED6">
        <w:rPr>
          <w:rFonts w:ascii="Times New Roman" w:hAnsi="Times New Roman"/>
          <w:b/>
          <w:color w:val="auto"/>
          <w:sz w:val="24"/>
          <w:szCs w:val="24"/>
        </w:rPr>
        <w:t>% του πληθυσμού χωρίς αναπηρία)</w:t>
      </w:r>
      <w:r w:rsidR="00126238" w:rsidRPr="00465ED6">
        <w:rPr>
          <w:rFonts w:ascii="Times New Roman" w:hAnsi="Times New Roman"/>
          <w:b/>
          <w:color w:val="auto"/>
          <w:sz w:val="24"/>
          <w:szCs w:val="24"/>
        </w:rPr>
        <w:t>.</w:t>
      </w:r>
    </w:p>
    <w:p w:rsidR="00126238" w:rsidRPr="00465ED6" w:rsidRDefault="00B05F56" w:rsidP="002C6E09">
      <w:pPr>
        <w:rPr>
          <w:rFonts w:ascii="Times New Roman" w:hAnsi="Times New Roman"/>
          <w:color w:val="auto"/>
          <w:sz w:val="24"/>
          <w:szCs w:val="24"/>
        </w:rPr>
      </w:pPr>
      <w:r w:rsidRPr="00465ED6">
        <w:rPr>
          <w:rFonts w:ascii="Times New Roman" w:hAnsi="Times New Roman"/>
          <w:color w:val="auto"/>
          <w:sz w:val="24"/>
          <w:szCs w:val="24"/>
        </w:rPr>
        <w:t>Αναλυτικά οι τιμές του δείκτη ανά ομάδα ηλικίας φαίνονται στο γράφημα που ακολουθεί.</w:t>
      </w:r>
    </w:p>
    <w:p w:rsidR="00720140" w:rsidRPr="00465ED6" w:rsidRDefault="00720140" w:rsidP="00720140">
      <w:pPr>
        <w:pStyle w:val="a3"/>
        <w:keepNext/>
        <w:rPr>
          <w:rFonts w:ascii="Times New Roman" w:hAnsi="Times New Roman"/>
          <w:color w:val="auto"/>
        </w:rPr>
      </w:pPr>
      <w:r w:rsidRPr="00465ED6">
        <w:rPr>
          <w:rFonts w:ascii="Times New Roman" w:hAnsi="Times New Roman"/>
          <w:color w:val="auto"/>
        </w:rPr>
        <w:t xml:space="preserve">Γράφημα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Γράφημα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3</w:t>
      </w:r>
      <w:r w:rsidR="00E33BFF" w:rsidRPr="00465ED6">
        <w:rPr>
          <w:rFonts w:ascii="Times New Roman" w:hAnsi="Times New Roman"/>
          <w:noProof/>
          <w:color w:val="auto"/>
        </w:rPr>
        <w:fldChar w:fldCharType="end"/>
      </w:r>
    </w:p>
    <w:p w:rsidR="006B60FC" w:rsidRPr="00465ED6" w:rsidRDefault="00475B2D" w:rsidP="006B60FC">
      <w:pPr>
        <w:keepNext/>
        <w:ind w:left="-426"/>
        <w:rPr>
          <w:rFonts w:ascii="Times New Roman" w:hAnsi="Times New Roman"/>
          <w:color w:val="auto"/>
        </w:rPr>
      </w:pPr>
      <w:r w:rsidRPr="00465ED6">
        <w:rPr>
          <w:rFonts w:ascii="Times New Roman" w:hAnsi="Times New Roman"/>
          <w:noProof/>
          <w:color w:val="auto"/>
        </w:rPr>
        <w:drawing>
          <wp:inline distT="0" distB="0" distL="0" distR="0">
            <wp:extent cx="5774174" cy="3332231"/>
            <wp:effectExtent l="0" t="0" r="17145" b="1905"/>
            <wp:docPr id="6" name="Γράφημα 11" title="γράφημα"/>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0140" w:rsidRPr="00465ED6" w:rsidRDefault="006B60FC" w:rsidP="006B60FC">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w:t>
      </w:r>
      <w:r w:rsidR="00690A8B" w:rsidRPr="00465ED6">
        <w:rPr>
          <w:rFonts w:ascii="Times New Roman" w:hAnsi="Times New Roman"/>
          <w:b w:val="0"/>
          <w:i/>
          <w:color w:val="auto"/>
          <w:sz w:val="18"/>
          <w:szCs w:val="18"/>
        </w:rPr>
        <w:t xml:space="preserve"> ΔΕΔΟΜΕΝΩΝ</w:t>
      </w:r>
      <w:r w:rsidRPr="00465ED6">
        <w:rPr>
          <w:rFonts w:ascii="Times New Roman" w:hAnsi="Times New Roman"/>
          <w:b w:val="0"/>
          <w:i/>
          <w:color w:val="auto"/>
          <w:sz w:val="18"/>
          <w:szCs w:val="18"/>
        </w:rPr>
        <w:t>: ΕΛΣΤΑΤ, Έρευνα Εισοδήματος και Συνθηκών Διαβίωσης 2016/ ΕΠΕΞΕΡΓΑΣΙΑ: Παρατηρητήριο Θεμάτων Αναπηρίας-Ε.Σ.Α.μεΑ.</w:t>
      </w:r>
    </w:p>
    <w:p w:rsidR="0008671E" w:rsidRPr="00465ED6" w:rsidRDefault="0008671E" w:rsidP="00961571">
      <w:pPr>
        <w:rPr>
          <w:rFonts w:ascii="Times New Roman" w:hAnsi="Times New Roman"/>
          <w:color w:val="auto"/>
          <w:sz w:val="24"/>
          <w:szCs w:val="24"/>
        </w:rPr>
      </w:pPr>
    </w:p>
    <w:p w:rsidR="00D253C5" w:rsidRPr="00465ED6" w:rsidRDefault="00B05F56" w:rsidP="00961571">
      <w:pPr>
        <w:rPr>
          <w:rFonts w:ascii="Times New Roman" w:hAnsi="Times New Roman"/>
          <w:color w:val="auto"/>
          <w:sz w:val="24"/>
          <w:szCs w:val="24"/>
        </w:rPr>
      </w:pPr>
      <w:r w:rsidRPr="00465ED6">
        <w:rPr>
          <w:rFonts w:ascii="Times New Roman" w:hAnsi="Times New Roman"/>
          <w:color w:val="auto"/>
          <w:sz w:val="24"/>
          <w:szCs w:val="24"/>
        </w:rPr>
        <w:t xml:space="preserve">Αν </w:t>
      </w:r>
      <w:r w:rsidR="00F937C0" w:rsidRPr="00465ED6">
        <w:rPr>
          <w:rFonts w:ascii="Times New Roman" w:hAnsi="Times New Roman"/>
          <w:color w:val="auto"/>
          <w:sz w:val="24"/>
          <w:szCs w:val="24"/>
        </w:rPr>
        <w:t xml:space="preserve">τώρα </w:t>
      </w:r>
      <w:r w:rsidRPr="00465ED6">
        <w:rPr>
          <w:rFonts w:ascii="Times New Roman" w:hAnsi="Times New Roman"/>
          <w:color w:val="auto"/>
          <w:sz w:val="24"/>
          <w:szCs w:val="24"/>
        </w:rPr>
        <w:t xml:space="preserve">ομαδοποιήσουμε τις παραγωγικές ηλικίες 16-64 και εξετάσουμε τον δείκτη ανά βαρύτητα αναπηρίας προκύπτει </w:t>
      </w:r>
      <w:r w:rsidR="002A20A4" w:rsidRPr="00465ED6">
        <w:rPr>
          <w:rFonts w:ascii="Times New Roman" w:hAnsi="Times New Roman"/>
          <w:color w:val="auto"/>
          <w:sz w:val="24"/>
          <w:szCs w:val="24"/>
        </w:rPr>
        <w:t>σημαντική διαφοροποίηση του κινδύνου φτώχειας ή κοινωνικού αποκλεισμού μεταξύ των ατόμων με σοβαρό, μέτριο και κανέναν περιορισμ</w:t>
      </w:r>
      <w:r w:rsidR="001238E6" w:rsidRPr="00465ED6">
        <w:rPr>
          <w:rFonts w:ascii="Times New Roman" w:hAnsi="Times New Roman"/>
          <w:color w:val="auto"/>
          <w:sz w:val="24"/>
          <w:szCs w:val="24"/>
        </w:rPr>
        <w:t>ό στη συνήθη δ</w:t>
      </w:r>
      <w:r w:rsidR="008610E0" w:rsidRPr="00465ED6">
        <w:rPr>
          <w:rFonts w:ascii="Times New Roman" w:hAnsi="Times New Roman"/>
          <w:color w:val="auto"/>
          <w:sz w:val="24"/>
          <w:szCs w:val="24"/>
        </w:rPr>
        <w:t>ραστηριότητα</w:t>
      </w:r>
      <w:r w:rsidR="001238E6" w:rsidRPr="00465ED6">
        <w:rPr>
          <w:rFonts w:ascii="Times New Roman" w:hAnsi="Times New Roman"/>
          <w:color w:val="auto"/>
          <w:sz w:val="24"/>
          <w:szCs w:val="24"/>
        </w:rPr>
        <w:t>.</w:t>
      </w:r>
    </w:p>
    <w:p w:rsidR="00961571" w:rsidRPr="00465ED6" w:rsidRDefault="00B05F56" w:rsidP="00961571">
      <w:pPr>
        <w:rPr>
          <w:rFonts w:ascii="Times New Roman" w:hAnsi="Times New Roman"/>
          <w:b/>
          <w:color w:val="auto"/>
          <w:sz w:val="24"/>
          <w:szCs w:val="24"/>
        </w:rPr>
      </w:pPr>
      <w:r w:rsidRPr="00465ED6">
        <w:rPr>
          <w:rFonts w:ascii="Times New Roman" w:hAnsi="Times New Roman"/>
          <w:b/>
          <w:color w:val="auto"/>
          <w:sz w:val="24"/>
          <w:szCs w:val="24"/>
        </w:rPr>
        <w:t>Σ</w:t>
      </w:r>
      <w:r w:rsidR="00961571" w:rsidRPr="00465ED6">
        <w:rPr>
          <w:rFonts w:ascii="Times New Roman" w:hAnsi="Times New Roman"/>
          <w:b/>
          <w:color w:val="auto"/>
          <w:sz w:val="24"/>
          <w:szCs w:val="24"/>
        </w:rPr>
        <w:t>το φάσμα της φτώχειας και του αποκλεισμού βρίσκονται οι 6 στους 10 πολίτες με σοβαρή αναπηρία και οι 5 στους 10 με μέτριο περιορισμό δραστηριότητας στις ηλικίες από 16 έως 64 ετών.</w:t>
      </w:r>
    </w:p>
    <w:p w:rsidR="00850555" w:rsidRPr="00465ED6" w:rsidRDefault="00850555" w:rsidP="00F3007E">
      <w:pPr>
        <w:rPr>
          <w:rFonts w:ascii="Times New Roman" w:hAnsi="Times New Roman"/>
          <w:b/>
          <w:color w:val="auto"/>
          <w:sz w:val="24"/>
          <w:szCs w:val="24"/>
        </w:rPr>
      </w:pPr>
    </w:p>
    <w:p w:rsidR="00681B6D" w:rsidRPr="00465ED6" w:rsidRDefault="00B05F56" w:rsidP="00681B6D">
      <w:pPr>
        <w:pStyle w:val="a3"/>
        <w:keepNext/>
        <w:rPr>
          <w:rFonts w:ascii="Times New Roman" w:hAnsi="Times New Roman"/>
          <w:color w:val="auto"/>
        </w:rPr>
      </w:pPr>
      <w:r w:rsidRPr="00465ED6">
        <w:rPr>
          <w:rFonts w:ascii="Times New Roman" w:hAnsi="Times New Roman"/>
          <w:color w:val="auto"/>
        </w:rPr>
        <w:lastRenderedPageBreak/>
        <w:t xml:space="preserve">Γράφημα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Γράφημα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4</w:t>
      </w:r>
      <w:r w:rsidR="00E33BFF" w:rsidRPr="00465ED6">
        <w:rPr>
          <w:rFonts w:ascii="Times New Roman" w:hAnsi="Times New Roman"/>
          <w:noProof/>
          <w:color w:val="auto"/>
        </w:rPr>
        <w:fldChar w:fldCharType="end"/>
      </w:r>
    </w:p>
    <w:p w:rsidR="00681B6D" w:rsidRPr="00465ED6" w:rsidRDefault="00475B2D" w:rsidP="00681B6D">
      <w:pPr>
        <w:keepNext/>
        <w:rPr>
          <w:rFonts w:ascii="Times New Roman" w:hAnsi="Times New Roman"/>
          <w:color w:val="auto"/>
        </w:rPr>
      </w:pPr>
      <w:r w:rsidRPr="00465ED6">
        <w:rPr>
          <w:rFonts w:ascii="Times New Roman" w:hAnsi="Times New Roman"/>
          <w:noProof/>
          <w:color w:val="auto"/>
        </w:rPr>
        <w:drawing>
          <wp:inline distT="0" distB="0" distL="0" distR="0">
            <wp:extent cx="4572000" cy="2743200"/>
            <wp:effectExtent l="0" t="0" r="0" b="0"/>
            <wp:docPr id="7" name="Γράφημα 8" title="γράφ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8"/>
                    <pic:cNvPicPr>
                      <a:picLocks noChangeAspect="1" noChangeArrowheads="1"/>
                    </pic:cNvPicPr>
                  </pic:nvPicPr>
                  <pic:blipFill>
                    <a:blip r:embed="rId13"/>
                    <a:srcRect/>
                    <a:stretch>
                      <a:fillRect/>
                    </a:stretch>
                  </pic:blipFill>
                  <pic:spPr bwMode="auto">
                    <a:xfrm>
                      <a:off x="0" y="0"/>
                      <a:ext cx="4572000" cy="2743200"/>
                    </a:xfrm>
                    <a:prstGeom prst="rect">
                      <a:avLst/>
                    </a:prstGeom>
                    <a:noFill/>
                    <a:ln w="9525">
                      <a:noFill/>
                      <a:miter lim="800000"/>
                      <a:headEnd/>
                      <a:tailEnd/>
                    </a:ln>
                  </pic:spPr>
                </pic:pic>
              </a:graphicData>
            </a:graphic>
          </wp:inline>
        </w:drawing>
      </w:r>
    </w:p>
    <w:p w:rsidR="00681B6D" w:rsidRPr="00465ED6" w:rsidRDefault="00B05F56" w:rsidP="00681B6D">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w:t>
      </w:r>
      <w:r w:rsidR="00A91413" w:rsidRPr="00465ED6">
        <w:rPr>
          <w:rFonts w:ascii="Times New Roman" w:hAnsi="Times New Roman"/>
          <w:b w:val="0"/>
          <w:i/>
          <w:color w:val="auto"/>
          <w:sz w:val="18"/>
          <w:szCs w:val="18"/>
        </w:rPr>
        <w:t xml:space="preserve"> ΔΕΔΟΜΕΝΩΝ</w:t>
      </w:r>
      <w:r w:rsidRPr="00465ED6">
        <w:rPr>
          <w:rFonts w:ascii="Times New Roman" w:hAnsi="Times New Roman"/>
          <w:b w:val="0"/>
          <w:i/>
          <w:color w:val="auto"/>
          <w:sz w:val="18"/>
          <w:szCs w:val="18"/>
        </w:rPr>
        <w:t>: ΕΛΣΤΑΤ, Έρευνα Εισοδήματος και Συνθηκών Διαβίωσης 2016/ ΕΠΕΞΕΡΓΑΣΙΑ: Παρατηρητήριο Θεμάτων Αναπηρίας-Ε.Σ.Α.μεΑ.</w:t>
      </w:r>
    </w:p>
    <w:p w:rsidR="006774EA" w:rsidRPr="00465ED6" w:rsidRDefault="00B55744" w:rsidP="00465ED6">
      <w:pPr>
        <w:pStyle w:val="af1"/>
        <w:rPr>
          <w:rFonts w:ascii="Times New Roman" w:hAnsi="Times New Roman" w:cs="Times New Roman"/>
          <w:b/>
          <w:color w:val="auto"/>
        </w:rPr>
      </w:pPr>
      <w:r w:rsidRPr="00465ED6">
        <w:rPr>
          <w:rFonts w:ascii="Times New Roman" w:hAnsi="Times New Roman" w:cs="Times New Roman"/>
          <w:b/>
          <w:color w:val="auto"/>
        </w:rPr>
        <w:t>Β2. Υπο</w:t>
      </w:r>
      <w:r w:rsidR="003E6D53" w:rsidRPr="00465ED6">
        <w:rPr>
          <w:rFonts w:ascii="Times New Roman" w:hAnsi="Times New Roman" w:cs="Times New Roman"/>
          <w:b/>
          <w:color w:val="auto"/>
        </w:rPr>
        <w:t>-</w:t>
      </w:r>
      <w:r w:rsidRPr="00465ED6">
        <w:rPr>
          <w:rFonts w:ascii="Times New Roman" w:hAnsi="Times New Roman" w:cs="Times New Roman"/>
          <w:b/>
          <w:color w:val="auto"/>
        </w:rPr>
        <w:t>δείκτες</w:t>
      </w:r>
    </w:p>
    <w:p w:rsidR="00681B6D" w:rsidRPr="00465ED6" w:rsidRDefault="00B55744" w:rsidP="00465ED6">
      <w:pPr>
        <w:pStyle w:val="af1"/>
        <w:rPr>
          <w:rFonts w:ascii="Times New Roman" w:hAnsi="Times New Roman" w:cs="Times New Roman"/>
          <w:b/>
          <w:color w:val="auto"/>
          <w:u w:val="single"/>
        </w:rPr>
      </w:pPr>
      <w:r w:rsidRPr="00465ED6">
        <w:rPr>
          <w:rFonts w:ascii="Times New Roman" w:hAnsi="Times New Roman" w:cs="Times New Roman"/>
          <w:b/>
          <w:color w:val="auto"/>
          <w:u w:val="single"/>
        </w:rPr>
        <w:t>Β2.1 «</w:t>
      </w:r>
      <w:r w:rsidR="00B05F56" w:rsidRPr="00465ED6">
        <w:rPr>
          <w:rFonts w:ascii="Times New Roman" w:hAnsi="Times New Roman" w:cs="Times New Roman"/>
          <w:b/>
          <w:color w:val="auto"/>
          <w:u w:val="single"/>
        </w:rPr>
        <w:t>Δείκτης κινδύνου φτώχειας</w:t>
      </w:r>
      <w:r w:rsidRPr="00465ED6">
        <w:rPr>
          <w:rFonts w:ascii="Times New Roman" w:hAnsi="Times New Roman" w:cs="Times New Roman"/>
          <w:b/>
          <w:color w:val="auto"/>
          <w:u w:val="single"/>
        </w:rPr>
        <w:t>»</w:t>
      </w:r>
      <w:r w:rsidR="00B05F56" w:rsidRPr="00465ED6">
        <w:rPr>
          <w:rFonts w:ascii="Times New Roman" w:hAnsi="Times New Roman" w:cs="Times New Roman"/>
          <w:b/>
          <w:color w:val="auto"/>
          <w:u w:val="single"/>
        </w:rPr>
        <w:t xml:space="preserve"> και κοινωνικές μεταβιβάσεις</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Ως κίνδυνος φτώχειας (Poverty Risk)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 (βλ. παράρτημα ορισμών). </w:t>
      </w:r>
      <w:r w:rsidR="008610E0" w:rsidRPr="00465ED6">
        <w:rPr>
          <w:rFonts w:ascii="Times New Roman" w:hAnsi="Times New Roman"/>
          <w:color w:val="auto"/>
          <w:sz w:val="24"/>
          <w:szCs w:val="24"/>
        </w:rPr>
        <w:t xml:space="preserve">Για το έτος </w:t>
      </w:r>
      <w:r w:rsidR="00052FE6" w:rsidRPr="00465ED6">
        <w:rPr>
          <w:rFonts w:ascii="Times New Roman" w:hAnsi="Times New Roman"/>
          <w:color w:val="auto"/>
          <w:sz w:val="24"/>
          <w:szCs w:val="24"/>
        </w:rPr>
        <w:t xml:space="preserve">2015 που είναι το έτος αναφοράς για τις εισοδηματικές μεταβλητές της έρευνας, </w:t>
      </w:r>
      <w:r w:rsidR="008610E0" w:rsidRPr="00465ED6">
        <w:rPr>
          <w:rFonts w:ascii="Times New Roman" w:hAnsi="Times New Roman"/>
          <w:color w:val="auto"/>
          <w:sz w:val="24"/>
          <w:szCs w:val="24"/>
        </w:rPr>
        <w:t xml:space="preserve">το εθνικό διάμεσο ισοδύναμο εισόδημα ορίστηκε στα </w:t>
      </w:r>
      <w:r w:rsidR="00052FE6" w:rsidRPr="00465ED6">
        <w:rPr>
          <w:rFonts w:ascii="Times New Roman" w:hAnsi="Times New Roman"/>
          <w:color w:val="auto"/>
          <w:sz w:val="24"/>
          <w:szCs w:val="24"/>
        </w:rPr>
        <w:t xml:space="preserve">7.500 ευρώ </w:t>
      </w:r>
      <w:r w:rsidR="008610E0" w:rsidRPr="00465ED6">
        <w:rPr>
          <w:rFonts w:ascii="Times New Roman" w:hAnsi="Times New Roman"/>
          <w:color w:val="auto"/>
          <w:sz w:val="24"/>
          <w:szCs w:val="24"/>
        </w:rPr>
        <w:t xml:space="preserve">και το κατώφλι της φτώχειας </w:t>
      </w:r>
      <w:r w:rsidR="005764C4" w:rsidRPr="00465ED6">
        <w:rPr>
          <w:rFonts w:ascii="Times New Roman" w:hAnsi="Times New Roman"/>
          <w:color w:val="auto"/>
          <w:sz w:val="24"/>
          <w:szCs w:val="24"/>
        </w:rPr>
        <w:t xml:space="preserve">ανά άτομο </w:t>
      </w:r>
      <w:r w:rsidR="008610E0" w:rsidRPr="00465ED6">
        <w:rPr>
          <w:rFonts w:ascii="Times New Roman" w:hAnsi="Times New Roman"/>
          <w:color w:val="auto"/>
          <w:sz w:val="24"/>
          <w:szCs w:val="24"/>
        </w:rPr>
        <w:t>στα</w:t>
      </w:r>
      <w:r w:rsidR="005764C4" w:rsidRPr="00465ED6">
        <w:rPr>
          <w:rFonts w:ascii="Times New Roman" w:hAnsi="Times New Roman"/>
          <w:color w:val="auto"/>
          <w:sz w:val="24"/>
          <w:szCs w:val="24"/>
        </w:rPr>
        <w:t xml:space="preserve"> 4.500 ευρώ.</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Ο εν λόγω δείκτης μετράει </w:t>
      </w:r>
      <w:r w:rsidR="00530949" w:rsidRPr="00465ED6">
        <w:rPr>
          <w:rFonts w:ascii="Times New Roman" w:hAnsi="Times New Roman"/>
          <w:color w:val="auto"/>
          <w:sz w:val="24"/>
          <w:szCs w:val="24"/>
        </w:rPr>
        <w:t xml:space="preserve">τη </w:t>
      </w:r>
      <w:r w:rsidRPr="00465ED6">
        <w:rPr>
          <w:rFonts w:ascii="Times New Roman" w:hAnsi="Times New Roman"/>
          <w:color w:val="auto"/>
          <w:sz w:val="24"/>
          <w:szCs w:val="24"/>
        </w:rPr>
        <w:t xml:space="preserve">σχετική εισοδηματική φτώχεια του πληθυσμού αναφορικά με ένα </w:t>
      </w:r>
      <w:r w:rsidR="00BF1F70" w:rsidRPr="00465ED6">
        <w:rPr>
          <w:rFonts w:ascii="Times New Roman" w:hAnsi="Times New Roman"/>
          <w:color w:val="auto"/>
          <w:sz w:val="24"/>
          <w:szCs w:val="24"/>
        </w:rPr>
        <w:t>κυμαινόμενο</w:t>
      </w:r>
      <w:r w:rsidRPr="00465ED6">
        <w:rPr>
          <w:rFonts w:ascii="Times New Roman" w:hAnsi="Times New Roman"/>
          <w:color w:val="auto"/>
          <w:sz w:val="24"/>
          <w:szCs w:val="24"/>
        </w:rPr>
        <w:t xml:space="preserve"> κατώφλι φτώχειας. Είναι σημαντικό να τονιστεί ότι ο δείκτης κινδύνο</w:t>
      </w:r>
      <w:r w:rsidR="00530949" w:rsidRPr="00465ED6">
        <w:rPr>
          <w:rFonts w:ascii="Times New Roman" w:hAnsi="Times New Roman"/>
          <w:color w:val="auto"/>
          <w:sz w:val="24"/>
          <w:szCs w:val="24"/>
        </w:rPr>
        <w:t xml:space="preserve">υ φτώχειας, έχοντας ως κατώφλι </w:t>
      </w:r>
      <w:r w:rsidRPr="00465ED6">
        <w:rPr>
          <w:rFonts w:ascii="Times New Roman" w:hAnsi="Times New Roman"/>
          <w:color w:val="auto"/>
          <w:sz w:val="24"/>
          <w:szCs w:val="24"/>
        </w:rPr>
        <w:t>το διάμεσο ισοδύναμο εισόδ</w:t>
      </w:r>
      <w:r w:rsidR="00530949" w:rsidRPr="00465ED6">
        <w:rPr>
          <w:rFonts w:ascii="Times New Roman" w:hAnsi="Times New Roman"/>
          <w:color w:val="auto"/>
          <w:sz w:val="24"/>
          <w:szCs w:val="24"/>
        </w:rPr>
        <w:t>ημα επηρεάζεται δραστικά από τη</w:t>
      </w:r>
      <w:r w:rsidRPr="00465ED6">
        <w:rPr>
          <w:rFonts w:ascii="Times New Roman" w:hAnsi="Times New Roman"/>
          <w:color w:val="auto"/>
          <w:sz w:val="24"/>
          <w:szCs w:val="24"/>
        </w:rPr>
        <w:t xml:space="preserve"> συνολική κατανομή του εισοδήματος του πληθυσμού, εφόσον </w:t>
      </w:r>
      <w:r w:rsidR="00530949" w:rsidRPr="00465ED6">
        <w:rPr>
          <w:rFonts w:ascii="Times New Roman" w:hAnsi="Times New Roman"/>
          <w:color w:val="auto"/>
          <w:sz w:val="24"/>
          <w:szCs w:val="24"/>
        </w:rPr>
        <w:t>μεταβάλλεται σε συνάρτηση με τη</w:t>
      </w:r>
      <w:r w:rsidRPr="00465ED6">
        <w:rPr>
          <w:rFonts w:ascii="Times New Roman" w:hAnsi="Times New Roman"/>
          <w:color w:val="auto"/>
          <w:sz w:val="24"/>
          <w:szCs w:val="24"/>
        </w:rPr>
        <w:t xml:space="preserve"> γενική εισοδηματική μεταβολή.</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Στην Ελλάδα, η συνολική φτωχοποίηση του πληθυσμού υποεκτιμάται σημαντικά στον εν λόγω δείκτη, ενώ συνεπάγεται την προς τα κάτω συμπίεση της γραμμής </w:t>
      </w:r>
      <w:r w:rsidR="0085381F" w:rsidRPr="00465ED6">
        <w:rPr>
          <w:rFonts w:ascii="Times New Roman" w:hAnsi="Times New Roman"/>
          <w:color w:val="auto"/>
          <w:sz w:val="24"/>
          <w:szCs w:val="24"/>
        </w:rPr>
        <w:t xml:space="preserve">της </w:t>
      </w:r>
      <w:r w:rsidRPr="00465ED6">
        <w:rPr>
          <w:rFonts w:ascii="Times New Roman" w:hAnsi="Times New Roman"/>
          <w:color w:val="auto"/>
          <w:sz w:val="24"/>
          <w:szCs w:val="24"/>
        </w:rPr>
        <w:t>φτώχειας</w:t>
      </w:r>
      <w:r w:rsidRPr="00465ED6">
        <w:rPr>
          <w:rStyle w:val="aa"/>
          <w:rFonts w:ascii="Times New Roman" w:hAnsi="Times New Roman"/>
          <w:color w:val="auto"/>
          <w:sz w:val="24"/>
          <w:szCs w:val="24"/>
        </w:rPr>
        <w:footnoteReference w:id="3"/>
      </w:r>
      <w:r w:rsidRPr="00465ED6">
        <w:rPr>
          <w:rFonts w:ascii="Times New Roman" w:hAnsi="Times New Roman"/>
          <w:color w:val="auto"/>
          <w:sz w:val="24"/>
          <w:szCs w:val="24"/>
        </w:rPr>
        <w:t>. Ο δείκτης κινδύνου φτώχειας δεν λαμβάνει υπόψη την πραγματική αγοραστική δύναμη</w:t>
      </w:r>
      <w:r w:rsidRPr="00465ED6">
        <w:rPr>
          <w:rStyle w:val="aa"/>
          <w:rFonts w:ascii="Times New Roman" w:hAnsi="Times New Roman"/>
          <w:color w:val="auto"/>
          <w:sz w:val="24"/>
          <w:szCs w:val="24"/>
        </w:rPr>
        <w:footnoteReference w:id="4"/>
      </w:r>
      <w:r w:rsidRPr="00465ED6">
        <w:rPr>
          <w:rFonts w:ascii="Times New Roman" w:hAnsi="Times New Roman"/>
          <w:color w:val="auto"/>
          <w:sz w:val="24"/>
          <w:szCs w:val="24"/>
        </w:rPr>
        <w:t xml:space="preserve"> και το κόστος διαβίωσης των ατόμων. Οι σχετικά μικρές </w:t>
      </w:r>
      <w:r w:rsidRPr="00465ED6">
        <w:rPr>
          <w:rFonts w:ascii="Times New Roman" w:hAnsi="Times New Roman"/>
          <w:color w:val="auto"/>
          <w:sz w:val="24"/>
          <w:szCs w:val="24"/>
        </w:rPr>
        <w:lastRenderedPageBreak/>
        <w:t>μεταβολές του δείκτη διαχρονικά,</w:t>
      </w:r>
      <w:r w:rsidRPr="00465ED6">
        <w:rPr>
          <w:rStyle w:val="aa"/>
          <w:rFonts w:ascii="Times New Roman" w:hAnsi="Times New Roman"/>
          <w:color w:val="auto"/>
          <w:sz w:val="24"/>
          <w:szCs w:val="24"/>
        </w:rPr>
        <w:footnoteReference w:id="5"/>
      </w:r>
      <w:r w:rsidR="00C166D6" w:rsidRPr="00465ED6">
        <w:rPr>
          <w:rFonts w:ascii="Times New Roman" w:hAnsi="Times New Roman"/>
          <w:color w:val="auto"/>
          <w:sz w:val="24"/>
          <w:szCs w:val="24"/>
        </w:rPr>
        <w:t xml:space="preserve"> </w:t>
      </w:r>
      <w:r w:rsidRPr="00465ED6">
        <w:rPr>
          <w:rFonts w:ascii="Times New Roman" w:hAnsi="Times New Roman"/>
          <w:color w:val="auto"/>
          <w:sz w:val="24"/>
          <w:szCs w:val="24"/>
        </w:rPr>
        <w:t>φανερώνουν τη μικρή ερμηνευτική του δύναμη αναφορικά με το φαινόμενο της φτωχοποίησης του πληθυσμού της χώρας</w:t>
      </w:r>
      <w:r w:rsidR="003676BA" w:rsidRPr="00465ED6">
        <w:rPr>
          <w:rStyle w:val="aa"/>
          <w:rFonts w:ascii="Times New Roman" w:hAnsi="Times New Roman"/>
          <w:color w:val="auto"/>
          <w:sz w:val="24"/>
          <w:szCs w:val="24"/>
        </w:rPr>
        <w:footnoteReference w:id="6"/>
      </w:r>
      <w:r w:rsidRPr="00465ED6">
        <w:rPr>
          <w:rFonts w:ascii="Times New Roman" w:hAnsi="Times New Roman"/>
          <w:color w:val="auto"/>
          <w:sz w:val="24"/>
          <w:szCs w:val="24"/>
        </w:rPr>
        <w:t xml:space="preserve">. </w:t>
      </w:r>
    </w:p>
    <w:p w:rsidR="0085381F"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Ως εκ τούτου, ο δείκτης θα πρέπει να γίνεται κατανοητός περισσότερο ως μέτρο </w:t>
      </w:r>
      <w:r w:rsidR="00C166D6" w:rsidRPr="00465ED6">
        <w:rPr>
          <w:rFonts w:ascii="Times New Roman" w:hAnsi="Times New Roman"/>
          <w:color w:val="auto"/>
          <w:sz w:val="24"/>
          <w:szCs w:val="24"/>
        </w:rPr>
        <w:t>ανισότητα σε όρους ονομαστικού εισοδήματος</w:t>
      </w:r>
      <w:r w:rsidRPr="00465ED6">
        <w:rPr>
          <w:rFonts w:ascii="Times New Roman" w:hAnsi="Times New Roman"/>
          <w:color w:val="auto"/>
          <w:sz w:val="24"/>
          <w:szCs w:val="24"/>
        </w:rPr>
        <w:t xml:space="preserve"> καθώς στην πραγματικότητα δεν αποτυπώνει την φτώχεια  των συνθηκών διαβίωσης του πληθυσμού. </w:t>
      </w:r>
      <w:r w:rsidR="0085381F" w:rsidRPr="00465ED6">
        <w:rPr>
          <w:rFonts w:ascii="Times New Roman" w:hAnsi="Times New Roman"/>
          <w:color w:val="auto"/>
          <w:sz w:val="24"/>
          <w:szCs w:val="24"/>
        </w:rPr>
        <w:t xml:space="preserve">Αυτός είναι και ο λόγος που ο σύνθετος δείκτης που παρουσιάστηκε χρησιμοποιείται πλέον ως περισσότερο αντιπροσωπευτικός για την </w:t>
      </w:r>
      <w:r w:rsidR="001E2300" w:rsidRPr="00465ED6">
        <w:rPr>
          <w:rFonts w:ascii="Times New Roman" w:hAnsi="Times New Roman"/>
          <w:color w:val="auto"/>
          <w:sz w:val="24"/>
          <w:szCs w:val="24"/>
        </w:rPr>
        <w:t>φτώχεια και τον αποκλεισμό.</w:t>
      </w:r>
    </w:p>
    <w:p w:rsidR="00A05D57" w:rsidRPr="00465ED6" w:rsidRDefault="00F11C98" w:rsidP="00681B6D">
      <w:pPr>
        <w:rPr>
          <w:rFonts w:ascii="Times New Roman" w:hAnsi="Times New Roman"/>
          <w:color w:val="auto"/>
          <w:sz w:val="24"/>
          <w:szCs w:val="24"/>
        </w:rPr>
      </w:pPr>
      <w:r w:rsidRPr="00465ED6">
        <w:rPr>
          <w:rFonts w:ascii="Times New Roman" w:hAnsi="Times New Roman"/>
          <w:color w:val="auto"/>
          <w:sz w:val="24"/>
          <w:szCs w:val="24"/>
        </w:rPr>
        <w:t>Ειδικότερα</w:t>
      </w:r>
      <w:r w:rsidR="00B05F56" w:rsidRPr="00465ED6">
        <w:rPr>
          <w:rFonts w:ascii="Times New Roman" w:hAnsi="Times New Roman"/>
          <w:color w:val="auto"/>
          <w:sz w:val="24"/>
          <w:szCs w:val="24"/>
        </w:rPr>
        <w:t xml:space="preserve"> για τον πληθυσμό των ατόμων με αναπηρία θα πρέπει να ληφθεί υπόψη ότι επωμίζονται συχνά ένα πρόσθετο κόστος διαβίωσης που απορρέει από την αναπηρία. Συνεπώς το γενικώς οριζόμενο κατώφλι φτώχειας είναι λιγότερο έγκυρο ως μέτρο για την φτωχοποίηση</w:t>
      </w:r>
      <w:r w:rsidR="00A05D57" w:rsidRPr="00465ED6">
        <w:rPr>
          <w:rFonts w:ascii="Times New Roman" w:hAnsi="Times New Roman"/>
          <w:color w:val="auto"/>
          <w:sz w:val="24"/>
          <w:szCs w:val="24"/>
        </w:rPr>
        <w:t xml:space="preserve"> αυτής της ομάδας του πληθυσμού, ειδικότερα στο βαθμό που δεν εξαιρούνται από το συνολικό εισόδημα των ατόμων τα επιδόματα αναπηρίας (προνοιακά επιδόματα, εξωιδρυματικό επίδομα, επίδομα κίνησης, επίδομα νεφροπαθών και μεταμοσχευμένων </w:t>
      </w:r>
      <w:r w:rsidR="00C75550" w:rsidRPr="00465ED6">
        <w:rPr>
          <w:rFonts w:ascii="Times New Roman" w:hAnsi="Times New Roman"/>
          <w:color w:val="auto"/>
          <w:sz w:val="24"/>
          <w:szCs w:val="24"/>
        </w:rPr>
        <w:t>κ.τ.λ.</w:t>
      </w:r>
      <w:r w:rsidR="00A05D57" w:rsidRPr="00465ED6">
        <w:rPr>
          <w:rFonts w:ascii="Times New Roman" w:hAnsi="Times New Roman"/>
          <w:color w:val="auto"/>
          <w:sz w:val="24"/>
          <w:szCs w:val="24"/>
        </w:rPr>
        <w:t>),</w:t>
      </w:r>
      <w:r w:rsidR="00051366" w:rsidRPr="00465ED6">
        <w:rPr>
          <w:rFonts w:ascii="Times New Roman" w:hAnsi="Times New Roman"/>
          <w:color w:val="auto"/>
          <w:sz w:val="24"/>
          <w:szCs w:val="24"/>
        </w:rPr>
        <w:t xml:space="preserve"> </w:t>
      </w:r>
      <w:r w:rsidRPr="00465ED6">
        <w:rPr>
          <w:rFonts w:ascii="Times New Roman" w:hAnsi="Times New Roman"/>
          <w:color w:val="auto"/>
          <w:sz w:val="24"/>
          <w:szCs w:val="24"/>
        </w:rPr>
        <w:t>τα οποία -</w:t>
      </w:r>
      <w:r w:rsidR="00A05D57" w:rsidRPr="00465ED6">
        <w:rPr>
          <w:rFonts w:ascii="Times New Roman" w:hAnsi="Times New Roman"/>
          <w:color w:val="auto"/>
          <w:sz w:val="24"/>
          <w:szCs w:val="24"/>
        </w:rPr>
        <w:t xml:space="preserve">δεδομένης της ανυπαρξίας </w:t>
      </w:r>
      <w:r w:rsidRPr="00465ED6">
        <w:rPr>
          <w:rFonts w:ascii="Times New Roman" w:hAnsi="Times New Roman"/>
          <w:color w:val="auto"/>
          <w:sz w:val="24"/>
          <w:szCs w:val="24"/>
        </w:rPr>
        <w:t xml:space="preserve">άλλων </w:t>
      </w:r>
      <w:r w:rsidR="00A05D57" w:rsidRPr="00465ED6">
        <w:rPr>
          <w:rFonts w:ascii="Times New Roman" w:hAnsi="Times New Roman"/>
          <w:color w:val="auto"/>
          <w:sz w:val="24"/>
          <w:szCs w:val="24"/>
        </w:rPr>
        <w:t xml:space="preserve">κρατικών </w:t>
      </w:r>
      <w:r w:rsidRPr="00465ED6">
        <w:rPr>
          <w:rFonts w:ascii="Times New Roman" w:hAnsi="Times New Roman"/>
          <w:color w:val="auto"/>
          <w:sz w:val="24"/>
          <w:szCs w:val="24"/>
        </w:rPr>
        <w:t>παροχών και υποδομών-</w:t>
      </w:r>
      <w:r w:rsidR="00A05D57" w:rsidRPr="00465ED6">
        <w:rPr>
          <w:rFonts w:ascii="Times New Roman" w:hAnsi="Times New Roman"/>
          <w:color w:val="auto"/>
          <w:sz w:val="24"/>
          <w:szCs w:val="24"/>
        </w:rPr>
        <w:t xml:space="preserve"> δαπανώνται για την κάλυψη πρόσθετων αναγκών σε εξειδικευμένες υπηρεσίες και αγαθά. </w:t>
      </w:r>
    </w:p>
    <w:p w:rsidR="003F49D6" w:rsidRPr="00465ED6" w:rsidRDefault="00A91413" w:rsidP="00681B6D">
      <w:pPr>
        <w:rPr>
          <w:rFonts w:ascii="Times New Roman" w:hAnsi="Times New Roman"/>
          <w:b/>
          <w:color w:val="auto"/>
          <w:sz w:val="24"/>
          <w:szCs w:val="24"/>
        </w:rPr>
      </w:pPr>
      <w:r w:rsidRPr="00465ED6">
        <w:rPr>
          <w:rFonts w:ascii="Times New Roman" w:hAnsi="Times New Roman"/>
          <w:b/>
          <w:color w:val="auto"/>
          <w:sz w:val="24"/>
          <w:szCs w:val="24"/>
        </w:rPr>
        <w:t>Στο πλαίσιο</w:t>
      </w:r>
      <w:r w:rsidR="00B05F56" w:rsidRPr="00465ED6">
        <w:rPr>
          <w:rFonts w:ascii="Times New Roman" w:hAnsi="Times New Roman"/>
          <w:b/>
          <w:color w:val="auto"/>
          <w:sz w:val="24"/>
          <w:szCs w:val="24"/>
        </w:rPr>
        <w:t xml:space="preserve"> αυτών των περιορισμών, </w:t>
      </w:r>
      <w:r w:rsidR="003F49D6" w:rsidRPr="00465ED6">
        <w:rPr>
          <w:rFonts w:ascii="Times New Roman" w:hAnsi="Times New Roman"/>
          <w:b/>
          <w:color w:val="auto"/>
          <w:sz w:val="24"/>
          <w:szCs w:val="24"/>
        </w:rPr>
        <w:t xml:space="preserve">παρότι </w:t>
      </w:r>
      <w:r w:rsidR="00B05F56" w:rsidRPr="00465ED6">
        <w:rPr>
          <w:rFonts w:ascii="Times New Roman" w:hAnsi="Times New Roman"/>
          <w:b/>
          <w:color w:val="auto"/>
          <w:sz w:val="24"/>
          <w:szCs w:val="24"/>
        </w:rPr>
        <w:t>ο δείκτης κινδύνου φτώχειας</w:t>
      </w:r>
      <w:r w:rsidR="00CF29EA" w:rsidRPr="00465ED6">
        <w:rPr>
          <w:rFonts w:ascii="Times New Roman" w:hAnsi="Times New Roman"/>
          <w:b/>
          <w:color w:val="auto"/>
          <w:sz w:val="24"/>
          <w:szCs w:val="24"/>
        </w:rPr>
        <w:t xml:space="preserve"> </w:t>
      </w:r>
      <w:r w:rsidR="003F49D6" w:rsidRPr="00465ED6">
        <w:rPr>
          <w:rFonts w:ascii="Times New Roman" w:hAnsi="Times New Roman"/>
          <w:b/>
          <w:color w:val="auto"/>
          <w:sz w:val="24"/>
          <w:szCs w:val="24"/>
        </w:rPr>
        <w:t>υποεκτιμά σημαντικά το ποσοστό των ατόμων με αναπηρία που διαβιούν σε συνθήκες φτώχειας, διαπιστώνεται ότι σε όλες τις ηλικιακές ομ</w:t>
      </w:r>
      <w:r w:rsidR="005E67EF" w:rsidRPr="00465ED6">
        <w:rPr>
          <w:rFonts w:ascii="Times New Roman" w:hAnsi="Times New Roman"/>
          <w:b/>
          <w:color w:val="auto"/>
          <w:sz w:val="24"/>
          <w:szCs w:val="24"/>
        </w:rPr>
        <w:t xml:space="preserve">άδες οι τιμές του δείκτη είναι υψηλότερες στα άτομα με αναπηρία σε σύγκριση με τον πληθυσμό χωρίς αναπηρία. </w:t>
      </w:r>
    </w:p>
    <w:p w:rsidR="00114FC7" w:rsidRPr="00465ED6" w:rsidRDefault="00114FC7" w:rsidP="00114FC7">
      <w:pPr>
        <w:rPr>
          <w:rFonts w:ascii="Times New Roman" w:hAnsi="Times New Roman"/>
          <w:color w:val="auto"/>
          <w:sz w:val="24"/>
          <w:szCs w:val="24"/>
        </w:rPr>
      </w:pPr>
      <w:r w:rsidRPr="00465ED6">
        <w:rPr>
          <w:rFonts w:ascii="Times New Roman" w:hAnsi="Times New Roman"/>
          <w:color w:val="auto"/>
          <w:sz w:val="24"/>
          <w:szCs w:val="24"/>
        </w:rPr>
        <w:t>Δεδομένης της υπερ</w:t>
      </w:r>
      <w:r w:rsidR="00C75550" w:rsidRPr="00465ED6">
        <w:rPr>
          <w:rFonts w:ascii="Times New Roman" w:hAnsi="Times New Roman"/>
          <w:color w:val="auto"/>
          <w:sz w:val="24"/>
          <w:szCs w:val="24"/>
        </w:rPr>
        <w:t xml:space="preserve"> - </w:t>
      </w:r>
      <w:r w:rsidR="00530949" w:rsidRPr="00465ED6">
        <w:rPr>
          <w:rFonts w:ascii="Times New Roman" w:hAnsi="Times New Roman"/>
          <w:color w:val="auto"/>
          <w:sz w:val="24"/>
          <w:szCs w:val="24"/>
        </w:rPr>
        <w:t>εκπροσώπησης</w:t>
      </w:r>
      <w:r w:rsidRPr="00465ED6">
        <w:rPr>
          <w:rFonts w:ascii="Times New Roman" w:hAnsi="Times New Roman"/>
          <w:color w:val="auto"/>
          <w:sz w:val="24"/>
          <w:szCs w:val="24"/>
        </w:rPr>
        <w:t xml:space="preserve"> των </w:t>
      </w:r>
      <w:r w:rsidR="00C75550" w:rsidRPr="00465ED6">
        <w:rPr>
          <w:rFonts w:ascii="Times New Roman" w:hAnsi="Times New Roman"/>
          <w:color w:val="auto"/>
          <w:sz w:val="24"/>
          <w:szCs w:val="24"/>
        </w:rPr>
        <w:t>μεγαλύτερων</w:t>
      </w:r>
      <w:r w:rsidRPr="00465ED6">
        <w:rPr>
          <w:rFonts w:ascii="Times New Roman" w:hAnsi="Times New Roman"/>
          <w:color w:val="auto"/>
          <w:sz w:val="24"/>
          <w:szCs w:val="24"/>
        </w:rPr>
        <w:t xml:space="preserve"> ηλικιών όπως αναλύθηκε παραπάνω, το συνολικό ποσοστό κινδύνου φτώχειας για τον πληθυσμό ηλικίας 16 ετών και άνω (μετά τις κοινωνικές μεταβιβάσεις</w:t>
      </w:r>
      <w:r w:rsidRPr="00465ED6">
        <w:rPr>
          <w:rStyle w:val="aa"/>
          <w:rFonts w:ascii="Times New Roman" w:hAnsi="Times New Roman"/>
          <w:color w:val="auto"/>
          <w:sz w:val="24"/>
          <w:szCs w:val="24"/>
        </w:rPr>
        <w:footnoteReference w:id="7"/>
      </w:r>
      <w:r w:rsidRPr="00465ED6">
        <w:rPr>
          <w:rFonts w:ascii="Times New Roman" w:hAnsi="Times New Roman"/>
          <w:color w:val="auto"/>
          <w:sz w:val="24"/>
          <w:szCs w:val="24"/>
        </w:rPr>
        <w:t xml:space="preserve">) δεν εμφανίζει στατιστικά σημαντικές διαφορές μεταξύ των ατόμων με και χωρίς αναπηρία. Ειδικότερα, ανέρχεται στο 18,9% του πληθυσμού των ατόμων με αναπηρία, είναι δηλαδή οριακά υψηλότερο από το ποσοστού του πληθυσμού χωρίς κανέναν περιορισμό (20,7%). </w:t>
      </w:r>
    </w:p>
    <w:p w:rsidR="00BC24F5" w:rsidRPr="00465ED6" w:rsidRDefault="00114FC7" w:rsidP="00114FC7">
      <w:pPr>
        <w:rPr>
          <w:rFonts w:ascii="Times New Roman" w:hAnsi="Times New Roman"/>
          <w:color w:val="auto"/>
          <w:sz w:val="24"/>
          <w:szCs w:val="24"/>
        </w:rPr>
      </w:pPr>
      <w:r w:rsidRPr="00465ED6">
        <w:rPr>
          <w:rFonts w:ascii="Times New Roman" w:hAnsi="Times New Roman"/>
          <w:color w:val="auto"/>
          <w:sz w:val="24"/>
          <w:szCs w:val="24"/>
        </w:rPr>
        <w:t>Εξετάζοντας τον δείκτη</w:t>
      </w:r>
      <w:r w:rsidR="00BC24F5" w:rsidRPr="00465ED6">
        <w:rPr>
          <w:rFonts w:ascii="Times New Roman" w:hAnsi="Times New Roman"/>
          <w:color w:val="auto"/>
          <w:sz w:val="24"/>
          <w:szCs w:val="24"/>
        </w:rPr>
        <w:t xml:space="preserve"> κινδύνου</w:t>
      </w:r>
      <w:r w:rsidRPr="00465ED6">
        <w:rPr>
          <w:rFonts w:ascii="Times New Roman" w:hAnsi="Times New Roman"/>
          <w:color w:val="auto"/>
          <w:sz w:val="24"/>
          <w:szCs w:val="24"/>
        </w:rPr>
        <w:t xml:space="preserve"> φτώχειας στις παραγωγικές ηλικίες παρατηρείται ότι η εν λόγω διαφορά αντιστρέφεται και το ποσοστό σχετικής φτώχειας των ατόμων με αναπηρία για το σύνολο του πληθυσμού 16-64 ετών είναι 26,7% έναντι του 22,3% του </w:t>
      </w:r>
      <w:r w:rsidRPr="00465ED6">
        <w:rPr>
          <w:rFonts w:ascii="Times New Roman" w:hAnsi="Times New Roman"/>
          <w:color w:val="auto"/>
          <w:sz w:val="24"/>
          <w:szCs w:val="24"/>
        </w:rPr>
        <w:lastRenderedPageBreak/>
        <w:t>πληθυσμού χωρίς αναπηρία.</w:t>
      </w:r>
      <w:r w:rsidR="00465ED6" w:rsidRPr="00465ED6">
        <w:rPr>
          <w:rFonts w:ascii="Times New Roman" w:hAnsi="Times New Roman"/>
          <w:color w:val="auto"/>
          <w:sz w:val="24"/>
          <w:szCs w:val="24"/>
        </w:rPr>
        <w:t xml:space="preserve"> </w:t>
      </w:r>
      <w:r w:rsidR="00BC24F5" w:rsidRPr="00465ED6">
        <w:rPr>
          <w:rFonts w:ascii="Times New Roman" w:hAnsi="Times New Roman"/>
          <w:color w:val="auto"/>
          <w:sz w:val="24"/>
          <w:szCs w:val="24"/>
        </w:rPr>
        <w:t>Μεγάλες αποκλίσεις των επιπέδων σχετικής φτώχειας διαπιστώνονται ειδικότερα</w:t>
      </w:r>
      <w:r w:rsidR="00CB78AF" w:rsidRPr="00465ED6">
        <w:rPr>
          <w:rFonts w:ascii="Times New Roman" w:hAnsi="Times New Roman"/>
          <w:color w:val="auto"/>
          <w:sz w:val="24"/>
          <w:szCs w:val="24"/>
        </w:rPr>
        <w:t xml:space="preserve"> στις ηλικιακές ομάδες</w:t>
      </w:r>
      <w:r w:rsidR="00BC24F5" w:rsidRPr="00465ED6">
        <w:rPr>
          <w:rFonts w:ascii="Times New Roman" w:hAnsi="Times New Roman"/>
          <w:color w:val="auto"/>
          <w:sz w:val="24"/>
          <w:szCs w:val="24"/>
        </w:rPr>
        <w:t>:</w:t>
      </w:r>
    </w:p>
    <w:p w:rsidR="00BC24F5" w:rsidRPr="00465ED6" w:rsidRDefault="00BC24F5" w:rsidP="00C75550">
      <w:pPr>
        <w:pStyle w:val="a8"/>
        <w:numPr>
          <w:ilvl w:val="0"/>
          <w:numId w:val="29"/>
        </w:numPr>
        <w:rPr>
          <w:rFonts w:ascii="Times New Roman" w:hAnsi="Times New Roman"/>
          <w:b/>
          <w:color w:val="auto"/>
          <w:sz w:val="24"/>
          <w:szCs w:val="24"/>
        </w:rPr>
      </w:pPr>
      <w:r w:rsidRPr="00465ED6">
        <w:rPr>
          <w:rFonts w:ascii="Times New Roman" w:hAnsi="Times New Roman"/>
          <w:b/>
          <w:color w:val="auto"/>
          <w:sz w:val="24"/>
          <w:szCs w:val="24"/>
        </w:rPr>
        <w:t>16-19 ετών: 52,8% στα άτομα με αναπηρία</w:t>
      </w:r>
      <w:r w:rsidR="000125A9" w:rsidRPr="00465ED6">
        <w:rPr>
          <w:rStyle w:val="aa"/>
          <w:rFonts w:ascii="Times New Roman" w:hAnsi="Times New Roman"/>
          <w:b/>
          <w:color w:val="auto"/>
          <w:sz w:val="24"/>
          <w:szCs w:val="24"/>
        </w:rPr>
        <w:footnoteReference w:id="8"/>
      </w:r>
      <w:r w:rsidRPr="00465ED6">
        <w:rPr>
          <w:rFonts w:ascii="Times New Roman" w:hAnsi="Times New Roman"/>
          <w:b/>
          <w:color w:val="auto"/>
          <w:sz w:val="24"/>
          <w:szCs w:val="24"/>
        </w:rPr>
        <w:t xml:space="preserve"> έναντι 32,4% στα άτομα χωρίς αναπηρία</w:t>
      </w:r>
    </w:p>
    <w:p w:rsidR="00BC24F5" w:rsidRPr="00465ED6" w:rsidRDefault="00BC24F5" w:rsidP="00C75550">
      <w:pPr>
        <w:pStyle w:val="a8"/>
        <w:numPr>
          <w:ilvl w:val="0"/>
          <w:numId w:val="29"/>
        </w:numPr>
        <w:rPr>
          <w:rFonts w:ascii="Times New Roman" w:hAnsi="Times New Roman"/>
          <w:b/>
          <w:color w:val="auto"/>
          <w:sz w:val="24"/>
          <w:szCs w:val="24"/>
        </w:rPr>
      </w:pPr>
      <w:r w:rsidRPr="00465ED6">
        <w:rPr>
          <w:rFonts w:ascii="Times New Roman" w:hAnsi="Times New Roman"/>
          <w:b/>
          <w:color w:val="auto"/>
          <w:sz w:val="24"/>
          <w:szCs w:val="24"/>
        </w:rPr>
        <w:t>30-34 ετών: 30,8% στα άτομα με αναπηρία έναντι 18,5% στα άτομα χωρίς αναπηρία</w:t>
      </w:r>
    </w:p>
    <w:p w:rsidR="00BC24F5" w:rsidRPr="00465ED6" w:rsidRDefault="00BC24F5" w:rsidP="00C75550">
      <w:pPr>
        <w:pStyle w:val="a8"/>
        <w:numPr>
          <w:ilvl w:val="0"/>
          <w:numId w:val="29"/>
        </w:numPr>
        <w:rPr>
          <w:rFonts w:ascii="Times New Roman" w:hAnsi="Times New Roman"/>
          <w:b/>
          <w:color w:val="auto"/>
          <w:sz w:val="24"/>
          <w:szCs w:val="24"/>
        </w:rPr>
      </w:pPr>
      <w:r w:rsidRPr="00465ED6">
        <w:rPr>
          <w:rFonts w:ascii="Times New Roman" w:hAnsi="Times New Roman"/>
          <w:b/>
          <w:color w:val="auto"/>
          <w:sz w:val="24"/>
          <w:szCs w:val="24"/>
        </w:rPr>
        <w:t>35-39 ετών: 28,4% στα άτομα με αναπηρία έναντι 20% στα άτομα χωρίς αναπηρία</w:t>
      </w:r>
    </w:p>
    <w:p w:rsidR="00073CFF" w:rsidRPr="00465ED6" w:rsidRDefault="00073CFF" w:rsidP="00C75550">
      <w:pPr>
        <w:pStyle w:val="a8"/>
        <w:numPr>
          <w:ilvl w:val="0"/>
          <w:numId w:val="29"/>
        </w:numPr>
        <w:rPr>
          <w:rFonts w:ascii="Times New Roman" w:hAnsi="Times New Roman"/>
          <w:b/>
          <w:color w:val="auto"/>
          <w:sz w:val="24"/>
          <w:szCs w:val="24"/>
        </w:rPr>
      </w:pPr>
      <w:r w:rsidRPr="00465ED6">
        <w:rPr>
          <w:rFonts w:ascii="Times New Roman" w:hAnsi="Times New Roman"/>
          <w:b/>
          <w:color w:val="auto"/>
          <w:sz w:val="24"/>
          <w:szCs w:val="24"/>
        </w:rPr>
        <w:t xml:space="preserve">50-54 ετών: </w:t>
      </w:r>
      <w:r w:rsidR="00CB78AF" w:rsidRPr="00465ED6">
        <w:rPr>
          <w:rFonts w:ascii="Times New Roman" w:hAnsi="Times New Roman"/>
          <w:b/>
          <w:color w:val="auto"/>
          <w:sz w:val="24"/>
          <w:szCs w:val="24"/>
        </w:rPr>
        <w:t>29,8</w:t>
      </w:r>
      <w:r w:rsidRPr="00465ED6">
        <w:rPr>
          <w:rFonts w:ascii="Times New Roman" w:hAnsi="Times New Roman"/>
          <w:b/>
          <w:color w:val="auto"/>
          <w:sz w:val="24"/>
          <w:szCs w:val="24"/>
        </w:rPr>
        <w:t xml:space="preserve">% στα άτομα με αναπηρία έναντι </w:t>
      </w:r>
      <w:r w:rsidR="00CB78AF" w:rsidRPr="00465ED6">
        <w:rPr>
          <w:rFonts w:ascii="Times New Roman" w:hAnsi="Times New Roman"/>
          <w:b/>
          <w:color w:val="auto"/>
          <w:sz w:val="24"/>
          <w:szCs w:val="24"/>
        </w:rPr>
        <w:t>21,6</w:t>
      </w:r>
      <w:r w:rsidRPr="00465ED6">
        <w:rPr>
          <w:rFonts w:ascii="Times New Roman" w:hAnsi="Times New Roman"/>
          <w:b/>
          <w:color w:val="auto"/>
          <w:sz w:val="24"/>
          <w:szCs w:val="24"/>
        </w:rPr>
        <w:t>% στα άτομα χωρίς αναπηρία</w:t>
      </w:r>
      <w:r w:rsidR="00CB78AF" w:rsidRPr="00465ED6">
        <w:rPr>
          <w:rFonts w:ascii="Times New Roman" w:hAnsi="Times New Roman"/>
          <w:b/>
          <w:color w:val="auto"/>
          <w:sz w:val="24"/>
          <w:szCs w:val="24"/>
        </w:rPr>
        <w:t>.</w:t>
      </w:r>
    </w:p>
    <w:p w:rsidR="00BC24F5" w:rsidRPr="00465ED6" w:rsidRDefault="0023272E" w:rsidP="0023272E">
      <w:pPr>
        <w:ind w:left="360"/>
        <w:rPr>
          <w:rFonts w:ascii="Times New Roman" w:hAnsi="Times New Roman"/>
          <w:color w:val="auto"/>
          <w:sz w:val="24"/>
          <w:szCs w:val="24"/>
        </w:rPr>
      </w:pPr>
      <w:r w:rsidRPr="00465ED6">
        <w:rPr>
          <w:rFonts w:ascii="Times New Roman" w:hAnsi="Times New Roman"/>
          <w:color w:val="auto"/>
          <w:sz w:val="24"/>
          <w:szCs w:val="24"/>
        </w:rPr>
        <w:t>Αναλυτικά οι τιμές του δείκτη ανά ομάδα ηλικίας φαίνονται στο γράφημα που ακολουθεί.</w:t>
      </w:r>
    </w:p>
    <w:p w:rsidR="00A91413" w:rsidRPr="00465ED6" w:rsidRDefault="00A91413" w:rsidP="00A91413">
      <w:pPr>
        <w:pStyle w:val="a3"/>
        <w:keepNext/>
        <w:rPr>
          <w:rFonts w:ascii="Times New Roman" w:hAnsi="Times New Roman"/>
          <w:color w:val="auto"/>
        </w:rPr>
      </w:pPr>
      <w:r w:rsidRPr="00465ED6">
        <w:rPr>
          <w:rFonts w:ascii="Times New Roman" w:hAnsi="Times New Roman"/>
          <w:color w:val="auto"/>
        </w:rPr>
        <w:t xml:space="preserve">Γράφημα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Γράφημα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5</w:t>
      </w:r>
      <w:r w:rsidR="00E33BFF" w:rsidRPr="00465ED6">
        <w:rPr>
          <w:rFonts w:ascii="Times New Roman" w:hAnsi="Times New Roman"/>
          <w:noProof/>
          <w:color w:val="auto"/>
        </w:rPr>
        <w:fldChar w:fldCharType="end"/>
      </w:r>
    </w:p>
    <w:p w:rsidR="00A91413" w:rsidRPr="00465ED6" w:rsidRDefault="00475B2D" w:rsidP="00A91413">
      <w:pPr>
        <w:keepNext/>
        <w:ind w:left="-851"/>
        <w:rPr>
          <w:rFonts w:ascii="Times New Roman" w:hAnsi="Times New Roman"/>
          <w:color w:val="auto"/>
        </w:rPr>
      </w:pPr>
      <w:r w:rsidRPr="00465ED6">
        <w:rPr>
          <w:rFonts w:ascii="Times New Roman" w:hAnsi="Times New Roman"/>
          <w:noProof/>
          <w:color w:val="auto"/>
          <w:sz w:val="24"/>
          <w:szCs w:val="24"/>
        </w:rPr>
        <w:drawing>
          <wp:inline distT="0" distB="0" distL="0" distR="0">
            <wp:extent cx="6372727" cy="3608455"/>
            <wp:effectExtent l="0" t="0" r="9525" b="11430"/>
            <wp:docPr id="8" name="Γράφημα 2" title="γράφημα"/>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5550" w:rsidRPr="00465ED6" w:rsidRDefault="00A91413" w:rsidP="00C75550">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 ΔΕΔΟΜΕΝΩΝ: ΕΛΣΤΑΤ, Έρευνα Εισοδήματος και Συνθηκών Διαβίωσης 2016/ ΕΠΕΞΕΡΓΑΣΙΑ: Παρατηρητήριο Θεμάτων Αναπηρίας-Ε.Σ.Α.μεΑ.</w:t>
      </w:r>
    </w:p>
    <w:p w:rsidR="0023272E" w:rsidRPr="00465ED6" w:rsidRDefault="00053860" w:rsidP="00C75550">
      <w:pPr>
        <w:pStyle w:val="a3"/>
        <w:rPr>
          <w:rFonts w:ascii="Times New Roman" w:hAnsi="Times New Roman"/>
          <w:b w:val="0"/>
          <w:i/>
          <w:color w:val="auto"/>
          <w:sz w:val="18"/>
          <w:szCs w:val="18"/>
        </w:rPr>
      </w:pPr>
      <w:r w:rsidRPr="00465ED6">
        <w:rPr>
          <w:rFonts w:ascii="Times New Roman" w:hAnsi="Times New Roman"/>
          <w:color w:val="auto"/>
          <w:sz w:val="24"/>
          <w:szCs w:val="24"/>
        </w:rPr>
        <w:t xml:space="preserve">Προκειμένου να </w:t>
      </w:r>
      <w:r w:rsidR="0023272E" w:rsidRPr="00465ED6">
        <w:rPr>
          <w:rFonts w:ascii="Times New Roman" w:hAnsi="Times New Roman"/>
          <w:color w:val="auto"/>
          <w:sz w:val="24"/>
          <w:szCs w:val="24"/>
        </w:rPr>
        <w:t>αναδειχθεί η αδήριτη αναγκαιότητα των κοινωνικών μεταβιβάσεων</w:t>
      </w:r>
      <w:r w:rsidR="00530949" w:rsidRPr="00465ED6">
        <w:rPr>
          <w:rFonts w:ascii="Times New Roman" w:hAnsi="Times New Roman"/>
          <w:color w:val="auto"/>
          <w:sz w:val="24"/>
          <w:szCs w:val="24"/>
        </w:rPr>
        <w:t>,</w:t>
      </w:r>
      <w:r w:rsidR="0023272E" w:rsidRPr="00465ED6">
        <w:rPr>
          <w:rFonts w:ascii="Times New Roman" w:hAnsi="Times New Roman"/>
          <w:color w:val="auto"/>
          <w:sz w:val="24"/>
          <w:szCs w:val="24"/>
        </w:rPr>
        <w:t xml:space="preserve"> και ειδικότερα των επιδομάτων και των συντάξεων αναπηρίας ως διορθωτικές παρεμβάσεις στις δομικές οικονομικές ανισότητες</w:t>
      </w:r>
      <w:r w:rsidRPr="00465ED6">
        <w:rPr>
          <w:rFonts w:ascii="Times New Roman" w:hAnsi="Times New Roman"/>
          <w:color w:val="auto"/>
          <w:sz w:val="24"/>
          <w:szCs w:val="24"/>
        </w:rPr>
        <w:t xml:space="preserve"> που αντιμετωπίζουν τα άτο</w:t>
      </w:r>
      <w:r w:rsidR="00530949" w:rsidRPr="00465ED6">
        <w:rPr>
          <w:rFonts w:ascii="Times New Roman" w:hAnsi="Times New Roman"/>
          <w:color w:val="auto"/>
          <w:sz w:val="24"/>
          <w:szCs w:val="24"/>
        </w:rPr>
        <w:t>μα με αναπηρία και οι οικογένειέ</w:t>
      </w:r>
      <w:r w:rsidRPr="00465ED6">
        <w:rPr>
          <w:rFonts w:ascii="Times New Roman" w:hAnsi="Times New Roman"/>
          <w:color w:val="auto"/>
          <w:sz w:val="24"/>
          <w:szCs w:val="24"/>
        </w:rPr>
        <w:t xml:space="preserve">ς τους, θα εξετάσουμε τον </w:t>
      </w:r>
      <w:r w:rsidRPr="00465ED6">
        <w:rPr>
          <w:rFonts w:ascii="Times New Roman" w:hAnsi="Times New Roman"/>
          <w:color w:val="auto"/>
          <w:sz w:val="24"/>
          <w:szCs w:val="24"/>
        </w:rPr>
        <w:lastRenderedPageBreak/>
        <w:t xml:space="preserve">δείκτη κινδύνου φτώχειας αφαιρώντας τις κοινωνικές μεταβιβάσεις από το εισόδημα των ατόμων. </w:t>
      </w:r>
    </w:p>
    <w:p w:rsidR="00681B6D" w:rsidRPr="00465ED6" w:rsidRDefault="00B05F56" w:rsidP="00681B6D">
      <w:pPr>
        <w:rPr>
          <w:rFonts w:ascii="Times New Roman" w:hAnsi="Times New Roman"/>
          <w:b/>
          <w:color w:val="auto"/>
          <w:sz w:val="24"/>
          <w:szCs w:val="24"/>
        </w:rPr>
      </w:pPr>
      <w:r w:rsidRPr="00465ED6">
        <w:rPr>
          <w:rFonts w:ascii="Times New Roman" w:hAnsi="Times New Roman"/>
          <w:color w:val="auto"/>
          <w:sz w:val="24"/>
          <w:szCs w:val="24"/>
        </w:rPr>
        <w:t xml:space="preserve">Ο υπολογισμός του δείκτη </w:t>
      </w:r>
      <w:r w:rsidR="00F20722" w:rsidRPr="00465ED6">
        <w:rPr>
          <w:rFonts w:ascii="Times New Roman" w:hAnsi="Times New Roman"/>
          <w:color w:val="auto"/>
          <w:sz w:val="24"/>
          <w:szCs w:val="24"/>
        </w:rPr>
        <w:t xml:space="preserve">πριν τις κοινωνικές μεταβιβάσεις αποκαλύπτει </w:t>
      </w:r>
      <w:r w:rsidRPr="00465ED6">
        <w:rPr>
          <w:rFonts w:ascii="Times New Roman" w:hAnsi="Times New Roman"/>
          <w:color w:val="auto"/>
          <w:sz w:val="24"/>
          <w:szCs w:val="24"/>
        </w:rPr>
        <w:t>το εισοδηματικό χάσμα π</w:t>
      </w:r>
      <w:r w:rsidR="00310D95" w:rsidRPr="00465ED6">
        <w:rPr>
          <w:rFonts w:ascii="Times New Roman" w:hAnsi="Times New Roman"/>
          <w:color w:val="auto"/>
          <w:sz w:val="24"/>
          <w:szCs w:val="24"/>
        </w:rPr>
        <w:t>ου χωρίζει τα άτομα με αναπηρία</w:t>
      </w:r>
      <w:r w:rsidRPr="00465ED6">
        <w:rPr>
          <w:rFonts w:ascii="Times New Roman" w:hAnsi="Times New Roman"/>
          <w:color w:val="auto"/>
          <w:sz w:val="24"/>
          <w:szCs w:val="24"/>
        </w:rPr>
        <w:t xml:space="preserve"> από τα άτομα χωρίς αναπηρία.</w:t>
      </w:r>
      <w:r w:rsidRPr="00465ED6">
        <w:rPr>
          <w:rFonts w:ascii="Times New Roman" w:hAnsi="Times New Roman"/>
          <w:b/>
          <w:color w:val="auto"/>
          <w:sz w:val="24"/>
          <w:szCs w:val="24"/>
        </w:rPr>
        <w:t xml:space="preserve"> </w:t>
      </w:r>
    </w:p>
    <w:p w:rsidR="00681B6D" w:rsidRPr="00465ED6" w:rsidRDefault="00B05F56" w:rsidP="00681B6D">
      <w:pPr>
        <w:rPr>
          <w:rFonts w:ascii="Times New Roman" w:hAnsi="Times New Roman"/>
          <w:color w:val="auto"/>
          <w:sz w:val="24"/>
          <w:szCs w:val="24"/>
        </w:rPr>
      </w:pPr>
      <w:r w:rsidRPr="00465ED6">
        <w:rPr>
          <w:rFonts w:ascii="Times New Roman" w:hAnsi="Times New Roman"/>
          <w:b/>
          <w:color w:val="auto"/>
          <w:sz w:val="24"/>
          <w:szCs w:val="24"/>
        </w:rPr>
        <w:t>Το ποσοστό κινδύνου φτώχειας πριν από όλες τις κοινωνικές μεταβιβάσεις στα άτομα με σοβαρή αναπηρία αγγίζει το 82% και στα άτομα με μέτριου βαθμού περιορισμό το 76,1%,</w:t>
      </w:r>
      <w:r w:rsidRPr="00465ED6">
        <w:rPr>
          <w:rFonts w:ascii="Times New Roman" w:hAnsi="Times New Roman"/>
          <w:color w:val="auto"/>
          <w:sz w:val="24"/>
          <w:szCs w:val="24"/>
        </w:rPr>
        <w:t xml:space="preserve"> όταν στον πληθυσμό των ατόμων χωρίς αναπηρία -εξαίροντας πάλι όλες τις κοινωνικές μεταβιβάσεις από το εισόδημα- φτάνει στο 48%. </w:t>
      </w:r>
    </w:p>
    <w:p w:rsidR="00681B6D" w:rsidRPr="00465ED6" w:rsidRDefault="00B05F56" w:rsidP="00681B6D">
      <w:pPr>
        <w:pStyle w:val="a3"/>
        <w:keepNext/>
        <w:rPr>
          <w:rFonts w:ascii="Times New Roman" w:hAnsi="Times New Roman"/>
          <w:color w:val="auto"/>
        </w:rPr>
      </w:pPr>
      <w:r w:rsidRPr="00465ED6">
        <w:rPr>
          <w:rFonts w:ascii="Times New Roman" w:hAnsi="Times New Roman"/>
          <w:color w:val="auto"/>
        </w:rPr>
        <w:t xml:space="preserve">Πίνακας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Πίνακας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3</w:t>
      </w:r>
      <w:r w:rsidR="00E33BFF" w:rsidRPr="00465ED6">
        <w:rPr>
          <w:rFonts w:ascii="Times New Roman" w:hAnsi="Times New Roman"/>
          <w:noProof/>
          <w:color w:val="auto"/>
        </w:rPr>
        <w:fldChar w:fldCharType="end"/>
      </w:r>
    </w:p>
    <w:tbl>
      <w:tblPr>
        <w:tblW w:w="8080" w:type="dxa"/>
        <w:tblBorders>
          <w:top w:val="single" w:sz="4" w:space="0" w:color="7F7F7F"/>
          <w:left w:val="nil"/>
          <w:bottom w:val="single" w:sz="4" w:space="0" w:color="7F7F7F"/>
          <w:right w:val="nil"/>
          <w:insideH w:val="nil"/>
          <w:insideV w:val="nil"/>
        </w:tblBorders>
        <w:tblLook w:val="04A0" w:firstRow="1" w:lastRow="0" w:firstColumn="1" w:lastColumn="0" w:noHBand="0" w:noVBand="1"/>
      </w:tblPr>
      <w:tblGrid>
        <w:gridCol w:w="2536"/>
        <w:gridCol w:w="1517"/>
        <w:gridCol w:w="1406"/>
        <w:gridCol w:w="1495"/>
        <w:gridCol w:w="984"/>
        <w:gridCol w:w="142"/>
      </w:tblGrid>
      <w:tr w:rsidR="00465ED6" w:rsidRPr="00465ED6" w:rsidTr="00CA3BB6">
        <w:trPr>
          <w:trHeight w:val="600"/>
        </w:trPr>
        <w:tc>
          <w:tcPr>
            <w:tcW w:w="8080" w:type="dxa"/>
            <w:gridSpan w:val="6"/>
            <w:tcBorders>
              <w:bottom w:val="single" w:sz="4" w:space="0" w:color="7F7F7F"/>
            </w:tcBorders>
            <w:shd w:val="clear" w:color="auto" w:fill="auto"/>
            <w:hideMark/>
          </w:tcPr>
          <w:p w:rsidR="00681B6D" w:rsidRPr="00465ED6" w:rsidRDefault="00B05F56" w:rsidP="00CA3BB6">
            <w:pPr>
              <w:jc w:val="center"/>
              <w:rPr>
                <w:rFonts w:ascii="Times New Roman" w:hAnsi="Times New Roman"/>
                <w:b/>
                <w:bCs/>
                <w:color w:val="auto"/>
              </w:rPr>
            </w:pPr>
            <w:r w:rsidRPr="00465ED6">
              <w:rPr>
                <w:rFonts w:ascii="Times New Roman" w:hAnsi="Times New Roman"/>
                <w:b/>
                <w:color w:val="auto"/>
              </w:rPr>
              <w:t>ΚΙΝΔΥΝΟΣ ΣΧΕΤΙΚΗΣ ΦΤΩΧΕΙΑΣ ΣΤΟΝ ΠΛΗΘΥΣΜΟ ΗΛΙΚΙΑΣ 16 + ΚΑΙ ΑΝΑΠΗΡΙΑ</w:t>
            </w:r>
          </w:p>
        </w:tc>
      </w:tr>
      <w:tr w:rsidR="00465ED6" w:rsidRPr="00465ED6" w:rsidTr="00CA3BB6">
        <w:trPr>
          <w:gridAfter w:val="1"/>
          <w:wAfter w:w="142" w:type="dxa"/>
          <w:trHeight w:val="750"/>
        </w:trPr>
        <w:tc>
          <w:tcPr>
            <w:tcW w:w="0" w:type="auto"/>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b/>
                <w:bCs/>
                <w:color w:val="auto"/>
              </w:rPr>
            </w:pPr>
            <w:r w:rsidRPr="00465ED6">
              <w:rPr>
                <w:rFonts w:ascii="Times New Roman" w:hAnsi="Times New Roman"/>
                <w:b/>
                <w:bCs/>
                <w:color w:val="auto"/>
              </w:rPr>
              <w:t> </w:t>
            </w:r>
          </w:p>
        </w:tc>
        <w:tc>
          <w:tcPr>
            <w:tcW w:w="0" w:type="auto"/>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color w:val="auto"/>
                <w:sz w:val="18"/>
                <w:szCs w:val="18"/>
              </w:rPr>
            </w:pPr>
            <w:r w:rsidRPr="00465ED6">
              <w:rPr>
                <w:rFonts w:ascii="Times New Roman" w:hAnsi="Times New Roman"/>
                <w:color w:val="auto"/>
                <w:sz w:val="18"/>
                <w:szCs w:val="18"/>
              </w:rPr>
              <w:t>ΣΟΒΑΡΟ</w:t>
            </w:r>
            <w:r w:rsidR="00141EBD" w:rsidRPr="00465ED6">
              <w:rPr>
                <w:rFonts w:ascii="Times New Roman" w:hAnsi="Times New Roman"/>
                <w:color w:val="auto"/>
                <w:sz w:val="18"/>
                <w:szCs w:val="18"/>
              </w:rPr>
              <w:t>Σ</w:t>
            </w:r>
            <w:r w:rsidRPr="00465ED6">
              <w:rPr>
                <w:rFonts w:ascii="Times New Roman" w:hAnsi="Times New Roman"/>
                <w:color w:val="auto"/>
                <w:sz w:val="18"/>
                <w:szCs w:val="18"/>
              </w:rPr>
              <w:t xml:space="preserve"> ΠΕΡΙΟΡΙΣΜΟ</w:t>
            </w:r>
            <w:r w:rsidR="00141EBD" w:rsidRPr="00465ED6">
              <w:rPr>
                <w:rFonts w:ascii="Times New Roman" w:hAnsi="Times New Roman"/>
                <w:color w:val="auto"/>
                <w:sz w:val="18"/>
                <w:szCs w:val="18"/>
              </w:rPr>
              <w:t>Σ</w:t>
            </w:r>
          </w:p>
        </w:tc>
        <w:tc>
          <w:tcPr>
            <w:tcW w:w="1274" w:type="dxa"/>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color w:val="auto"/>
                <w:sz w:val="18"/>
                <w:szCs w:val="18"/>
              </w:rPr>
            </w:pPr>
            <w:r w:rsidRPr="00465ED6">
              <w:rPr>
                <w:rFonts w:ascii="Times New Roman" w:hAnsi="Times New Roman"/>
                <w:color w:val="auto"/>
                <w:sz w:val="18"/>
                <w:szCs w:val="18"/>
              </w:rPr>
              <w:t>ΜΕΤΡΙΟ</w:t>
            </w:r>
            <w:r w:rsidR="00141EBD" w:rsidRPr="00465ED6">
              <w:rPr>
                <w:rFonts w:ascii="Times New Roman" w:hAnsi="Times New Roman"/>
                <w:color w:val="auto"/>
                <w:sz w:val="18"/>
                <w:szCs w:val="18"/>
              </w:rPr>
              <w:t>Σ</w:t>
            </w:r>
            <w:r w:rsidRPr="00465ED6">
              <w:rPr>
                <w:rFonts w:ascii="Times New Roman" w:hAnsi="Times New Roman"/>
                <w:color w:val="auto"/>
                <w:sz w:val="18"/>
                <w:szCs w:val="18"/>
              </w:rPr>
              <w:t xml:space="preserve"> ΠΕΡΙΟΡΙΣΜΟ</w:t>
            </w:r>
            <w:r w:rsidR="00141EBD" w:rsidRPr="00465ED6">
              <w:rPr>
                <w:rFonts w:ascii="Times New Roman" w:hAnsi="Times New Roman"/>
                <w:color w:val="auto"/>
                <w:sz w:val="18"/>
                <w:szCs w:val="18"/>
              </w:rPr>
              <w:t>Σ</w:t>
            </w:r>
          </w:p>
        </w:tc>
        <w:tc>
          <w:tcPr>
            <w:tcW w:w="0" w:type="auto"/>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color w:val="auto"/>
                <w:sz w:val="18"/>
                <w:szCs w:val="18"/>
              </w:rPr>
            </w:pPr>
            <w:r w:rsidRPr="00465ED6">
              <w:rPr>
                <w:rFonts w:ascii="Times New Roman" w:hAnsi="Times New Roman"/>
                <w:color w:val="auto"/>
                <w:sz w:val="18"/>
                <w:szCs w:val="18"/>
              </w:rPr>
              <w:t>ΧΩΡΙΣ ΚΑΝΕΝΑΝ ΠΕΡΙΟΡΙΣΜΟ</w:t>
            </w:r>
          </w:p>
        </w:tc>
        <w:tc>
          <w:tcPr>
            <w:tcW w:w="984" w:type="dxa"/>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color w:val="auto"/>
                <w:sz w:val="18"/>
                <w:szCs w:val="18"/>
              </w:rPr>
            </w:pPr>
            <w:r w:rsidRPr="00465ED6">
              <w:rPr>
                <w:rFonts w:ascii="Times New Roman" w:hAnsi="Times New Roman"/>
                <w:color w:val="auto"/>
                <w:sz w:val="18"/>
                <w:szCs w:val="18"/>
              </w:rPr>
              <w:t>ΣΥΝΟΛΟ</w:t>
            </w:r>
          </w:p>
        </w:tc>
      </w:tr>
      <w:tr w:rsidR="00465ED6" w:rsidRPr="00465ED6" w:rsidTr="00CA3BB6">
        <w:trPr>
          <w:gridAfter w:val="1"/>
          <w:wAfter w:w="142" w:type="dxa"/>
          <w:trHeight w:val="300"/>
        </w:trPr>
        <w:tc>
          <w:tcPr>
            <w:tcW w:w="0" w:type="auto"/>
            <w:shd w:val="clear" w:color="auto" w:fill="auto"/>
            <w:hideMark/>
          </w:tcPr>
          <w:p w:rsidR="00681B6D" w:rsidRPr="00465ED6" w:rsidRDefault="00B05F56" w:rsidP="002C6E09">
            <w:pPr>
              <w:rPr>
                <w:rFonts w:ascii="Times New Roman" w:hAnsi="Times New Roman"/>
                <w:b/>
                <w:bCs/>
                <w:i/>
                <w:iCs/>
                <w:color w:val="auto"/>
                <w:sz w:val="18"/>
                <w:szCs w:val="18"/>
              </w:rPr>
            </w:pPr>
            <w:r w:rsidRPr="00465ED6">
              <w:rPr>
                <w:rFonts w:ascii="Times New Roman" w:hAnsi="Times New Roman"/>
                <w:bCs/>
                <w:i/>
                <w:iCs/>
                <w:color w:val="auto"/>
                <w:sz w:val="18"/>
                <w:szCs w:val="18"/>
              </w:rPr>
              <w:t xml:space="preserve">ΠΟΣΟΣΤΟ ΚΙΝΔΥΝΟΥ ΣΧΕΤΙΚΗΣ ΦΤΩΧΕΙΑΣ  </w:t>
            </w:r>
          </w:p>
        </w:tc>
        <w:tc>
          <w:tcPr>
            <w:tcW w:w="0" w:type="auto"/>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18,5%</w:t>
            </w:r>
          </w:p>
        </w:tc>
        <w:tc>
          <w:tcPr>
            <w:tcW w:w="1274" w:type="dxa"/>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19,1%</w:t>
            </w:r>
          </w:p>
        </w:tc>
        <w:tc>
          <w:tcPr>
            <w:tcW w:w="0" w:type="auto"/>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20,7%</w:t>
            </w:r>
          </w:p>
        </w:tc>
        <w:tc>
          <w:tcPr>
            <w:tcW w:w="984" w:type="dxa"/>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20,3%</w:t>
            </w:r>
          </w:p>
        </w:tc>
      </w:tr>
      <w:tr w:rsidR="00465ED6" w:rsidRPr="00465ED6" w:rsidTr="00CA3BB6">
        <w:trPr>
          <w:gridAfter w:val="1"/>
          <w:wAfter w:w="142" w:type="dxa"/>
          <w:trHeight w:val="780"/>
        </w:trPr>
        <w:tc>
          <w:tcPr>
            <w:tcW w:w="0" w:type="auto"/>
            <w:tcBorders>
              <w:top w:val="single" w:sz="4" w:space="0" w:color="7F7F7F"/>
              <w:bottom w:val="single" w:sz="4" w:space="0" w:color="7F7F7F"/>
            </w:tcBorders>
            <w:shd w:val="clear" w:color="auto" w:fill="auto"/>
            <w:hideMark/>
          </w:tcPr>
          <w:p w:rsidR="00681B6D" w:rsidRPr="00465ED6" w:rsidRDefault="00B05F56" w:rsidP="00B84D35">
            <w:pPr>
              <w:rPr>
                <w:rFonts w:ascii="Times New Roman" w:hAnsi="Times New Roman"/>
                <w:b/>
                <w:bCs/>
                <w:i/>
                <w:iCs/>
                <w:color w:val="auto"/>
                <w:sz w:val="18"/>
                <w:szCs w:val="18"/>
              </w:rPr>
            </w:pPr>
            <w:r w:rsidRPr="00465ED6">
              <w:rPr>
                <w:rFonts w:ascii="Times New Roman" w:hAnsi="Times New Roman"/>
                <w:bCs/>
                <w:i/>
                <w:iCs/>
                <w:color w:val="auto"/>
                <w:sz w:val="18"/>
                <w:szCs w:val="18"/>
              </w:rPr>
              <w:t>ΠΟΣΟΣΤΟ ΚΙΝΔΥΝΟΥ ΣΧΕΤΙΚΗΣ ΦΤΩΧΕΙΑΣ ΠΡΙΝ ΑΠΟ ΤΙΣ ΚΟΙΝΩΝΙΚΕΣ ΜΕΤΑΒΙΒΑΣΕΙΣ ΜΕ ΕΞΑΙΡΕΣΗ ΤΙΣ ΣΥΝΤΑΞΕΙΣ</w:t>
            </w:r>
          </w:p>
        </w:tc>
        <w:tc>
          <w:tcPr>
            <w:tcW w:w="0" w:type="auto"/>
            <w:tcBorders>
              <w:top w:val="single" w:sz="4" w:space="0" w:color="7F7F7F"/>
              <w:bottom w:val="single" w:sz="4" w:space="0" w:color="7F7F7F"/>
            </w:tcBorders>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25,9%</w:t>
            </w:r>
          </w:p>
        </w:tc>
        <w:tc>
          <w:tcPr>
            <w:tcW w:w="1274" w:type="dxa"/>
            <w:tcBorders>
              <w:top w:val="single" w:sz="4" w:space="0" w:color="7F7F7F"/>
              <w:bottom w:val="single" w:sz="4" w:space="0" w:color="7F7F7F"/>
            </w:tcBorders>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22,4%</w:t>
            </w:r>
          </w:p>
        </w:tc>
        <w:tc>
          <w:tcPr>
            <w:tcW w:w="0" w:type="auto"/>
            <w:tcBorders>
              <w:top w:val="single" w:sz="4" w:space="0" w:color="7F7F7F"/>
              <w:bottom w:val="single" w:sz="4" w:space="0" w:color="7F7F7F"/>
            </w:tcBorders>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23,6%</w:t>
            </w:r>
          </w:p>
        </w:tc>
        <w:tc>
          <w:tcPr>
            <w:tcW w:w="984" w:type="dxa"/>
            <w:tcBorders>
              <w:top w:val="single" w:sz="4" w:space="0" w:color="7F7F7F"/>
              <w:bottom w:val="single" w:sz="4" w:space="0" w:color="7F7F7F"/>
            </w:tcBorders>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23,7%</w:t>
            </w:r>
          </w:p>
        </w:tc>
      </w:tr>
      <w:tr w:rsidR="00465ED6" w:rsidRPr="00465ED6" w:rsidTr="00CA3BB6">
        <w:trPr>
          <w:gridAfter w:val="1"/>
          <w:wAfter w:w="142" w:type="dxa"/>
          <w:trHeight w:val="525"/>
        </w:trPr>
        <w:tc>
          <w:tcPr>
            <w:tcW w:w="0" w:type="auto"/>
            <w:shd w:val="clear" w:color="auto" w:fill="auto"/>
            <w:hideMark/>
          </w:tcPr>
          <w:p w:rsidR="00681B6D" w:rsidRPr="00465ED6" w:rsidRDefault="00B05F56" w:rsidP="002C6E09">
            <w:pPr>
              <w:rPr>
                <w:rFonts w:ascii="Times New Roman" w:hAnsi="Times New Roman"/>
                <w:b/>
                <w:bCs/>
                <w:i/>
                <w:iCs/>
                <w:color w:val="auto"/>
                <w:sz w:val="18"/>
                <w:szCs w:val="18"/>
              </w:rPr>
            </w:pPr>
            <w:r w:rsidRPr="00465ED6">
              <w:rPr>
                <w:rFonts w:ascii="Times New Roman" w:hAnsi="Times New Roman"/>
                <w:bCs/>
                <w:i/>
                <w:iCs/>
                <w:color w:val="auto"/>
                <w:sz w:val="18"/>
                <w:szCs w:val="18"/>
              </w:rPr>
              <w:t xml:space="preserve">ΠΟΣΟΣΤΟ ΚΙΝΔΥΝΟΥ ΣΧΕΤΙΚΗΣ ΦΤΩΧΕΙΑΣ  ΠΡΙΝ ΑΠΟ ΟΛΕΣ ΤΙΣ ΚΟΙΝΩΝΙΚΕΣ ΜΕΤΑΒΙΒΑΣΕΙΣ </w:t>
            </w:r>
          </w:p>
        </w:tc>
        <w:tc>
          <w:tcPr>
            <w:tcW w:w="0" w:type="auto"/>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81,8%</w:t>
            </w:r>
          </w:p>
        </w:tc>
        <w:tc>
          <w:tcPr>
            <w:tcW w:w="1274" w:type="dxa"/>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76,1%</w:t>
            </w:r>
          </w:p>
        </w:tc>
        <w:tc>
          <w:tcPr>
            <w:tcW w:w="0" w:type="auto"/>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48,0%</w:t>
            </w:r>
          </w:p>
        </w:tc>
        <w:tc>
          <w:tcPr>
            <w:tcW w:w="984" w:type="dxa"/>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55,6%</w:t>
            </w:r>
          </w:p>
        </w:tc>
      </w:tr>
    </w:tbl>
    <w:p w:rsidR="00681B6D" w:rsidRPr="00465ED6" w:rsidRDefault="00B05F56" w:rsidP="00681B6D">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w:t>
      </w:r>
      <w:r w:rsidR="00530949" w:rsidRPr="00465ED6">
        <w:rPr>
          <w:rFonts w:ascii="Times New Roman" w:hAnsi="Times New Roman"/>
          <w:b w:val="0"/>
          <w:i/>
          <w:color w:val="auto"/>
          <w:sz w:val="18"/>
          <w:szCs w:val="18"/>
        </w:rPr>
        <w:t xml:space="preserve"> ΔΕΔΟΜΕΝΩΝ</w:t>
      </w:r>
      <w:r w:rsidRPr="00465ED6">
        <w:rPr>
          <w:rFonts w:ascii="Times New Roman" w:hAnsi="Times New Roman"/>
          <w:b w:val="0"/>
          <w:i/>
          <w:color w:val="auto"/>
          <w:sz w:val="18"/>
          <w:szCs w:val="18"/>
        </w:rPr>
        <w:t>: ΕΛΣΤΑΤ, Έρευνα Εισοδήματος και Συνθηκών Διαβίωσης 2016/ ΕΠΕΞΕΡΓΑΣΙΑ: Παρατηρητήριο Θεμάτων Αναπηρίας-Ε.Σ.Α.μεΑ.</w:t>
      </w:r>
    </w:p>
    <w:p w:rsidR="00B94018" w:rsidRPr="00465ED6" w:rsidRDefault="00B94018" w:rsidP="00B94018">
      <w:pPr>
        <w:rPr>
          <w:rFonts w:ascii="Times New Roman" w:hAnsi="Times New Roman"/>
          <w:color w:val="auto"/>
          <w:sz w:val="24"/>
          <w:szCs w:val="24"/>
        </w:rPr>
      </w:pPr>
      <w:r w:rsidRPr="00465ED6">
        <w:rPr>
          <w:rFonts w:ascii="Times New Roman" w:hAnsi="Times New Roman"/>
          <w:color w:val="auto"/>
          <w:sz w:val="24"/>
          <w:szCs w:val="24"/>
        </w:rPr>
        <w:t xml:space="preserve">Στην ομάδα 16-64 το ποσοστό κινδύνου φτώχειας πριν από όλες τις κοινωνικές μεταβιβάσεις αγγίζει το 67% στον πληθυσμό των ατόμων με σοβαρή αναπηρία και το 58,1 στην ομάδα με μετρίου βαθμού περιορισμό δραστηριότητας, ενώ στον πληθυσμό χωρίς αναπηρία ανέρχεται στο 42,2%. </w:t>
      </w:r>
    </w:p>
    <w:p w:rsidR="00B94018" w:rsidRPr="00465ED6" w:rsidRDefault="00B94018" w:rsidP="00B94018">
      <w:pPr>
        <w:rPr>
          <w:rFonts w:ascii="Times New Roman" w:hAnsi="Times New Roman"/>
          <w:color w:val="auto"/>
          <w:sz w:val="24"/>
          <w:szCs w:val="24"/>
        </w:rPr>
      </w:pPr>
      <w:r w:rsidRPr="00465ED6">
        <w:rPr>
          <w:rFonts w:ascii="Times New Roman" w:hAnsi="Times New Roman"/>
          <w:color w:val="auto"/>
          <w:sz w:val="24"/>
          <w:szCs w:val="24"/>
        </w:rPr>
        <w:t xml:space="preserve">Παρότι στις παραγωγικές ηλικίες οι τιμές του δείκτη πριν τις κοινωνικές μεταβιβάσεις είναι συγκριτικά χαμηλότερες από τις αντίστοιχες τιμές του συνολικού πληθυσμού με αναπηρία 16+, τα εν λόγω επίπεδα είναι σαφώς περισσότερο ανησυχητικά στην κατηγορία 16-64, καθώς υποδεικνύουν ότι σημαντικό τμήμα του παραγωγικού πληθυσμού βρίσκεται εκτός εργασίας ή όπως περιγράφεται </w:t>
      </w:r>
      <w:r w:rsidR="00142923" w:rsidRPr="00465ED6">
        <w:rPr>
          <w:rFonts w:ascii="Times New Roman" w:hAnsi="Times New Roman"/>
          <w:color w:val="auto"/>
          <w:sz w:val="24"/>
          <w:szCs w:val="24"/>
        </w:rPr>
        <w:t>στη</w:t>
      </w:r>
      <w:r w:rsidRPr="00465ED6">
        <w:rPr>
          <w:rFonts w:ascii="Times New Roman" w:hAnsi="Times New Roman"/>
          <w:color w:val="auto"/>
          <w:sz w:val="24"/>
          <w:szCs w:val="24"/>
        </w:rPr>
        <w:t xml:space="preserve"> συνέχεια </w:t>
      </w:r>
      <w:r w:rsidR="00142923" w:rsidRPr="00465ED6">
        <w:rPr>
          <w:rFonts w:ascii="Times New Roman" w:hAnsi="Times New Roman"/>
          <w:color w:val="auto"/>
          <w:sz w:val="24"/>
          <w:szCs w:val="24"/>
        </w:rPr>
        <w:t>διαβιεί σε νοικοκυριά με χαμηλή ένταση</w:t>
      </w:r>
      <w:r w:rsidRPr="00465ED6">
        <w:rPr>
          <w:rFonts w:ascii="Times New Roman" w:hAnsi="Times New Roman"/>
          <w:color w:val="auto"/>
          <w:sz w:val="24"/>
          <w:szCs w:val="24"/>
        </w:rPr>
        <w:t xml:space="preserve"> εργασία</w:t>
      </w:r>
      <w:r w:rsidR="00142923" w:rsidRPr="00465ED6">
        <w:rPr>
          <w:rFonts w:ascii="Times New Roman" w:hAnsi="Times New Roman"/>
          <w:color w:val="auto"/>
          <w:sz w:val="24"/>
          <w:szCs w:val="24"/>
        </w:rPr>
        <w:t>ς</w:t>
      </w:r>
      <w:r w:rsidRPr="00465ED6">
        <w:rPr>
          <w:rFonts w:ascii="Times New Roman" w:hAnsi="Times New Roman"/>
          <w:color w:val="auto"/>
          <w:sz w:val="24"/>
          <w:szCs w:val="24"/>
        </w:rPr>
        <w:t xml:space="preserve">. </w:t>
      </w:r>
    </w:p>
    <w:p w:rsidR="00681B6D" w:rsidRPr="00465ED6" w:rsidRDefault="00681B6D" w:rsidP="00681B6D">
      <w:pPr>
        <w:pStyle w:val="a8"/>
        <w:rPr>
          <w:rFonts w:ascii="Times New Roman" w:hAnsi="Times New Roman"/>
          <w:b/>
          <w:color w:val="auto"/>
          <w:sz w:val="26"/>
          <w:szCs w:val="26"/>
        </w:rPr>
      </w:pPr>
    </w:p>
    <w:p w:rsidR="00681B6D" w:rsidRPr="00465ED6" w:rsidRDefault="00B05F56" w:rsidP="00681B6D">
      <w:pPr>
        <w:pStyle w:val="a3"/>
        <w:keepNext/>
        <w:rPr>
          <w:rFonts w:ascii="Times New Roman" w:hAnsi="Times New Roman"/>
          <w:color w:val="auto"/>
        </w:rPr>
      </w:pPr>
      <w:r w:rsidRPr="00465ED6">
        <w:rPr>
          <w:rFonts w:ascii="Times New Roman" w:hAnsi="Times New Roman"/>
          <w:color w:val="auto"/>
        </w:rPr>
        <w:lastRenderedPageBreak/>
        <w:t xml:space="preserve">Γράφημα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Γράφημα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6</w:t>
      </w:r>
      <w:r w:rsidR="00E33BFF" w:rsidRPr="00465ED6">
        <w:rPr>
          <w:rFonts w:ascii="Times New Roman" w:hAnsi="Times New Roman"/>
          <w:noProof/>
          <w:color w:val="auto"/>
        </w:rPr>
        <w:fldChar w:fldCharType="end"/>
      </w:r>
    </w:p>
    <w:p w:rsidR="00681B6D" w:rsidRPr="00465ED6" w:rsidRDefault="00475B2D" w:rsidP="00681B6D">
      <w:pPr>
        <w:pStyle w:val="a8"/>
        <w:keepNext/>
        <w:spacing w:line="240" w:lineRule="auto"/>
        <w:ind w:left="142"/>
        <w:rPr>
          <w:rFonts w:ascii="Times New Roman" w:hAnsi="Times New Roman"/>
          <w:color w:val="auto"/>
        </w:rPr>
      </w:pPr>
      <w:r w:rsidRPr="00465ED6">
        <w:rPr>
          <w:rFonts w:ascii="Times New Roman" w:hAnsi="Times New Roman"/>
          <w:noProof/>
          <w:color w:val="auto"/>
        </w:rPr>
        <w:drawing>
          <wp:inline distT="0" distB="0" distL="0" distR="0">
            <wp:extent cx="5036820" cy="3185160"/>
            <wp:effectExtent l="0" t="0" r="0" b="0"/>
            <wp:docPr id="9" name="Γράφημα 7" title="γράφ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7"/>
                    <pic:cNvPicPr>
                      <a:picLocks noChangeAspect="1" noChangeArrowheads="1"/>
                    </pic:cNvPicPr>
                  </pic:nvPicPr>
                  <pic:blipFill>
                    <a:blip r:embed="rId15"/>
                    <a:srcRect/>
                    <a:stretch>
                      <a:fillRect/>
                    </a:stretch>
                  </pic:blipFill>
                  <pic:spPr bwMode="auto">
                    <a:xfrm>
                      <a:off x="0" y="0"/>
                      <a:ext cx="5036820" cy="3185160"/>
                    </a:xfrm>
                    <a:prstGeom prst="rect">
                      <a:avLst/>
                    </a:prstGeom>
                    <a:noFill/>
                    <a:ln w="9525">
                      <a:noFill/>
                      <a:miter lim="800000"/>
                      <a:headEnd/>
                      <a:tailEnd/>
                    </a:ln>
                  </pic:spPr>
                </pic:pic>
              </a:graphicData>
            </a:graphic>
          </wp:inline>
        </w:drawing>
      </w:r>
    </w:p>
    <w:p w:rsidR="00681B6D" w:rsidRPr="00465ED6" w:rsidRDefault="00B05F56" w:rsidP="00681B6D">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w:t>
      </w:r>
      <w:r w:rsidR="00142923" w:rsidRPr="00465ED6">
        <w:rPr>
          <w:rFonts w:ascii="Times New Roman" w:hAnsi="Times New Roman"/>
          <w:b w:val="0"/>
          <w:i/>
          <w:color w:val="auto"/>
          <w:sz w:val="18"/>
          <w:szCs w:val="18"/>
        </w:rPr>
        <w:t xml:space="preserve"> ΔΕΔΟΜΕΝΩΝ</w:t>
      </w:r>
      <w:r w:rsidRPr="00465ED6">
        <w:rPr>
          <w:rFonts w:ascii="Times New Roman" w:hAnsi="Times New Roman"/>
          <w:b w:val="0"/>
          <w:i/>
          <w:color w:val="auto"/>
          <w:sz w:val="18"/>
          <w:szCs w:val="18"/>
        </w:rPr>
        <w:t>: ΕΛΣΤΑΤ, Έρευνα Εισοδήματος και Συνθηκών Διαβίωσης 2016/ ΕΠΕΞΕΡΓΑΣΙΑ: Παρατηρητήριο Θεμάτων Αναπηρίας-Ε.Σ.Α.μεΑ.</w:t>
      </w:r>
    </w:p>
    <w:p w:rsidR="00681B6D" w:rsidRPr="00465ED6" w:rsidRDefault="00CD2C99" w:rsidP="00681B6D">
      <w:pPr>
        <w:rPr>
          <w:rFonts w:ascii="Times New Roman" w:hAnsi="Times New Roman"/>
          <w:b/>
          <w:color w:val="auto"/>
          <w:sz w:val="26"/>
          <w:szCs w:val="26"/>
          <w:u w:val="single"/>
        </w:rPr>
      </w:pPr>
      <w:r w:rsidRPr="00465ED6">
        <w:rPr>
          <w:rFonts w:ascii="Times New Roman" w:hAnsi="Times New Roman"/>
          <w:b/>
          <w:color w:val="auto"/>
          <w:sz w:val="26"/>
          <w:szCs w:val="26"/>
          <w:u w:val="single"/>
        </w:rPr>
        <w:t>Β2.2 Δείκτης «</w:t>
      </w:r>
      <w:r w:rsidR="00B05F56" w:rsidRPr="00465ED6">
        <w:rPr>
          <w:rFonts w:ascii="Times New Roman" w:hAnsi="Times New Roman"/>
          <w:b/>
          <w:color w:val="auto"/>
          <w:sz w:val="26"/>
          <w:szCs w:val="26"/>
          <w:u w:val="single"/>
        </w:rPr>
        <w:t>Ποσοστό ατόμων που διαβιεί</w:t>
      </w:r>
      <w:r w:rsidRPr="00465ED6">
        <w:rPr>
          <w:rFonts w:ascii="Times New Roman" w:hAnsi="Times New Roman"/>
          <w:b/>
          <w:color w:val="auto"/>
          <w:sz w:val="26"/>
          <w:szCs w:val="26"/>
          <w:u w:val="single"/>
        </w:rPr>
        <w:t xml:space="preserve"> σε νοικοκυριά με υλική στέρηση»</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Ο δείκτης «ποσοστό ατόμων με υλικές στερήσεις» εκτιμά το επίπεδο διαβίωσης μετρώντας το ποσοστό του πληθυσμού που στερείται τ</w:t>
      </w:r>
      <w:r w:rsidR="00A97D37" w:rsidRPr="00465ED6">
        <w:rPr>
          <w:rFonts w:ascii="Times New Roman" w:hAnsi="Times New Roman"/>
          <w:color w:val="auto"/>
          <w:sz w:val="24"/>
          <w:szCs w:val="24"/>
        </w:rPr>
        <w:t>ουλάχιστον 4</w:t>
      </w:r>
      <w:r w:rsidRPr="00465ED6">
        <w:rPr>
          <w:rFonts w:ascii="Times New Roman" w:hAnsi="Times New Roman"/>
          <w:color w:val="auto"/>
          <w:sz w:val="24"/>
          <w:szCs w:val="24"/>
        </w:rPr>
        <w:t xml:space="preserve"> από έναν κατάλογο  9 βασικών αγαθών και υπηρεσιών</w:t>
      </w:r>
      <w:r w:rsidR="00A97D37" w:rsidRPr="00465ED6">
        <w:rPr>
          <w:rFonts w:ascii="Times New Roman" w:hAnsi="Times New Roman"/>
          <w:color w:val="auto"/>
          <w:sz w:val="24"/>
          <w:szCs w:val="24"/>
        </w:rPr>
        <w:t>,</w:t>
      </w:r>
      <w:r w:rsidR="008E57FE" w:rsidRPr="00465ED6">
        <w:rPr>
          <w:rFonts w:ascii="Times New Roman" w:hAnsi="Times New Roman"/>
          <w:color w:val="auto"/>
          <w:sz w:val="24"/>
          <w:szCs w:val="24"/>
        </w:rPr>
        <w:t xml:space="preserve"> λόγω οικονομικής αδυναμίας </w:t>
      </w:r>
      <w:r w:rsidR="00A97D37" w:rsidRPr="00465ED6">
        <w:rPr>
          <w:rFonts w:ascii="Times New Roman" w:hAnsi="Times New Roman"/>
          <w:color w:val="auto"/>
          <w:sz w:val="24"/>
          <w:szCs w:val="24"/>
        </w:rPr>
        <w:t>απόκτησής</w:t>
      </w:r>
      <w:r w:rsidR="008E57FE" w:rsidRPr="00465ED6">
        <w:rPr>
          <w:rFonts w:ascii="Times New Roman" w:hAnsi="Times New Roman"/>
          <w:color w:val="auto"/>
          <w:sz w:val="24"/>
          <w:szCs w:val="24"/>
        </w:rPr>
        <w:t xml:space="preserve"> τους. </w:t>
      </w:r>
    </w:p>
    <w:p w:rsidR="008E57FE" w:rsidRPr="00465ED6" w:rsidRDefault="008E57FE" w:rsidP="00681B6D">
      <w:pPr>
        <w:rPr>
          <w:rFonts w:ascii="Times New Roman" w:hAnsi="Times New Roman"/>
          <w:color w:val="auto"/>
          <w:sz w:val="24"/>
          <w:szCs w:val="24"/>
        </w:rPr>
      </w:pPr>
      <w:r w:rsidRPr="00465ED6">
        <w:rPr>
          <w:rFonts w:ascii="Times New Roman" w:hAnsi="Times New Roman"/>
          <w:color w:val="auto"/>
          <w:sz w:val="24"/>
          <w:szCs w:val="24"/>
        </w:rPr>
        <w:t xml:space="preserve">Τα αγαθά </w:t>
      </w:r>
      <w:r w:rsidR="00B3413A" w:rsidRPr="00465ED6">
        <w:rPr>
          <w:rFonts w:ascii="Times New Roman" w:hAnsi="Times New Roman"/>
          <w:color w:val="auto"/>
          <w:sz w:val="24"/>
          <w:szCs w:val="24"/>
        </w:rPr>
        <w:t xml:space="preserve">και οι υπηρεσίες </w:t>
      </w:r>
      <w:r w:rsidRPr="00465ED6">
        <w:rPr>
          <w:rFonts w:ascii="Times New Roman" w:hAnsi="Times New Roman"/>
          <w:color w:val="auto"/>
          <w:sz w:val="24"/>
          <w:szCs w:val="24"/>
        </w:rPr>
        <w:t>που περιλαμβάνονται στον δείκτη είναι</w:t>
      </w:r>
      <w:r w:rsidR="00B3413A" w:rsidRPr="00465ED6">
        <w:rPr>
          <w:rFonts w:ascii="Times New Roman" w:hAnsi="Times New Roman"/>
          <w:color w:val="auto"/>
          <w:sz w:val="24"/>
          <w:szCs w:val="24"/>
        </w:rPr>
        <w:t xml:space="preserve"> </w:t>
      </w:r>
      <w:r w:rsidR="0003621D" w:rsidRPr="00465ED6">
        <w:rPr>
          <w:rFonts w:ascii="Times New Roman" w:hAnsi="Times New Roman"/>
          <w:color w:val="auto"/>
          <w:sz w:val="24"/>
          <w:szCs w:val="24"/>
        </w:rPr>
        <w:t>οι</w:t>
      </w:r>
      <w:r w:rsidR="00B3413A" w:rsidRPr="00465ED6">
        <w:rPr>
          <w:rFonts w:ascii="Times New Roman" w:hAnsi="Times New Roman"/>
          <w:color w:val="auto"/>
          <w:sz w:val="24"/>
          <w:szCs w:val="24"/>
        </w:rPr>
        <w:t xml:space="preserve"> εξής</w:t>
      </w:r>
      <w:r w:rsidRPr="00465ED6">
        <w:rPr>
          <w:rFonts w:ascii="Times New Roman" w:hAnsi="Times New Roman"/>
          <w:color w:val="auto"/>
          <w:sz w:val="24"/>
          <w:szCs w:val="24"/>
        </w:rPr>
        <w:t>:</w:t>
      </w:r>
      <w:r w:rsidR="00C614BF" w:rsidRPr="00465ED6">
        <w:rPr>
          <w:rFonts w:ascii="Times New Roman" w:hAnsi="Times New Roman"/>
          <w:color w:val="auto"/>
          <w:sz w:val="24"/>
          <w:szCs w:val="24"/>
        </w:rPr>
        <w:t xml:space="preserve"> Δυσκολίες ανταπόκρισης στην πληρωμή πάγιων λογαριασμών, δ</w:t>
      </w:r>
      <w:r w:rsidRPr="00465ED6">
        <w:rPr>
          <w:rFonts w:ascii="Times New Roman" w:hAnsi="Times New Roman"/>
          <w:color w:val="auto"/>
          <w:sz w:val="24"/>
          <w:szCs w:val="24"/>
        </w:rPr>
        <w:t xml:space="preserve">ιακοπές μια εβδομάδα το χρόνο, κατανάλωση κρέατος ή ψαριού </w:t>
      </w:r>
      <w:r w:rsidR="0003621D" w:rsidRPr="00465ED6">
        <w:rPr>
          <w:rFonts w:ascii="Times New Roman" w:hAnsi="Times New Roman"/>
          <w:color w:val="auto"/>
          <w:sz w:val="24"/>
          <w:szCs w:val="24"/>
        </w:rPr>
        <w:t>(</w:t>
      </w:r>
      <w:r w:rsidRPr="00465ED6">
        <w:rPr>
          <w:rFonts w:ascii="Times New Roman" w:hAnsi="Times New Roman"/>
          <w:color w:val="auto"/>
          <w:sz w:val="24"/>
          <w:szCs w:val="24"/>
        </w:rPr>
        <w:t>ή λαχανικών ίσης θρεπτικής αξίας</w:t>
      </w:r>
      <w:r w:rsidR="0003621D" w:rsidRPr="00465ED6">
        <w:rPr>
          <w:rFonts w:ascii="Times New Roman" w:hAnsi="Times New Roman"/>
          <w:color w:val="auto"/>
          <w:sz w:val="24"/>
          <w:szCs w:val="24"/>
        </w:rPr>
        <w:t>)</w:t>
      </w:r>
      <w:r w:rsidRPr="00465ED6">
        <w:rPr>
          <w:rFonts w:ascii="Times New Roman" w:hAnsi="Times New Roman"/>
          <w:color w:val="auto"/>
          <w:sz w:val="24"/>
          <w:szCs w:val="24"/>
        </w:rPr>
        <w:t xml:space="preserve"> κάθε δεύτερη μέρα, αντιμετώπι</w:t>
      </w:r>
      <w:r w:rsidR="00375B10" w:rsidRPr="00465ED6">
        <w:rPr>
          <w:rFonts w:ascii="Times New Roman" w:hAnsi="Times New Roman"/>
          <w:color w:val="auto"/>
          <w:sz w:val="24"/>
          <w:szCs w:val="24"/>
        </w:rPr>
        <w:t>ση έκτακτων δαπανών, τηλεφωνική σύνδεση</w:t>
      </w:r>
      <w:r w:rsidR="00633AAA" w:rsidRPr="00465ED6">
        <w:rPr>
          <w:rFonts w:ascii="Times New Roman" w:hAnsi="Times New Roman"/>
          <w:color w:val="auto"/>
          <w:sz w:val="24"/>
          <w:szCs w:val="24"/>
        </w:rPr>
        <w:t xml:space="preserve"> (περιλαμβάνεται και το κινητό τηλέφωνο), </w:t>
      </w:r>
      <w:r w:rsidRPr="00465ED6">
        <w:rPr>
          <w:rFonts w:ascii="Times New Roman" w:hAnsi="Times New Roman"/>
          <w:color w:val="auto"/>
          <w:sz w:val="24"/>
          <w:szCs w:val="24"/>
        </w:rPr>
        <w:t>έγχρωμη τηλεόραση, πλυντήριο ρούχ</w:t>
      </w:r>
      <w:r w:rsidR="00142923" w:rsidRPr="00465ED6">
        <w:rPr>
          <w:rFonts w:ascii="Times New Roman" w:hAnsi="Times New Roman"/>
          <w:color w:val="auto"/>
          <w:sz w:val="24"/>
          <w:szCs w:val="24"/>
        </w:rPr>
        <w:t>ων, Ι.Χ., ικανοποιητική θέρμανση</w:t>
      </w:r>
      <w:r w:rsidRPr="00465ED6">
        <w:rPr>
          <w:rFonts w:ascii="Times New Roman" w:hAnsi="Times New Roman"/>
          <w:color w:val="auto"/>
          <w:sz w:val="24"/>
          <w:szCs w:val="24"/>
        </w:rPr>
        <w:t xml:space="preserve"> τον χειμώνα και δροσιά το καλοκαίρι.</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Η συγκριτική εξέταση του δείκτη  ανά κατηγορία «περιορισμού δραστηριότητας»,  έχει ως αποτέλεσμα μια περισσότερο </w:t>
      </w:r>
      <w:r w:rsidR="00C52506" w:rsidRPr="00465ED6">
        <w:rPr>
          <w:rFonts w:ascii="Times New Roman" w:hAnsi="Times New Roman"/>
          <w:color w:val="auto"/>
          <w:sz w:val="24"/>
          <w:szCs w:val="24"/>
        </w:rPr>
        <w:t>πραγματιστική</w:t>
      </w:r>
      <w:r w:rsidRPr="00465ED6">
        <w:rPr>
          <w:rFonts w:ascii="Times New Roman" w:hAnsi="Times New Roman"/>
          <w:color w:val="auto"/>
          <w:sz w:val="24"/>
          <w:szCs w:val="24"/>
        </w:rPr>
        <w:t xml:space="preserve"> αποτύπωση των επίπεδων της φτώχειας ως κατάσταση υλικής αποστέρησης σύμφωνα με ένα κοινώς αποδεκτό πρότυπο διαβίωσης.</w:t>
      </w:r>
    </w:p>
    <w:p w:rsidR="00681B6D" w:rsidRPr="00465ED6" w:rsidRDefault="00A97C0F" w:rsidP="00681B6D">
      <w:pPr>
        <w:rPr>
          <w:rFonts w:ascii="Times New Roman" w:hAnsi="Times New Roman"/>
          <w:color w:val="auto"/>
          <w:sz w:val="24"/>
          <w:szCs w:val="24"/>
        </w:rPr>
      </w:pPr>
      <w:r w:rsidRPr="00465ED6">
        <w:rPr>
          <w:rFonts w:ascii="Times New Roman" w:hAnsi="Times New Roman"/>
          <w:b/>
          <w:color w:val="auto"/>
          <w:sz w:val="24"/>
          <w:szCs w:val="24"/>
        </w:rPr>
        <w:t>Τα στοιχεία επιβεβαιώνουν</w:t>
      </w:r>
      <w:r w:rsidR="00B05F56" w:rsidRPr="00465ED6">
        <w:rPr>
          <w:rFonts w:ascii="Times New Roman" w:hAnsi="Times New Roman"/>
          <w:b/>
          <w:color w:val="auto"/>
          <w:sz w:val="24"/>
          <w:szCs w:val="24"/>
        </w:rPr>
        <w:t xml:space="preserve"> τη σχέση της αναπηρίας </w:t>
      </w:r>
      <w:r w:rsidR="00142923" w:rsidRPr="00465ED6">
        <w:rPr>
          <w:rFonts w:ascii="Times New Roman" w:hAnsi="Times New Roman"/>
          <w:b/>
          <w:color w:val="auto"/>
          <w:sz w:val="24"/>
          <w:szCs w:val="24"/>
        </w:rPr>
        <w:t>με τη</w:t>
      </w:r>
      <w:r w:rsidR="00B05F56" w:rsidRPr="00465ED6">
        <w:rPr>
          <w:rFonts w:ascii="Times New Roman" w:hAnsi="Times New Roman"/>
          <w:b/>
          <w:color w:val="auto"/>
          <w:sz w:val="24"/>
          <w:szCs w:val="24"/>
        </w:rPr>
        <w:t xml:space="preserve"> φτώχεια καθώς και την επίδραση της βαρύτητας της αναπηρίας στην εν λόγω συσχέτιση</w:t>
      </w:r>
      <w:r w:rsidR="00B05F56" w:rsidRPr="00465ED6">
        <w:rPr>
          <w:rFonts w:ascii="Times New Roman" w:hAnsi="Times New Roman"/>
          <w:color w:val="auto"/>
          <w:sz w:val="24"/>
          <w:szCs w:val="24"/>
        </w:rPr>
        <w:t xml:space="preserve">. Η σχέση αναπηρίας και υλικής στέρησης είναι σημαντική ιδιαίτερα στις παραγωγικές ηλικίες 15-64. </w:t>
      </w:r>
    </w:p>
    <w:p w:rsidR="00681B6D" w:rsidRPr="00465ED6" w:rsidRDefault="00B05F56" w:rsidP="00681B6D">
      <w:pPr>
        <w:rPr>
          <w:rFonts w:ascii="Times New Roman" w:hAnsi="Times New Roman"/>
          <w:b/>
          <w:color w:val="auto"/>
          <w:sz w:val="24"/>
          <w:szCs w:val="24"/>
        </w:rPr>
      </w:pPr>
      <w:r w:rsidRPr="00465ED6">
        <w:rPr>
          <w:rFonts w:ascii="Times New Roman" w:hAnsi="Times New Roman"/>
          <w:b/>
          <w:color w:val="auto"/>
          <w:sz w:val="24"/>
          <w:szCs w:val="24"/>
        </w:rPr>
        <w:lastRenderedPageBreak/>
        <w:t>Το ποσοστό των ατόμων άνω των 16 ετών με σοβαρό περιορισμό δραστηριότητας που διαβιεί σε νοικοκυριά με υλική στέρηση είναι 25,7%, ενώ στις παραγωγικές ηλικίες 16-64 ετών το ποσοστό εκτοξεύεται στο 36,9%.</w:t>
      </w:r>
      <w:r w:rsidRPr="00465ED6">
        <w:rPr>
          <w:rFonts w:ascii="Times New Roman" w:hAnsi="Times New Roman"/>
          <w:color w:val="auto"/>
          <w:sz w:val="24"/>
          <w:szCs w:val="24"/>
        </w:rPr>
        <w:t xml:space="preserve"> </w:t>
      </w:r>
      <w:r w:rsidRPr="00465ED6">
        <w:rPr>
          <w:rFonts w:ascii="Times New Roman" w:hAnsi="Times New Roman"/>
          <w:b/>
          <w:color w:val="auto"/>
          <w:sz w:val="24"/>
          <w:szCs w:val="24"/>
        </w:rPr>
        <w:t xml:space="preserve">Σχεδόν δηλαδή οι 4 στους 10 πολίτες με σοβαρή αναπηρία μεταξύ 16 και 64 ετών βιώνουν σοβαρές υλικές στερήσεις. </w:t>
      </w:r>
    </w:p>
    <w:p w:rsidR="00681B6D" w:rsidRPr="00465ED6" w:rsidRDefault="00B05F56" w:rsidP="00681B6D">
      <w:pPr>
        <w:pStyle w:val="a3"/>
        <w:keepNext/>
        <w:rPr>
          <w:rFonts w:ascii="Times New Roman" w:hAnsi="Times New Roman"/>
          <w:color w:val="auto"/>
        </w:rPr>
      </w:pPr>
      <w:r w:rsidRPr="00465ED6">
        <w:rPr>
          <w:rFonts w:ascii="Times New Roman" w:hAnsi="Times New Roman"/>
          <w:color w:val="auto"/>
        </w:rPr>
        <w:t xml:space="preserve">Πίνακας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Πίνακας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4</w:t>
      </w:r>
      <w:r w:rsidR="00E33BFF" w:rsidRPr="00465ED6">
        <w:rPr>
          <w:rFonts w:ascii="Times New Roman" w:hAnsi="Times New Roman"/>
          <w:noProof/>
          <w:color w:val="auto"/>
        </w:rPr>
        <w:fldChar w:fldCharType="end"/>
      </w:r>
    </w:p>
    <w:tbl>
      <w:tblPr>
        <w:tblW w:w="7360" w:type="dxa"/>
        <w:tblBorders>
          <w:top w:val="single" w:sz="4" w:space="0" w:color="7F7F7F"/>
          <w:left w:val="nil"/>
          <w:bottom w:val="single" w:sz="4" w:space="0" w:color="7F7F7F"/>
          <w:right w:val="nil"/>
          <w:insideH w:val="nil"/>
          <w:insideV w:val="nil"/>
        </w:tblBorders>
        <w:tblLook w:val="04A0" w:firstRow="1" w:lastRow="0" w:firstColumn="1" w:lastColumn="0" w:noHBand="0" w:noVBand="1"/>
      </w:tblPr>
      <w:tblGrid>
        <w:gridCol w:w="1254"/>
        <w:gridCol w:w="1956"/>
        <w:gridCol w:w="1956"/>
        <w:gridCol w:w="1956"/>
        <w:gridCol w:w="1056"/>
      </w:tblGrid>
      <w:tr w:rsidR="00465ED6" w:rsidRPr="00465ED6" w:rsidTr="00CA3BB6">
        <w:trPr>
          <w:trHeight w:val="316"/>
        </w:trPr>
        <w:tc>
          <w:tcPr>
            <w:tcW w:w="7360" w:type="dxa"/>
            <w:gridSpan w:val="5"/>
            <w:tcBorders>
              <w:bottom w:val="single" w:sz="4" w:space="0" w:color="7F7F7F"/>
            </w:tcBorders>
            <w:shd w:val="clear" w:color="auto" w:fill="auto"/>
            <w:hideMark/>
          </w:tcPr>
          <w:p w:rsidR="00681B6D" w:rsidRPr="00465ED6" w:rsidRDefault="00B05F56" w:rsidP="00CA3BB6">
            <w:pPr>
              <w:jc w:val="center"/>
              <w:rPr>
                <w:rFonts w:ascii="Times New Roman" w:hAnsi="Times New Roman"/>
                <w:b/>
                <w:bCs/>
                <w:color w:val="auto"/>
                <w:sz w:val="24"/>
                <w:szCs w:val="24"/>
              </w:rPr>
            </w:pPr>
            <w:r w:rsidRPr="00465ED6">
              <w:rPr>
                <w:rFonts w:ascii="Times New Roman" w:hAnsi="Times New Roman"/>
                <w:b/>
                <w:bCs/>
                <w:color w:val="auto"/>
                <w:sz w:val="24"/>
                <w:szCs w:val="24"/>
              </w:rPr>
              <w:t>ΠΛΗΘΥΣΜΟΣ ΜΕ ΣΗΜΑΝΤΙΚΕΣ ΥΛΙΚΕΣ ΣΤΕΡΗΣΕΙΣ ΚΑΙ ΑΝΑΠΗΡΙΑ</w:t>
            </w:r>
          </w:p>
        </w:tc>
      </w:tr>
      <w:tr w:rsidR="00465ED6" w:rsidRPr="00465ED6" w:rsidTr="00CA3BB6">
        <w:trPr>
          <w:trHeight w:val="1116"/>
        </w:trPr>
        <w:tc>
          <w:tcPr>
            <w:tcW w:w="1268" w:type="dxa"/>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b/>
                <w:bCs/>
                <w:color w:val="auto"/>
                <w:sz w:val="20"/>
                <w:szCs w:val="20"/>
              </w:rPr>
            </w:pPr>
            <w:r w:rsidRPr="00465ED6">
              <w:rPr>
                <w:rFonts w:ascii="Times New Roman" w:hAnsi="Times New Roman"/>
                <w:bCs/>
                <w:color w:val="auto"/>
                <w:sz w:val="20"/>
                <w:szCs w:val="20"/>
              </w:rPr>
              <w:t>ΠΟΣΟΣΤΟ ΑΤΟΜΩΝ ΜΕ ΥΛΙΚΕΣ ΣΤΕΡΗΣΕΙΣ</w:t>
            </w:r>
          </w:p>
        </w:tc>
        <w:tc>
          <w:tcPr>
            <w:tcW w:w="1828" w:type="dxa"/>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color w:val="auto"/>
                <w:sz w:val="20"/>
                <w:szCs w:val="20"/>
              </w:rPr>
            </w:pPr>
            <w:r w:rsidRPr="00465ED6">
              <w:rPr>
                <w:rFonts w:ascii="Times New Roman" w:hAnsi="Times New Roman"/>
                <w:color w:val="auto"/>
                <w:sz w:val="20"/>
                <w:szCs w:val="20"/>
              </w:rPr>
              <w:t>ΣΟΒΑΡΟΣ ΠΕΡΙΟΡΙΣΜΟΣ ΔΡΑΣΤΗΡΙΟΤΗΤΑΣ</w:t>
            </w:r>
          </w:p>
        </w:tc>
        <w:tc>
          <w:tcPr>
            <w:tcW w:w="1675" w:type="dxa"/>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color w:val="auto"/>
                <w:sz w:val="20"/>
                <w:szCs w:val="20"/>
              </w:rPr>
            </w:pPr>
            <w:r w:rsidRPr="00465ED6">
              <w:rPr>
                <w:rFonts w:ascii="Times New Roman" w:hAnsi="Times New Roman"/>
                <w:color w:val="auto"/>
                <w:sz w:val="20"/>
                <w:szCs w:val="20"/>
              </w:rPr>
              <w:t>ΜΕΤΡΙΟΣ ΠΕΡΙΟΡΙΣΜΟΣ ΔΡΑΣΤΗΡΙΟΤΗΤΑΣ</w:t>
            </w:r>
          </w:p>
        </w:tc>
        <w:tc>
          <w:tcPr>
            <w:tcW w:w="1675" w:type="dxa"/>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color w:val="auto"/>
                <w:sz w:val="20"/>
                <w:szCs w:val="20"/>
              </w:rPr>
            </w:pPr>
            <w:r w:rsidRPr="00465ED6">
              <w:rPr>
                <w:rFonts w:ascii="Times New Roman" w:hAnsi="Times New Roman"/>
                <w:color w:val="auto"/>
                <w:sz w:val="20"/>
                <w:szCs w:val="20"/>
              </w:rPr>
              <w:t>ΚΑΝΕΝΑΣ ΠΕΡΙΟΡΙΣΜΟΣ ΔΡΑΣΤΗΡΙΟΤΗΤΑΣ</w:t>
            </w:r>
          </w:p>
        </w:tc>
        <w:tc>
          <w:tcPr>
            <w:tcW w:w="914" w:type="dxa"/>
            <w:tcBorders>
              <w:top w:val="single" w:sz="4" w:space="0" w:color="7F7F7F"/>
              <w:bottom w:val="single" w:sz="4" w:space="0" w:color="7F7F7F"/>
            </w:tcBorders>
            <w:shd w:val="clear" w:color="auto" w:fill="auto"/>
            <w:hideMark/>
          </w:tcPr>
          <w:p w:rsidR="00681B6D" w:rsidRPr="00465ED6" w:rsidRDefault="00B05F56" w:rsidP="002C6E09">
            <w:pPr>
              <w:rPr>
                <w:rFonts w:ascii="Times New Roman" w:hAnsi="Times New Roman"/>
                <w:color w:val="auto"/>
                <w:sz w:val="20"/>
                <w:szCs w:val="20"/>
              </w:rPr>
            </w:pPr>
            <w:r w:rsidRPr="00465ED6">
              <w:rPr>
                <w:rFonts w:ascii="Times New Roman" w:hAnsi="Times New Roman"/>
                <w:color w:val="auto"/>
                <w:sz w:val="20"/>
                <w:szCs w:val="20"/>
              </w:rPr>
              <w:t>ΣΥΝΟΛΟ</w:t>
            </w:r>
          </w:p>
        </w:tc>
      </w:tr>
      <w:tr w:rsidR="00465ED6" w:rsidRPr="00465ED6" w:rsidTr="00CA3BB6">
        <w:trPr>
          <w:trHeight w:val="570"/>
        </w:trPr>
        <w:tc>
          <w:tcPr>
            <w:tcW w:w="1268" w:type="dxa"/>
            <w:shd w:val="clear" w:color="auto" w:fill="auto"/>
            <w:hideMark/>
          </w:tcPr>
          <w:p w:rsidR="00681B6D" w:rsidRPr="00465ED6" w:rsidRDefault="00B05F56" w:rsidP="00CA3BB6">
            <w:pPr>
              <w:jc w:val="center"/>
              <w:rPr>
                <w:rFonts w:ascii="Times New Roman" w:hAnsi="Times New Roman"/>
                <w:b/>
                <w:bCs/>
                <w:color w:val="auto"/>
                <w:sz w:val="18"/>
                <w:szCs w:val="18"/>
              </w:rPr>
            </w:pPr>
            <w:r w:rsidRPr="00465ED6">
              <w:rPr>
                <w:rFonts w:ascii="Times New Roman" w:hAnsi="Times New Roman"/>
                <w:bCs/>
                <w:color w:val="auto"/>
                <w:sz w:val="18"/>
                <w:szCs w:val="18"/>
              </w:rPr>
              <w:t>16 ΕΤΩΝ ΚΑΙ ΑΝΩ</w:t>
            </w:r>
          </w:p>
        </w:tc>
        <w:tc>
          <w:tcPr>
            <w:tcW w:w="1828" w:type="dxa"/>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25,7%</w:t>
            </w:r>
          </w:p>
        </w:tc>
        <w:tc>
          <w:tcPr>
            <w:tcW w:w="1675" w:type="dxa"/>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22,4%</w:t>
            </w:r>
          </w:p>
        </w:tc>
        <w:tc>
          <w:tcPr>
            <w:tcW w:w="1675" w:type="dxa"/>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21,1%</w:t>
            </w:r>
          </w:p>
        </w:tc>
        <w:tc>
          <w:tcPr>
            <w:tcW w:w="914" w:type="dxa"/>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21,8%</w:t>
            </w:r>
          </w:p>
        </w:tc>
      </w:tr>
      <w:tr w:rsidR="00465ED6" w:rsidRPr="00465ED6" w:rsidTr="00CA3BB6">
        <w:trPr>
          <w:trHeight w:val="712"/>
        </w:trPr>
        <w:tc>
          <w:tcPr>
            <w:tcW w:w="1268" w:type="dxa"/>
            <w:tcBorders>
              <w:top w:val="single" w:sz="4" w:space="0" w:color="7F7F7F"/>
              <w:bottom w:val="single" w:sz="4" w:space="0" w:color="7F7F7F"/>
            </w:tcBorders>
            <w:shd w:val="clear" w:color="auto" w:fill="auto"/>
            <w:hideMark/>
          </w:tcPr>
          <w:p w:rsidR="00681B6D" w:rsidRPr="00465ED6" w:rsidRDefault="00B05F56" w:rsidP="00CA3BB6">
            <w:pPr>
              <w:jc w:val="center"/>
              <w:rPr>
                <w:rFonts w:ascii="Times New Roman" w:hAnsi="Times New Roman"/>
                <w:b/>
                <w:bCs/>
                <w:color w:val="auto"/>
                <w:sz w:val="18"/>
                <w:szCs w:val="18"/>
              </w:rPr>
            </w:pPr>
            <w:r w:rsidRPr="00465ED6">
              <w:rPr>
                <w:rFonts w:ascii="Times New Roman" w:hAnsi="Times New Roman"/>
                <w:bCs/>
                <w:color w:val="auto"/>
                <w:sz w:val="18"/>
                <w:szCs w:val="18"/>
              </w:rPr>
              <w:t>16-64 ΕΤΩΝ</w:t>
            </w:r>
          </w:p>
        </w:tc>
        <w:tc>
          <w:tcPr>
            <w:tcW w:w="1828" w:type="dxa"/>
            <w:tcBorders>
              <w:top w:val="single" w:sz="4" w:space="0" w:color="7F7F7F"/>
              <w:bottom w:val="single" w:sz="4" w:space="0" w:color="7F7F7F"/>
            </w:tcBorders>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36,9%</w:t>
            </w:r>
          </w:p>
        </w:tc>
        <w:tc>
          <w:tcPr>
            <w:tcW w:w="1675" w:type="dxa"/>
            <w:tcBorders>
              <w:top w:val="single" w:sz="4" w:space="0" w:color="7F7F7F"/>
              <w:bottom w:val="single" w:sz="4" w:space="0" w:color="7F7F7F"/>
            </w:tcBorders>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31,2%</w:t>
            </w:r>
          </w:p>
        </w:tc>
        <w:tc>
          <w:tcPr>
            <w:tcW w:w="1675" w:type="dxa"/>
            <w:tcBorders>
              <w:top w:val="single" w:sz="4" w:space="0" w:color="7F7F7F"/>
              <w:bottom w:val="single" w:sz="4" w:space="0" w:color="7F7F7F"/>
            </w:tcBorders>
            <w:shd w:val="clear" w:color="auto" w:fill="auto"/>
            <w:hideMark/>
          </w:tcPr>
          <w:p w:rsidR="00681B6D" w:rsidRPr="00465ED6" w:rsidRDefault="00B05F56" w:rsidP="00CA3BB6">
            <w:pPr>
              <w:jc w:val="right"/>
              <w:rPr>
                <w:rFonts w:ascii="Times New Roman" w:hAnsi="Times New Roman"/>
                <w:color w:val="auto"/>
                <w:sz w:val="18"/>
                <w:szCs w:val="18"/>
              </w:rPr>
            </w:pPr>
            <w:r w:rsidRPr="00465ED6">
              <w:rPr>
                <w:rFonts w:ascii="Times New Roman" w:hAnsi="Times New Roman"/>
                <w:color w:val="auto"/>
                <w:sz w:val="18"/>
                <w:szCs w:val="18"/>
              </w:rPr>
              <w:t>22,5%</w:t>
            </w:r>
          </w:p>
        </w:tc>
        <w:tc>
          <w:tcPr>
            <w:tcW w:w="914" w:type="dxa"/>
            <w:tcBorders>
              <w:top w:val="single" w:sz="4" w:space="0" w:color="7F7F7F"/>
              <w:bottom w:val="single" w:sz="4" w:space="0" w:color="7F7F7F"/>
            </w:tcBorders>
            <w:shd w:val="clear" w:color="auto" w:fill="auto"/>
            <w:hideMark/>
          </w:tcPr>
          <w:p w:rsidR="00681B6D" w:rsidRPr="00465ED6" w:rsidRDefault="00B05F56" w:rsidP="00CA3BB6">
            <w:pPr>
              <w:keepNext/>
              <w:jc w:val="right"/>
              <w:rPr>
                <w:rFonts w:ascii="Times New Roman" w:hAnsi="Times New Roman"/>
                <w:color w:val="auto"/>
                <w:sz w:val="18"/>
                <w:szCs w:val="18"/>
              </w:rPr>
            </w:pPr>
            <w:r w:rsidRPr="00465ED6">
              <w:rPr>
                <w:rFonts w:ascii="Times New Roman" w:hAnsi="Times New Roman"/>
                <w:color w:val="auto"/>
                <w:sz w:val="18"/>
                <w:szCs w:val="18"/>
              </w:rPr>
              <w:t>23,9%</w:t>
            </w:r>
          </w:p>
        </w:tc>
      </w:tr>
    </w:tbl>
    <w:p w:rsidR="00681B6D" w:rsidRPr="00465ED6" w:rsidRDefault="00B05F56" w:rsidP="00681B6D">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w:t>
      </w:r>
      <w:r w:rsidR="00AF56A5" w:rsidRPr="00465ED6">
        <w:rPr>
          <w:rFonts w:ascii="Times New Roman" w:hAnsi="Times New Roman"/>
          <w:b w:val="0"/>
          <w:i/>
          <w:color w:val="auto"/>
          <w:sz w:val="18"/>
          <w:szCs w:val="18"/>
        </w:rPr>
        <w:t xml:space="preserve"> ΔΕΔΟΜΕΝΩΝ</w:t>
      </w:r>
      <w:r w:rsidRPr="00465ED6">
        <w:rPr>
          <w:rFonts w:ascii="Times New Roman" w:hAnsi="Times New Roman"/>
          <w:b w:val="0"/>
          <w:i/>
          <w:color w:val="auto"/>
          <w:sz w:val="18"/>
          <w:szCs w:val="18"/>
        </w:rPr>
        <w:t>: ΕΛΣΤΑΤ, Έρευνα Εισοδήματος και Συνθηκών Διαβίωσης 2016/ ΕΠΕΞΕΡΓΑΣΙΑ: Παρατηρητήριο Θεμάτων Αναπηρίας-Ε.Σ.Α.μεΑ.</w:t>
      </w:r>
    </w:p>
    <w:p w:rsidR="00D204B0" w:rsidRPr="00465ED6" w:rsidRDefault="00EB7BB0" w:rsidP="00D204B0">
      <w:pPr>
        <w:rPr>
          <w:rFonts w:ascii="Times New Roman" w:hAnsi="Times New Roman"/>
          <w:color w:val="auto"/>
        </w:rPr>
      </w:pPr>
      <w:r w:rsidRPr="00465ED6">
        <w:rPr>
          <w:rFonts w:ascii="Times New Roman" w:hAnsi="Times New Roman"/>
          <w:color w:val="auto"/>
        </w:rPr>
        <w:t xml:space="preserve">Στο γράφημα που ακολουθεί παρουσιάζεται ο δείκτης υλικής αποστέρησης ανά 5ετή ομάδα ηλικίας στον πληθυσμό </w:t>
      </w:r>
      <w:r w:rsidR="003016E7" w:rsidRPr="00465ED6">
        <w:rPr>
          <w:rFonts w:ascii="Times New Roman" w:hAnsi="Times New Roman"/>
          <w:color w:val="auto"/>
        </w:rPr>
        <w:t>των ατόμων με</w:t>
      </w:r>
      <w:r w:rsidRPr="00465ED6">
        <w:rPr>
          <w:rFonts w:ascii="Times New Roman" w:hAnsi="Times New Roman"/>
          <w:color w:val="auto"/>
        </w:rPr>
        <w:t xml:space="preserve"> αναπηρία</w:t>
      </w:r>
      <w:r w:rsidR="003016E7" w:rsidRPr="00465ED6">
        <w:rPr>
          <w:rFonts w:ascii="Times New Roman" w:hAnsi="Times New Roman"/>
          <w:color w:val="auto"/>
        </w:rPr>
        <w:t xml:space="preserve"> και χωρίς αναπηρία</w:t>
      </w:r>
      <w:r w:rsidRPr="00465ED6">
        <w:rPr>
          <w:rFonts w:ascii="Times New Roman" w:hAnsi="Times New Roman"/>
          <w:color w:val="auto"/>
        </w:rPr>
        <w:t>. Από το γράφημα καθίσταται εμφαν</w:t>
      </w:r>
      <w:r w:rsidR="0015067D" w:rsidRPr="00465ED6">
        <w:rPr>
          <w:rFonts w:ascii="Times New Roman" w:hAnsi="Times New Roman"/>
          <w:color w:val="auto"/>
        </w:rPr>
        <w:t>ές ότι σε όλες τις ηλικιακές ομάδες του πληθυσμού, τα άτομα με αναπηρία βιώνουν  σημαντικές στερήσεις σε ποσοστά ιδιαίτερα υψηλότερα από τα άτομα χωρίς αναπηρία.</w:t>
      </w:r>
    </w:p>
    <w:p w:rsidR="00362DC6" w:rsidRPr="00465ED6" w:rsidRDefault="00362DC6" w:rsidP="00362DC6">
      <w:pPr>
        <w:pStyle w:val="a3"/>
        <w:keepNext/>
        <w:rPr>
          <w:rFonts w:ascii="Times New Roman" w:hAnsi="Times New Roman"/>
          <w:color w:val="auto"/>
        </w:rPr>
      </w:pPr>
      <w:r w:rsidRPr="00465ED6">
        <w:rPr>
          <w:rFonts w:ascii="Times New Roman" w:hAnsi="Times New Roman"/>
          <w:color w:val="auto"/>
        </w:rPr>
        <w:lastRenderedPageBreak/>
        <w:t xml:space="preserve">Γράφημα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Γράφημα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7</w:t>
      </w:r>
      <w:r w:rsidR="00E33BFF" w:rsidRPr="00465ED6">
        <w:rPr>
          <w:rFonts w:ascii="Times New Roman" w:hAnsi="Times New Roman"/>
          <w:noProof/>
          <w:color w:val="auto"/>
        </w:rPr>
        <w:fldChar w:fldCharType="end"/>
      </w:r>
    </w:p>
    <w:p w:rsidR="00362DC6" w:rsidRPr="00465ED6" w:rsidRDefault="00475B2D" w:rsidP="00362DC6">
      <w:pPr>
        <w:keepNext/>
        <w:rPr>
          <w:rFonts w:ascii="Times New Roman" w:hAnsi="Times New Roman"/>
          <w:color w:val="auto"/>
        </w:rPr>
      </w:pPr>
      <w:r w:rsidRPr="00465ED6">
        <w:rPr>
          <w:rFonts w:ascii="Times New Roman" w:hAnsi="Times New Roman"/>
          <w:noProof/>
          <w:color w:val="auto"/>
        </w:rPr>
        <w:drawing>
          <wp:inline distT="0" distB="0" distL="0" distR="0">
            <wp:extent cx="4819650" cy="2943225"/>
            <wp:effectExtent l="0" t="0" r="0" b="9525"/>
            <wp:docPr id="10" name="Γράφημα 10" title="γράφημα"/>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204B0" w:rsidRPr="00465ED6" w:rsidRDefault="00362DC6" w:rsidP="00362DC6">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w:t>
      </w:r>
      <w:r w:rsidR="00AF56A5" w:rsidRPr="00465ED6">
        <w:rPr>
          <w:rFonts w:ascii="Times New Roman" w:hAnsi="Times New Roman"/>
          <w:b w:val="0"/>
          <w:i/>
          <w:color w:val="auto"/>
          <w:sz w:val="18"/>
          <w:szCs w:val="18"/>
        </w:rPr>
        <w:t xml:space="preserve"> ΔΕΔΟΜΕΝΩΝ</w:t>
      </w:r>
      <w:r w:rsidRPr="00465ED6">
        <w:rPr>
          <w:rFonts w:ascii="Times New Roman" w:hAnsi="Times New Roman"/>
          <w:b w:val="0"/>
          <w:i/>
          <w:color w:val="auto"/>
          <w:sz w:val="18"/>
          <w:szCs w:val="18"/>
        </w:rPr>
        <w:t>: ΕΛΣΤΑΤ, Έρευνα Εισοδήματος και Συνθηκών Διαβίωσης 2016/ ΕΠΕΞΕΡΓΑΣΙΑ: Παρατηρητήριο Θεμάτων Αναπηρίας-Ε.Σ.Α.μεΑ.</w:t>
      </w:r>
    </w:p>
    <w:p w:rsidR="00D204B0" w:rsidRPr="00465ED6" w:rsidRDefault="00D204B0" w:rsidP="00D204B0">
      <w:pPr>
        <w:rPr>
          <w:rFonts w:ascii="Times New Roman" w:hAnsi="Times New Roman"/>
          <w:color w:val="auto"/>
        </w:rPr>
      </w:pP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Εντούτοις, η έννοια της υλικής στέρησης ειδικά για τα άτομα με αναπηρία θα πρέπει  να λαμβάνει υπόψη τις ανελαστικές ανάγκες σε εξειδικευμένα αγαθά και υπηρεσίες (υγείας, αποκατάστασης </w:t>
      </w:r>
      <w:r w:rsidR="00C75550" w:rsidRPr="00465ED6">
        <w:rPr>
          <w:rFonts w:ascii="Times New Roman" w:hAnsi="Times New Roman"/>
          <w:color w:val="auto"/>
          <w:sz w:val="24"/>
          <w:szCs w:val="24"/>
        </w:rPr>
        <w:t>κτλ.</w:t>
      </w:r>
      <w:r w:rsidRPr="00465ED6">
        <w:rPr>
          <w:rFonts w:ascii="Times New Roman" w:hAnsi="Times New Roman"/>
          <w:color w:val="auto"/>
          <w:sz w:val="24"/>
          <w:szCs w:val="24"/>
        </w:rPr>
        <w:t xml:space="preserve">) που απορρέουν από την κατάσταση της αναπηρίας. Η μη ικανοποίηση αυτών των αναγκών αποτελεί προφανώς κατάσταση σημαντικής υλικής αποστέρησης για τον πληθυσμό με αναπηρία, και δεν αποτυπώνεται στον εν λόγω δείκτη. </w:t>
      </w:r>
      <w:r w:rsidRPr="00465ED6">
        <w:rPr>
          <w:rFonts w:ascii="Times New Roman" w:hAnsi="Times New Roman"/>
          <w:b/>
          <w:color w:val="auto"/>
          <w:sz w:val="24"/>
          <w:szCs w:val="24"/>
        </w:rPr>
        <w:t>Υπό αυτή την έννοια</w:t>
      </w:r>
      <w:r w:rsidR="00142923" w:rsidRPr="00465ED6">
        <w:rPr>
          <w:rFonts w:ascii="Times New Roman" w:hAnsi="Times New Roman"/>
          <w:b/>
          <w:color w:val="auto"/>
          <w:sz w:val="24"/>
          <w:szCs w:val="24"/>
        </w:rPr>
        <w:t>,</w:t>
      </w:r>
      <w:r w:rsidRPr="00465ED6">
        <w:rPr>
          <w:rFonts w:ascii="Times New Roman" w:hAnsi="Times New Roman"/>
          <w:b/>
          <w:color w:val="auto"/>
          <w:sz w:val="24"/>
          <w:szCs w:val="24"/>
        </w:rPr>
        <w:t xml:space="preserve"> το ποσοστό του πληθυσμού των ατόμων</w:t>
      </w:r>
      <w:r w:rsidR="00142923" w:rsidRPr="00465ED6">
        <w:rPr>
          <w:rFonts w:ascii="Times New Roman" w:hAnsi="Times New Roman"/>
          <w:b/>
          <w:color w:val="auto"/>
          <w:sz w:val="24"/>
          <w:szCs w:val="24"/>
        </w:rPr>
        <w:t xml:space="preserve"> με αναπηρία που στερούνται τη </w:t>
      </w:r>
      <w:r w:rsidRPr="00465ED6">
        <w:rPr>
          <w:rFonts w:ascii="Times New Roman" w:hAnsi="Times New Roman"/>
          <w:b/>
          <w:color w:val="auto"/>
          <w:sz w:val="24"/>
          <w:szCs w:val="24"/>
        </w:rPr>
        <w:t xml:space="preserve">δυνατότητα ενός ανεκτού επιπέδου υποεκτιμάται στα </w:t>
      </w:r>
      <w:r w:rsidRPr="00465ED6">
        <w:rPr>
          <w:rFonts w:ascii="Times New Roman" w:hAnsi="Times New Roman"/>
          <w:color w:val="auto"/>
          <w:sz w:val="24"/>
          <w:szCs w:val="24"/>
        </w:rPr>
        <w:t xml:space="preserve">διαθέσιμα δεδομένα. </w:t>
      </w:r>
    </w:p>
    <w:p w:rsidR="00681B6D" w:rsidRPr="00465ED6" w:rsidRDefault="00F3491E" w:rsidP="00465ED6">
      <w:pPr>
        <w:pStyle w:val="af1"/>
        <w:rPr>
          <w:rFonts w:ascii="Times New Roman" w:hAnsi="Times New Roman" w:cs="Times New Roman"/>
          <w:color w:val="auto"/>
        </w:rPr>
      </w:pPr>
      <w:r w:rsidRPr="00465ED6">
        <w:rPr>
          <w:rFonts w:ascii="Times New Roman" w:hAnsi="Times New Roman" w:cs="Times New Roman"/>
          <w:color w:val="auto"/>
        </w:rPr>
        <w:t>Β2.3 Δείκτης «Π</w:t>
      </w:r>
      <w:r w:rsidR="00B05F56" w:rsidRPr="00465ED6">
        <w:rPr>
          <w:rFonts w:ascii="Times New Roman" w:hAnsi="Times New Roman" w:cs="Times New Roman"/>
          <w:color w:val="auto"/>
        </w:rPr>
        <w:t xml:space="preserve">ληθυσμός ατόμων που </w:t>
      </w:r>
      <w:r w:rsidR="00142923" w:rsidRPr="00465ED6">
        <w:rPr>
          <w:rFonts w:ascii="Times New Roman" w:hAnsi="Times New Roman" w:cs="Times New Roman"/>
          <w:color w:val="auto"/>
        </w:rPr>
        <w:t xml:space="preserve">διαβιεί σε νοικοκυριά </w:t>
      </w:r>
      <w:r w:rsidR="00B05F56" w:rsidRPr="00465ED6">
        <w:rPr>
          <w:rFonts w:ascii="Times New Roman" w:hAnsi="Times New Roman" w:cs="Times New Roman"/>
          <w:color w:val="auto"/>
        </w:rPr>
        <w:t>χαμηλή</w:t>
      </w:r>
      <w:r w:rsidR="00142923" w:rsidRPr="00465ED6">
        <w:rPr>
          <w:rFonts w:ascii="Times New Roman" w:hAnsi="Times New Roman" w:cs="Times New Roman"/>
          <w:color w:val="auto"/>
        </w:rPr>
        <w:t>ς</w:t>
      </w:r>
      <w:r w:rsidR="00B05F56" w:rsidRPr="00465ED6">
        <w:rPr>
          <w:rFonts w:ascii="Times New Roman" w:hAnsi="Times New Roman" w:cs="Times New Roman"/>
          <w:color w:val="auto"/>
        </w:rPr>
        <w:t xml:space="preserve"> ένταση</w:t>
      </w:r>
      <w:r w:rsidR="00142923" w:rsidRPr="00465ED6">
        <w:rPr>
          <w:rFonts w:ascii="Times New Roman" w:hAnsi="Times New Roman" w:cs="Times New Roman"/>
          <w:color w:val="auto"/>
        </w:rPr>
        <w:t>ς</w:t>
      </w:r>
      <w:r w:rsidR="00B05F56" w:rsidRPr="00465ED6">
        <w:rPr>
          <w:rFonts w:ascii="Times New Roman" w:hAnsi="Times New Roman" w:cs="Times New Roman"/>
          <w:color w:val="auto"/>
        </w:rPr>
        <w:t xml:space="preserve"> εργασίας</w:t>
      </w:r>
      <w:r w:rsidRPr="00465ED6">
        <w:rPr>
          <w:rFonts w:ascii="Times New Roman" w:hAnsi="Times New Roman" w:cs="Times New Roman"/>
          <w:color w:val="auto"/>
        </w:rPr>
        <w:t>»</w:t>
      </w:r>
    </w:p>
    <w:p w:rsidR="0073583D" w:rsidRPr="00465ED6" w:rsidRDefault="00B05F56" w:rsidP="00681B6D">
      <w:pPr>
        <w:rPr>
          <w:rFonts w:ascii="Times New Roman" w:hAnsi="Times New Roman"/>
          <w:color w:val="auto"/>
          <w:sz w:val="24"/>
          <w:szCs w:val="24"/>
        </w:rPr>
      </w:pPr>
      <w:r w:rsidRPr="00465ED6">
        <w:rPr>
          <w:rFonts w:ascii="Times New Roman" w:hAnsi="Times New Roman"/>
          <w:b/>
          <w:color w:val="auto"/>
          <w:sz w:val="24"/>
          <w:szCs w:val="24"/>
        </w:rPr>
        <w:t>Ο δείκτης «χαμηλή</w:t>
      </w:r>
      <w:r w:rsidR="0073583D" w:rsidRPr="00465ED6">
        <w:rPr>
          <w:rFonts w:ascii="Times New Roman" w:hAnsi="Times New Roman"/>
          <w:b/>
          <w:color w:val="auto"/>
          <w:sz w:val="24"/>
          <w:szCs w:val="24"/>
        </w:rPr>
        <w:t>ς</w:t>
      </w:r>
      <w:r w:rsidRPr="00465ED6">
        <w:rPr>
          <w:rFonts w:ascii="Times New Roman" w:hAnsi="Times New Roman"/>
          <w:b/>
          <w:color w:val="auto"/>
          <w:sz w:val="24"/>
          <w:szCs w:val="24"/>
        </w:rPr>
        <w:t xml:space="preserve"> ένταση</w:t>
      </w:r>
      <w:r w:rsidR="0073583D" w:rsidRPr="00465ED6">
        <w:rPr>
          <w:rFonts w:ascii="Times New Roman" w:hAnsi="Times New Roman"/>
          <w:b/>
          <w:color w:val="auto"/>
          <w:sz w:val="24"/>
          <w:szCs w:val="24"/>
        </w:rPr>
        <w:t>ς εργασία</w:t>
      </w:r>
      <w:r w:rsidRPr="00465ED6">
        <w:rPr>
          <w:rFonts w:ascii="Times New Roman" w:hAnsi="Times New Roman"/>
          <w:b/>
          <w:color w:val="auto"/>
          <w:sz w:val="24"/>
          <w:szCs w:val="24"/>
        </w:rPr>
        <w:t>»</w:t>
      </w:r>
      <w:r w:rsidRPr="00465ED6">
        <w:rPr>
          <w:rFonts w:ascii="Times New Roman" w:hAnsi="Times New Roman"/>
          <w:color w:val="auto"/>
          <w:sz w:val="24"/>
          <w:szCs w:val="24"/>
        </w:rPr>
        <w:t xml:space="preserve"> αποτυπώνει το ποσοστό των </w:t>
      </w:r>
      <w:r w:rsidR="001F2BE2" w:rsidRPr="00465ED6">
        <w:rPr>
          <w:rFonts w:ascii="Times New Roman" w:hAnsi="Times New Roman"/>
          <w:color w:val="auto"/>
          <w:sz w:val="24"/>
          <w:szCs w:val="24"/>
        </w:rPr>
        <w:t xml:space="preserve">ατόμων που διαβιούν σε νοικοκυριά </w:t>
      </w:r>
      <w:r w:rsidRPr="00465ED6">
        <w:rPr>
          <w:rFonts w:ascii="Times New Roman" w:hAnsi="Times New Roman"/>
          <w:color w:val="auto"/>
          <w:sz w:val="24"/>
          <w:szCs w:val="24"/>
        </w:rPr>
        <w:t>με εξαιρετικό χαμηλό επίπ</w:t>
      </w:r>
      <w:r w:rsidR="001F2BE2" w:rsidRPr="00465ED6">
        <w:rPr>
          <w:rFonts w:ascii="Times New Roman" w:hAnsi="Times New Roman"/>
          <w:color w:val="auto"/>
          <w:sz w:val="24"/>
          <w:szCs w:val="24"/>
        </w:rPr>
        <w:t>εδο συμμετοχής στην απασχόληση.</w:t>
      </w:r>
      <w:r w:rsidR="0073583D" w:rsidRPr="00465ED6">
        <w:rPr>
          <w:rFonts w:ascii="Times New Roman" w:hAnsi="Times New Roman"/>
          <w:color w:val="auto"/>
          <w:sz w:val="24"/>
          <w:szCs w:val="24"/>
        </w:rPr>
        <w:t xml:space="preserve"> Ειδικότερα, ο δείκτης αναφέρεται στο ποσοστό του πληθυσμού ηλικίας 0-59 που διαβιεί σε νοικοκυριά των οποίων τα μέλη εργάστηκαν συνολικά λιγότερο από το 20% της συνήθους απασχόλησης κατά τη διάρκεια του προηγούμενου έτους.</w:t>
      </w:r>
    </w:p>
    <w:p w:rsidR="00F96A45" w:rsidRPr="00465ED6" w:rsidRDefault="00F96A45" w:rsidP="00F96A45">
      <w:pPr>
        <w:rPr>
          <w:rFonts w:ascii="Times New Roman" w:hAnsi="Times New Roman"/>
          <w:color w:val="auto"/>
          <w:sz w:val="24"/>
          <w:szCs w:val="24"/>
        </w:rPr>
      </w:pPr>
      <w:r w:rsidRPr="00465ED6">
        <w:rPr>
          <w:rFonts w:ascii="Times New Roman" w:hAnsi="Times New Roman"/>
          <w:color w:val="auto"/>
          <w:sz w:val="24"/>
          <w:szCs w:val="24"/>
        </w:rPr>
        <w:t>Η ανάλυση του δείκτη «χαμηλή</w:t>
      </w:r>
      <w:r w:rsidR="000A202A" w:rsidRPr="00465ED6">
        <w:rPr>
          <w:rFonts w:ascii="Times New Roman" w:hAnsi="Times New Roman"/>
          <w:color w:val="auto"/>
          <w:sz w:val="24"/>
          <w:szCs w:val="24"/>
        </w:rPr>
        <w:t>ς</w:t>
      </w:r>
      <w:r w:rsidRPr="00465ED6">
        <w:rPr>
          <w:rFonts w:ascii="Times New Roman" w:hAnsi="Times New Roman"/>
          <w:color w:val="auto"/>
          <w:sz w:val="24"/>
          <w:szCs w:val="24"/>
        </w:rPr>
        <w:t xml:space="preserve"> ένταση</w:t>
      </w:r>
      <w:r w:rsidR="000A202A" w:rsidRPr="00465ED6">
        <w:rPr>
          <w:rFonts w:ascii="Times New Roman" w:hAnsi="Times New Roman"/>
          <w:color w:val="auto"/>
          <w:sz w:val="24"/>
          <w:szCs w:val="24"/>
        </w:rPr>
        <w:t>ς</w:t>
      </w:r>
      <w:r w:rsidRPr="00465ED6">
        <w:rPr>
          <w:rFonts w:ascii="Times New Roman" w:hAnsi="Times New Roman"/>
          <w:color w:val="auto"/>
          <w:sz w:val="24"/>
          <w:szCs w:val="24"/>
        </w:rPr>
        <w:t xml:space="preserve"> εργασί</w:t>
      </w:r>
      <w:r w:rsidR="000A202A" w:rsidRPr="00465ED6">
        <w:rPr>
          <w:rFonts w:ascii="Times New Roman" w:hAnsi="Times New Roman"/>
          <w:color w:val="auto"/>
          <w:sz w:val="24"/>
          <w:szCs w:val="24"/>
        </w:rPr>
        <w:t>α</w:t>
      </w:r>
      <w:r w:rsidRPr="00465ED6">
        <w:rPr>
          <w:rFonts w:ascii="Times New Roman" w:hAnsi="Times New Roman"/>
          <w:color w:val="auto"/>
          <w:sz w:val="24"/>
          <w:szCs w:val="24"/>
        </w:rPr>
        <w:t>» στον πληθυσμό των ατόμων με αναπηρία καθιστά εμφανές ότι ο τομέας της απασχόλησης αποτελεί το κατεξοχήν πεδίο ύπαρξης εμποδίων και αναπαραγωγής διακρίσεων εις βάρος του πλ</w:t>
      </w:r>
      <w:r w:rsidR="007B56E5" w:rsidRPr="00465ED6">
        <w:rPr>
          <w:rFonts w:ascii="Times New Roman" w:hAnsi="Times New Roman"/>
          <w:color w:val="auto"/>
          <w:sz w:val="24"/>
          <w:szCs w:val="24"/>
        </w:rPr>
        <w:t xml:space="preserve">ηθυσμού των ατόμων με αναπηρία και των οικογενειών τους. </w:t>
      </w:r>
    </w:p>
    <w:p w:rsidR="00681B6D" w:rsidRPr="00465ED6" w:rsidRDefault="007B56E5" w:rsidP="00681B6D">
      <w:pPr>
        <w:rPr>
          <w:rFonts w:ascii="Times New Roman" w:hAnsi="Times New Roman"/>
          <w:b/>
          <w:color w:val="auto"/>
          <w:sz w:val="24"/>
          <w:szCs w:val="24"/>
        </w:rPr>
      </w:pPr>
      <w:r w:rsidRPr="00465ED6">
        <w:rPr>
          <w:rFonts w:ascii="Times New Roman" w:hAnsi="Times New Roman"/>
          <w:b/>
          <w:color w:val="auto"/>
          <w:sz w:val="24"/>
          <w:szCs w:val="24"/>
        </w:rPr>
        <w:lastRenderedPageBreak/>
        <w:t>Ειδικότερα, τ</w:t>
      </w:r>
      <w:r w:rsidR="00B05F56" w:rsidRPr="00465ED6">
        <w:rPr>
          <w:rFonts w:ascii="Times New Roman" w:hAnsi="Times New Roman"/>
          <w:b/>
          <w:color w:val="auto"/>
          <w:sz w:val="24"/>
          <w:szCs w:val="24"/>
        </w:rPr>
        <w:t>ο 42,8% του πληθυσμού με βαριά αναπηρία και το 28% του πληθυσμού με μέτρια αναπηρία στην ηλικία 16-59 ετών διαβιούν σε νοικοκυριά με εργασία χαμηλής έντασης, έναντι του 17,1</w:t>
      </w:r>
      <w:r w:rsidR="00142923" w:rsidRPr="00465ED6">
        <w:rPr>
          <w:rFonts w:ascii="Times New Roman" w:hAnsi="Times New Roman"/>
          <w:b/>
          <w:color w:val="auto"/>
          <w:sz w:val="24"/>
          <w:szCs w:val="24"/>
        </w:rPr>
        <w:t>%</w:t>
      </w:r>
      <w:r w:rsidR="00B05F56" w:rsidRPr="00465ED6">
        <w:rPr>
          <w:rFonts w:ascii="Times New Roman" w:hAnsi="Times New Roman"/>
          <w:b/>
          <w:color w:val="auto"/>
          <w:sz w:val="24"/>
          <w:szCs w:val="24"/>
        </w:rPr>
        <w:t xml:space="preserve"> των ατόμων με κανένα περιορισμό δραστηριότητας. </w:t>
      </w:r>
    </w:p>
    <w:p w:rsidR="00681B6D" w:rsidRPr="00465ED6" w:rsidRDefault="00681B6D" w:rsidP="00681B6D">
      <w:pPr>
        <w:rPr>
          <w:rFonts w:ascii="Times New Roman" w:hAnsi="Times New Roman"/>
          <w:color w:val="auto"/>
          <w:sz w:val="24"/>
          <w:szCs w:val="24"/>
        </w:rPr>
      </w:pPr>
    </w:p>
    <w:p w:rsidR="00142923" w:rsidRPr="00465ED6" w:rsidRDefault="00142923" w:rsidP="00142923">
      <w:pPr>
        <w:pStyle w:val="a3"/>
        <w:keepNext/>
        <w:rPr>
          <w:rFonts w:ascii="Times New Roman" w:hAnsi="Times New Roman"/>
          <w:color w:val="auto"/>
        </w:rPr>
      </w:pPr>
      <w:r w:rsidRPr="00465ED6">
        <w:rPr>
          <w:rFonts w:ascii="Times New Roman" w:hAnsi="Times New Roman"/>
          <w:color w:val="auto"/>
        </w:rPr>
        <w:t xml:space="preserve">Γράφημα </w:t>
      </w:r>
      <w:r w:rsidR="00E33BFF" w:rsidRPr="00465ED6">
        <w:rPr>
          <w:rFonts w:ascii="Times New Roman" w:hAnsi="Times New Roman"/>
          <w:color w:val="auto"/>
        </w:rPr>
        <w:fldChar w:fldCharType="begin"/>
      </w:r>
      <w:r w:rsidR="00E33BFF" w:rsidRPr="00465ED6">
        <w:rPr>
          <w:rFonts w:ascii="Times New Roman" w:hAnsi="Times New Roman"/>
          <w:color w:val="auto"/>
        </w:rPr>
        <w:instrText xml:space="preserve"> SEQ Γράφημα \* ARABIC </w:instrText>
      </w:r>
      <w:r w:rsidR="00E33BFF" w:rsidRPr="00465ED6">
        <w:rPr>
          <w:rFonts w:ascii="Times New Roman" w:hAnsi="Times New Roman"/>
          <w:color w:val="auto"/>
        </w:rPr>
        <w:fldChar w:fldCharType="separate"/>
      </w:r>
      <w:r w:rsidR="00A95FA5" w:rsidRPr="00465ED6">
        <w:rPr>
          <w:rFonts w:ascii="Times New Roman" w:hAnsi="Times New Roman"/>
          <w:noProof/>
          <w:color w:val="auto"/>
        </w:rPr>
        <w:t>8</w:t>
      </w:r>
      <w:r w:rsidR="00E33BFF" w:rsidRPr="00465ED6">
        <w:rPr>
          <w:rFonts w:ascii="Times New Roman" w:hAnsi="Times New Roman"/>
          <w:noProof/>
          <w:color w:val="auto"/>
        </w:rPr>
        <w:fldChar w:fldCharType="end"/>
      </w:r>
    </w:p>
    <w:p w:rsidR="00142923" w:rsidRPr="00465ED6" w:rsidRDefault="00475B2D" w:rsidP="00142923">
      <w:pPr>
        <w:keepNext/>
        <w:rPr>
          <w:rFonts w:ascii="Times New Roman" w:hAnsi="Times New Roman"/>
          <w:color w:val="auto"/>
        </w:rPr>
      </w:pPr>
      <w:r w:rsidRPr="00465ED6">
        <w:rPr>
          <w:rFonts w:ascii="Times New Roman" w:hAnsi="Times New Roman"/>
          <w:noProof/>
          <w:color w:val="auto"/>
        </w:rPr>
        <w:drawing>
          <wp:inline distT="0" distB="0" distL="0" distR="0">
            <wp:extent cx="4461510" cy="2743200"/>
            <wp:effectExtent l="0" t="0" r="0" b="0"/>
            <wp:docPr id="11" name="Γράφημα 4" title="γράφ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4"/>
                    <pic:cNvPicPr>
                      <a:picLocks noChangeAspect="1" noChangeArrowheads="1"/>
                    </pic:cNvPicPr>
                  </pic:nvPicPr>
                  <pic:blipFill>
                    <a:blip r:embed="rId17"/>
                    <a:srcRect/>
                    <a:stretch>
                      <a:fillRect/>
                    </a:stretch>
                  </pic:blipFill>
                  <pic:spPr bwMode="auto">
                    <a:xfrm>
                      <a:off x="0" y="0"/>
                      <a:ext cx="4461510" cy="2743200"/>
                    </a:xfrm>
                    <a:prstGeom prst="rect">
                      <a:avLst/>
                    </a:prstGeom>
                    <a:noFill/>
                    <a:ln w="9525">
                      <a:noFill/>
                      <a:miter lim="800000"/>
                      <a:headEnd/>
                      <a:tailEnd/>
                    </a:ln>
                  </pic:spPr>
                </pic:pic>
              </a:graphicData>
            </a:graphic>
          </wp:inline>
        </w:drawing>
      </w:r>
    </w:p>
    <w:p w:rsidR="00681B6D" w:rsidRPr="00465ED6" w:rsidRDefault="00142923" w:rsidP="00142923">
      <w:pPr>
        <w:pStyle w:val="a3"/>
        <w:rPr>
          <w:rFonts w:ascii="Times New Roman" w:hAnsi="Times New Roman"/>
          <w:b w:val="0"/>
          <w:i/>
          <w:color w:val="auto"/>
          <w:sz w:val="18"/>
          <w:szCs w:val="18"/>
        </w:rPr>
      </w:pPr>
      <w:r w:rsidRPr="00465ED6">
        <w:rPr>
          <w:rFonts w:ascii="Times New Roman" w:hAnsi="Times New Roman"/>
          <w:b w:val="0"/>
          <w:i/>
          <w:color w:val="auto"/>
          <w:sz w:val="18"/>
          <w:szCs w:val="18"/>
        </w:rPr>
        <w:t>ΠΗΓΗ ΔΕΔΟΜΕΝΩΝ: ΕΛΣΤΑΤ, Έρευνα Εισοδήματος και Συνθηκών Διαβίωσης 2016/ ΕΠΕΞΕΡΓΑΣΙΑ: Παρατηρητήριο Θεμάτων Αναπηρίας-Ε.Σ.Α.μεΑ.</w:t>
      </w:r>
    </w:p>
    <w:p w:rsidR="00681B6D" w:rsidRPr="00465ED6" w:rsidRDefault="00681B6D" w:rsidP="00681B6D">
      <w:pPr>
        <w:rPr>
          <w:rFonts w:ascii="Times New Roman" w:hAnsi="Times New Roman"/>
          <w:color w:val="auto"/>
          <w:sz w:val="24"/>
          <w:szCs w:val="24"/>
        </w:rPr>
      </w:pPr>
    </w:p>
    <w:p w:rsidR="00967EB2" w:rsidRPr="00465ED6" w:rsidRDefault="00967EB2" w:rsidP="00681B6D">
      <w:pPr>
        <w:rPr>
          <w:rFonts w:ascii="Times New Roman" w:hAnsi="Times New Roman"/>
          <w:color w:val="auto"/>
          <w:sz w:val="24"/>
          <w:szCs w:val="24"/>
        </w:rPr>
      </w:pPr>
      <w:r w:rsidRPr="00465ED6">
        <w:rPr>
          <w:rFonts w:ascii="Times New Roman" w:hAnsi="Times New Roman"/>
          <w:color w:val="auto"/>
          <w:sz w:val="24"/>
          <w:szCs w:val="24"/>
        </w:rPr>
        <w:t xml:space="preserve">Ο δείκτης, λαμβάνοντας υπόψη </w:t>
      </w:r>
      <w:r w:rsidR="00CC0D4D" w:rsidRPr="00465ED6">
        <w:rPr>
          <w:rFonts w:ascii="Times New Roman" w:hAnsi="Times New Roman"/>
          <w:color w:val="auto"/>
          <w:sz w:val="24"/>
          <w:szCs w:val="24"/>
        </w:rPr>
        <w:t xml:space="preserve">την απασχόληση </w:t>
      </w:r>
      <w:r w:rsidRPr="00465ED6">
        <w:rPr>
          <w:rFonts w:ascii="Times New Roman" w:hAnsi="Times New Roman"/>
          <w:color w:val="auto"/>
          <w:sz w:val="24"/>
          <w:szCs w:val="24"/>
        </w:rPr>
        <w:t>το</w:t>
      </w:r>
      <w:r w:rsidR="00CC0D4D" w:rsidRPr="00465ED6">
        <w:rPr>
          <w:rFonts w:ascii="Times New Roman" w:hAnsi="Times New Roman"/>
          <w:color w:val="auto"/>
          <w:sz w:val="24"/>
          <w:szCs w:val="24"/>
        </w:rPr>
        <w:t>υ</w:t>
      </w:r>
      <w:r w:rsidRPr="00465ED6">
        <w:rPr>
          <w:rFonts w:ascii="Times New Roman" w:hAnsi="Times New Roman"/>
          <w:color w:val="auto"/>
          <w:sz w:val="24"/>
          <w:szCs w:val="24"/>
        </w:rPr>
        <w:t xml:space="preserve"> σ</w:t>
      </w:r>
      <w:r w:rsidR="00CC0D4D" w:rsidRPr="00465ED6">
        <w:rPr>
          <w:rFonts w:ascii="Times New Roman" w:hAnsi="Times New Roman"/>
          <w:color w:val="auto"/>
          <w:sz w:val="24"/>
          <w:szCs w:val="24"/>
        </w:rPr>
        <w:t xml:space="preserve">υνόλου των μελών του νοικοκυριού </w:t>
      </w:r>
      <w:r w:rsidR="00EF1CF1" w:rsidRPr="00465ED6">
        <w:rPr>
          <w:rFonts w:ascii="Times New Roman" w:hAnsi="Times New Roman"/>
          <w:color w:val="auto"/>
          <w:sz w:val="24"/>
          <w:szCs w:val="24"/>
        </w:rPr>
        <w:t xml:space="preserve">υποδεικνύει τα χαμηλά ποσοστά συμμετοχής στην </w:t>
      </w:r>
      <w:r w:rsidR="00ED2BE5" w:rsidRPr="00465ED6">
        <w:rPr>
          <w:rFonts w:ascii="Times New Roman" w:hAnsi="Times New Roman"/>
          <w:color w:val="auto"/>
          <w:sz w:val="24"/>
          <w:szCs w:val="24"/>
        </w:rPr>
        <w:t>εργασία</w:t>
      </w:r>
      <w:r w:rsidR="00EF1CF1" w:rsidRPr="00465ED6">
        <w:rPr>
          <w:rFonts w:ascii="Times New Roman" w:hAnsi="Times New Roman"/>
          <w:color w:val="auto"/>
          <w:sz w:val="24"/>
          <w:szCs w:val="24"/>
        </w:rPr>
        <w:t xml:space="preserve"> όχι μ</w:t>
      </w:r>
      <w:r w:rsidR="00ED2BE5" w:rsidRPr="00465ED6">
        <w:rPr>
          <w:rFonts w:ascii="Times New Roman" w:hAnsi="Times New Roman"/>
          <w:color w:val="auto"/>
          <w:sz w:val="24"/>
          <w:szCs w:val="24"/>
        </w:rPr>
        <w:t>όνο</w:t>
      </w:r>
      <w:r w:rsidR="00EF1CF1" w:rsidRPr="00465ED6">
        <w:rPr>
          <w:rFonts w:ascii="Times New Roman" w:hAnsi="Times New Roman"/>
          <w:color w:val="auto"/>
          <w:sz w:val="24"/>
          <w:szCs w:val="24"/>
        </w:rPr>
        <w:t xml:space="preserve"> των ατόμων με αναπηρία</w:t>
      </w:r>
      <w:r w:rsidR="00ED2BE5" w:rsidRPr="00465ED6">
        <w:rPr>
          <w:rFonts w:ascii="Times New Roman" w:hAnsi="Times New Roman"/>
          <w:color w:val="auto"/>
          <w:sz w:val="24"/>
          <w:szCs w:val="24"/>
        </w:rPr>
        <w:t>,</w:t>
      </w:r>
      <w:r w:rsidR="00EF1CF1" w:rsidRPr="00465ED6">
        <w:rPr>
          <w:rFonts w:ascii="Times New Roman" w:hAnsi="Times New Roman"/>
          <w:color w:val="auto"/>
          <w:sz w:val="24"/>
          <w:szCs w:val="24"/>
        </w:rPr>
        <w:t xml:space="preserve"> </w:t>
      </w:r>
      <w:r w:rsidR="00765514" w:rsidRPr="00465ED6">
        <w:rPr>
          <w:rFonts w:ascii="Times New Roman" w:hAnsi="Times New Roman"/>
          <w:color w:val="auto"/>
          <w:sz w:val="24"/>
          <w:szCs w:val="24"/>
        </w:rPr>
        <w:t xml:space="preserve">αλλά </w:t>
      </w:r>
      <w:r w:rsidR="00EF1CF1" w:rsidRPr="00465ED6">
        <w:rPr>
          <w:rFonts w:ascii="Times New Roman" w:hAnsi="Times New Roman"/>
          <w:color w:val="auto"/>
          <w:sz w:val="24"/>
          <w:szCs w:val="24"/>
        </w:rPr>
        <w:t>ενδεχομένως</w:t>
      </w:r>
      <w:r w:rsidR="00765514" w:rsidRPr="00465ED6">
        <w:rPr>
          <w:rFonts w:ascii="Times New Roman" w:hAnsi="Times New Roman"/>
          <w:color w:val="auto"/>
          <w:sz w:val="24"/>
          <w:szCs w:val="24"/>
        </w:rPr>
        <w:t xml:space="preserve"> και</w:t>
      </w:r>
      <w:r w:rsidR="00EF1CF1" w:rsidRPr="00465ED6">
        <w:rPr>
          <w:rFonts w:ascii="Times New Roman" w:hAnsi="Times New Roman"/>
          <w:color w:val="auto"/>
          <w:sz w:val="24"/>
          <w:szCs w:val="24"/>
        </w:rPr>
        <w:t xml:space="preserve"> άλλων μελών του νοικοκυριού που μπορεί να έχουν ρόλο φροντιστών -δεδομένης της απουσίας παροχών προσωπικής βοήθειας και της ελλιπούς παροχής υπηρεσιών φροντίδας για τα άτομα με αναπηρία. </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Η περιορισμένη πρόσβαση </w:t>
      </w:r>
      <w:r w:rsidR="00A61166" w:rsidRPr="00465ED6">
        <w:rPr>
          <w:rFonts w:ascii="Times New Roman" w:hAnsi="Times New Roman"/>
          <w:color w:val="auto"/>
          <w:sz w:val="24"/>
          <w:szCs w:val="24"/>
        </w:rPr>
        <w:t xml:space="preserve">στην εργασία </w:t>
      </w:r>
      <w:r w:rsidRPr="00465ED6">
        <w:rPr>
          <w:rFonts w:ascii="Times New Roman" w:hAnsi="Times New Roman"/>
          <w:color w:val="auto"/>
          <w:sz w:val="24"/>
          <w:szCs w:val="24"/>
        </w:rPr>
        <w:t xml:space="preserve">των ατόμων με αναπηρία </w:t>
      </w:r>
      <w:r w:rsidR="00A61166" w:rsidRPr="00465ED6">
        <w:rPr>
          <w:rFonts w:ascii="Times New Roman" w:hAnsi="Times New Roman"/>
          <w:color w:val="auto"/>
          <w:sz w:val="24"/>
          <w:szCs w:val="24"/>
        </w:rPr>
        <w:t xml:space="preserve">και των οικογενειών τους, στο βαθμό που αυτά είναι </w:t>
      </w:r>
      <w:r w:rsidR="000F3D9D" w:rsidRPr="00465ED6">
        <w:rPr>
          <w:rFonts w:ascii="Times New Roman" w:hAnsi="Times New Roman"/>
          <w:color w:val="auto"/>
          <w:sz w:val="24"/>
          <w:szCs w:val="24"/>
        </w:rPr>
        <w:t xml:space="preserve">σε θέση </w:t>
      </w:r>
      <w:r w:rsidR="00A61166" w:rsidRPr="00465ED6">
        <w:rPr>
          <w:rFonts w:ascii="Times New Roman" w:hAnsi="Times New Roman"/>
          <w:color w:val="auto"/>
          <w:sz w:val="24"/>
          <w:szCs w:val="24"/>
        </w:rPr>
        <w:t xml:space="preserve">να εργαστούν, </w:t>
      </w:r>
      <w:r w:rsidRPr="00465ED6">
        <w:rPr>
          <w:rFonts w:ascii="Times New Roman" w:hAnsi="Times New Roman"/>
          <w:color w:val="auto"/>
          <w:sz w:val="24"/>
          <w:szCs w:val="24"/>
        </w:rPr>
        <w:t xml:space="preserve">δεν συνδέεται μόνο με την εισοδηματική </w:t>
      </w:r>
      <w:r w:rsidR="00A61166" w:rsidRPr="00465ED6">
        <w:rPr>
          <w:rFonts w:ascii="Times New Roman" w:hAnsi="Times New Roman"/>
          <w:color w:val="auto"/>
          <w:sz w:val="24"/>
          <w:szCs w:val="24"/>
        </w:rPr>
        <w:t>φτώχεια</w:t>
      </w:r>
      <w:r w:rsidRPr="00465ED6">
        <w:rPr>
          <w:rFonts w:ascii="Times New Roman" w:hAnsi="Times New Roman"/>
          <w:color w:val="auto"/>
          <w:sz w:val="24"/>
          <w:szCs w:val="24"/>
        </w:rPr>
        <w:t xml:space="preserve"> αλλά και</w:t>
      </w:r>
      <w:r w:rsidR="00A61166" w:rsidRPr="00465ED6">
        <w:rPr>
          <w:rFonts w:ascii="Times New Roman" w:hAnsi="Times New Roman"/>
          <w:color w:val="auto"/>
          <w:sz w:val="24"/>
          <w:szCs w:val="24"/>
        </w:rPr>
        <w:t xml:space="preserve"> αποτελεί βασική αιτία κοινωνικού αποκλεισμού</w:t>
      </w:r>
      <w:r w:rsidR="00887135" w:rsidRPr="00465ED6">
        <w:rPr>
          <w:rFonts w:ascii="Times New Roman" w:hAnsi="Times New Roman"/>
          <w:color w:val="auto"/>
          <w:sz w:val="24"/>
          <w:szCs w:val="24"/>
        </w:rPr>
        <w:t>,</w:t>
      </w:r>
      <w:r w:rsidR="00A61166" w:rsidRPr="00465ED6">
        <w:rPr>
          <w:rFonts w:ascii="Times New Roman" w:hAnsi="Times New Roman"/>
          <w:color w:val="auto"/>
          <w:sz w:val="24"/>
          <w:szCs w:val="24"/>
        </w:rPr>
        <w:t xml:space="preserve"> </w:t>
      </w:r>
      <w:r w:rsidRPr="00465ED6">
        <w:rPr>
          <w:rFonts w:ascii="Times New Roman" w:hAnsi="Times New Roman"/>
          <w:color w:val="auto"/>
          <w:sz w:val="24"/>
          <w:szCs w:val="24"/>
        </w:rPr>
        <w:t xml:space="preserve">καθώς η </w:t>
      </w:r>
      <w:r w:rsidR="00A61166" w:rsidRPr="00465ED6">
        <w:rPr>
          <w:rFonts w:ascii="Times New Roman" w:hAnsi="Times New Roman"/>
          <w:color w:val="auto"/>
          <w:sz w:val="24"/>
          <w:szCs w:val="24"/>
        </w:rPr>
        <w:t xml:space="preserve">εργασιακή ένταξη </w:t>
      </w:r>
      <w:r w:rsidRPr="00465ED6">
        <w:rPr>
          <w:rFonts w:ascii="Times New Roman" w:hAnsi="Times New Roman"/>
          <w:color w:val="auto"/>
          <w:sz w:val="24"/>
          <w:szCs w:val="24"/>
        </w:rPr>
        <w:t xml:space="preserve">αποτελεί </w:t>
      </w:r>
      <w:r w:rsidR="00142923" w:rsidRPr="00465ED6">
        <w:rPr>
          <w:rFonts w:ascii="Times New Roman" w:hAnsi="Times New Roman"/>
          <w:color w:val="auto"/>
          <w:sz w:val="24"/>
          <w:szCs w:val="24"/>
        </w:rPr>
        <w:t xml:space="preserve">κλειδί </w:t>
      </w:r>
      <w:r w:rsidR="00887135" w:rsidRPr="00465ED6">
        <w:rPr>
          <w:rFonts w:ascii="Times New Roman" w:hAnsi="Times New Roman"/>
          <w:color w:val="auto"/>
          <w:sz w:val="24"/>
          <w:szCs w:val="24"/>
        </w:rPr>
        <w:t xml:space="preserve">και </w:t>
      </w:r>
      <w:r w:rsidR="00142923" w:rsidRPr="00465ED6">
        <w:rPr>
          <w:rFonts w:ascii="Times New Roman" w:hAnsi="Times New Roman"/>
          <w:color w:val="auto"/>
          <w:sz w:val="24"/>
          <w:szCs w:val="24"/>
        </w:rPr>
        <w:t>για την κοινωνική ένταξη των ατόμων.</w:t>
      </w:r>
      <w:r w:rsidRPr="00465ED6">
        <w:rPr>
          <w:rFonts w:ascii="Times New Roman" w:hAnsi="Times New Roman"/>
          <w:color w:val="auto"/>
          <w:sz w:val="24"/>
          <w:szCs w:val="24"/>
        </w:rPr>
        <w:t xml:space="preserve"> </w:t>
      </w:r>
    </w:p>
    <w:p w:rsidR="00765514" w:rsidRPr="00465ED6" w:rsidRDefault="00765514" w:rsidP="00681B6D">
      <w:pPr>
        <w:rPr>
          <w:rFonts w:ascii="Times New Roman" w:hAnsi="Times New Roman"/>
          <w:b/>
          <w:i/>
          <w:color w:val="auto"/>
          <w:sz w:val="24"/>
          <w:szCs w:val="24"/>
        </w:rPr>
      </w:pPr>
      <w:r w:rsidRPr="00465ED6">
        <w:rPr>
          <w:rFonts w:ascii="Times New Roman" w:hAnsi="Times New Roman"/>
          <w:b/>
          <w:i/>
          <w:color w:val="auto"/>
          <w:sz w:val="24"/>
          <w:szCs w:val="24"/>
        </w:rPr>
        <w:t>ΕΠΙΛΟΓΟΣ</w:t>
      </w:r>
    </w:p>
    <w:p w:rsidR="00765514" w:rsidRPr="00465ED6" w:rsidRDefault="004C7901" w:rsidP="00681B6D">
      <w:pPr>
        <w:rPr>
          <w:rFonts w:ascii="Times New Roman" w:hAnsi="Times New Roman"/>
          <w:i/>
          <w:color w:val="auto"/>
          <w:sz w:val="24"/>
          <w:szCs w:val="24"/>
        </w:rPr>
      </w:pPr>
      <w:r w:rsidRPr="00465ED6">
        <w:rPr>
          <w:rFonts w:ascii="Times New Roman" w:hAnsi="Times New Roman"/>
          <w:i/>
          <w:color w:val="auto"/>
          <w:sz w:val="24"/>
          <w:szCs w:val="24"/>
        </w:rPr>
        <w:t>Συμπερασματικ</w:t>
      </w:r>
      <w:r w:rsidR="008E37E8" w:rsidRPr="00465ED6">
        <w:rPr>
          <w:rFonts w:ascii="Times New Roman" w:hAnsi="Times New Roman"/>
          <w:i/>
          <w:color w:val="auto"/>
          <w:sz w:val="24"/>
          <w:szCs w:val="24"/>
        </w:rPr>
        <w:t xml:space="preserve">ά, χρειάζεται να υπάρξει ένα συνολικό πρόγραμμα δημόσιων πολιτικών για την αναπηρία που θα περιλαμβάνει </w:t>
      </w:r>
      <w:r w:rsidR="00A04828" w:rsidRPr="00465ED6">
        <w:rPr>
          <w:rFonts w:ascii="Times New Roman" w:hAnsi="Times New Roman"/>
          <w:i/>
          <w:color w:val="auto"/>
          <w:sz w:val="24"/>
          <w:szCs w:val="24"/>
        </w:rPr>
        <w:t>πρόσθετα μέτρα είτε άμεσης είτε έμμεσ</w:t>
      </w:r>
      <w:r w:rsidR="004B7E24" w:rsidRPr="00465ED6">
        <w:rPr>
          <w:rFonts w:ascii="Times New Roman" w:hAnsi="Times New Roman"/>
          <w:i/>
          <w:color w:val="auto"/>
          <w:sz w:val="24"/>
          <w:szCs w:val="24"/>
        </w:rPr>
        <w:t>η</w:t>
      </w:r>
      <w:r w:rsidR="00A04828" w:rsidRPr="00465ED6">
        <w:rPr>
          <w:rFonts w:ascii="Times New Roman" w:hAnsi="Times New Roman"/>
          <w:i/>
          <w:color w:val="auto"/>
          <w:sz w:val="24"/>
          <w:szCs w:val="24"/>
        </w:rPr>
        <w:t xml:space="preserve">ς οικονομικής ενίσχυσης των ατόμων με αναπηρία και των οικογενειών </w:t>
      </w:r>
      <w:r w:rsidR="00133E95" w:rsidRPr="00465ED6">
        <w:rPr>
          <w:rFonts w:ascii="Times New Roman" w:hAnsi="Times New Roman"/>
          <w:i/>
          <w:color w:val="auto"/>
          <w:sz w:val="24"/>
          <w:szCs w:val="24"/>
        </w:rPr>
        <w:t xml:space="preserve">τους, </w:t>
      </w:r>
      <w:r w:rsidR="009621BF" w:rsidRPr="00465ED6">
        <w:rPr>
          <w:rFonts w:ascii="Times New Roman" w:hAnsi="Times New Roman"/>
          <w:i/>
          <w:color w:val="auto"/>
          <w:sz w:val="24"/>
          <w:szCs w:val="24"/>
        </w:rPr>
        <w:t xml:space="preserve">μέσω ευνοϊκών εισοδηματικών, ασφαλιστικών και φορολογικών ρυθμίσεων που θα καλύψουν το κόστος που </w:t>
      </w:r>
      <w:r w:rsidR="004B7E24" w:rsidRPr="00465ED6">
        <w:rPr>
          <w:rFonts w:ascii="Times New Roman" w:hAnsi="Times New Roman"/>
          <w:i/>
          <w:color w:val="auto"/>
          <w:sz w:val="24"/>
          <w:szCs w:val="24"/>
        </w:rPr>
        <w:t>προκαλεί</w:t>
      </w:r>
      <w:r w:rsidR="009621BF" w:rsidRPr="00465ED6">
        <w:rPr>
          <w:rFonts w:ascii="Times New Roman" w:hAnsi="Times New Roman"/>
          <w:i/>
          <w:color w:val="auto"/>
          <w:sz w:val="24"/>
          <w:szCs w:val="24"/>
        </w:rPr>
        <w:t xml:space="preserve"> η αναπηρία</w:t>
      </w:r>
      <w:r w:rsidR="00133E95" w:rsidRPr="00465ED6">
        <w:rPr>
          <w:rFonts w:ascii="Times New Roman" w:hAnsi="Times New Roman"/>
          <w:i/>
          <w:color w:val="auto"/>
          <w:sz w:val="24"/>
          <w:szCs w:val="24"/>
        </w:rPr>
        <w:t xml:space="preserve">. </w:t>
      </w:r>
      <w:r w:rsidR="008E37E8" w:rsidRPr="00465ED6">
        <w:rPr>
          <w:rFonts w:ascii="Times New Roman" w:hAnsi="Times New Roman"/>
          <w:i/>
          <w:color w:val="auto"/>
          <w:sz w:val="24"/>
          <w:szCs w:val="24"/>
        </w:rPr>
        <w:t xml:space="preserve">Είναι επίσης περισσότερο από αναγκαίο να υπάρξει </w:t>
      </w:r>
      <w:r w:rsidR="008E37E8" w:rsidRPr="00465ED6">
        <w:rPr>
          <w:rFonts w:ascii="Times New Roman" w:hAnsi="Times New Roman"/>
          <w:i/>
          <w:color w:val="auto"/>
          <w:sz w:val="24"/>
          <w:szCs w:val="24"/>
        </w:rPr>
        <w:lastRenderedPageBreak/>
        <w:t>ολοκληρωμένη εθνική στρατηγική για την εργασιακή ένταξη των ατόμων με αναπηρία και των οικογενειών τους, ως μέτρο ενίσχυσης του εισοδήματος και ως πολιτική κοινωνικής ένταξης. Ωστόσο, το πρόσθετο κόστος διαβίωσης της αναπηρίας θα πρέπει να αντιμετωπιστεί στη ρίζα του, με την αφαίρεση δηλαδή όλων των εμποδίων και των φραγμ</w:t>
      </w:r>
      <w:r w:rsidR="009B5674" w:rsidRPr="00465ED6">
        <w:rPr>
          <w:rFonts w:ascii="Times New Roman" w:hAnsi="Times New Roman"/>
          <w:i/>
          <w:color w:val="auto"/>
          <w:sz w:val="24"/>
          <w:szCs w:val="24"/>
        </w:rPr>
        <w:t xml:space="preserve">ών </w:t>
      </w:r>
      <w:r w:rsidR="008E37E8" w:rsidRPr="00465ED6">
        <w:rPr>
          <w:rFonts w:ascii="Times New Roman" w:hAnsi="Times New Roman"/>
          <w:i/>
          <w:color w:val="auto"/>
          <w:sz w:val="24"/>
          <w:szCs w:val="24"/>
        </w:rPr>
        <w:t xml:space="preserve">που αντιμετωπίζουν τα άτομα με αναπηρία ή/και χρόνιες παθήσεις και οι οικογένειές τους σε όλους τους τομείς, ενσωματώνοντας </w:t>
      </w:r>
      <w:r w:rsidR="00E03FAE" w:rsidRPr="00465ED6">
        <w:rPr>
          <w:rFonts w:ascii="Times New Roman" w:hAnsi="Times New Roman"/>
          <w:i/>
          <w:color w:val="auto"/>
          <w:sz w:val="24"/>
          <w:szCs w:val="24"/>
        </w:rPr>
        <w:t>-</w:t>
      </w:r>
      <w:r w:rsidR="008E37E8" w:rsidRPr="00465ED6">
        <w:rPr>
          <w:rFonts w:ascii="Times New Roman" w:hAnsi="Times New Roman"/>
          <w:i/>
          <w:color w:val="auto"/>
          <w:sz w:val="24"/>
          <w:szCs w:val="24"/>
        </w:rPr>
        <w:t xml:space="preserve">όπως ορίζεται </w:t>
      </w:r>
      <w:r w:rsidR="00E03FAE" w:rsidRPr="00465ED6">
        <w:rPr>
          <w:rFonts w:ascii="Times New Roman" w:hAnsi="Times New Roman"/>
          <w:i/>
          <w:color w:val="auto"/>
          <w:sz w:val="24"/>
          <w:szCs w:val="24"/>
        </w:rPr>
        <w:t>στη Διεθνή Σύμβαση για τα Δικαιώματα των Ατόμων με Αναπηρία και ειδικότερα στην Ελλάδα σ</w:t>
      </w:r>
      <w:r w:rsidR="008E37E8" w:rsidRPr="00465ED6">
        <w:rPr>
          <w:rFonts w:ascii="Times New Roman" w:hAnsi="Times New Roman"/>
          <w:i/>
          <w:color w:val="auto"/>
          <w:sz w:val="24"/>
          <w:szCs w:val="24"/>
        </w:rPr>
        <w:t>το ν</w:t>
      </w:r>
      <w:r w:rsidR="00E03FAE" w:rsidRPr="00465ED6">
        <w:rPr>
          <w:rFonts w:ascii="Times New Roman" w:hAnsi="Times New Roman"/>
          <w:i/>
          <w:color w:val="auto"/>
          <w:sz w:val="24"/>
          <w:szCs w:val="24"/>
        </w:rPr>
        <w:t xml:space="preserve">όμο 4488/2017- </w:t>
      </w:r>
      <w:r w:rsidR="008E37E8" w:rsidRPr="00465ED6">
        <w:rPr>
          <w:rFonts w:ascii="Times New Roman" w:hAnsi="Times New Roman"/>
          <w:i/>
          <w:color w:val="auto"/>
          <w:sz w:val="24"/>
          <w:szCs w:val="24"/>
        </w:rPr>
        <w:t xml:space="preserve">τη διάσταση της αναπηρίας σε όλες τις δημόσιες </w:t>
      </w:r>
      <w:r w:rsidR="00F750A7" w:rsidRPr="00465ED6">
        <w:rPr>
          <w:rFonts w:ascii="Times New Roman" w:hAnsi="Times New Roman"/>
          <w:i/>
          <w:color w:val="auto"/>
          <w:sz w:val="24"/>
          <w:szCs w:val="24"/>
        </w:rPr>
        <w:t>πολιτικές</w:t>
      </w:r>
      <w:r w:rsidR="00EA495D" w:rsidRPr="00465ED6">
        <w:rPr>
          <w:rFonts w:ascii="Times New Roman" w:hAnsi="Times New Roman"/>
          <w:i/>
          <w:color w:val="auto"/>
          <w:sz w:val="24"/>
          <w:szCs w:val="24"/>
        </w:rPr>
        <w:t xml:space="preserve"> δράσεις, μέτρα και προγράμματα</w:t>
      </w:r>
      <w:r w:rsidR="00F750A7" w:rsidRPr="00465ED6">
        <w:rPr>
          <w:rFonts w:ascii="Times New Roman" w:hAnsi="Times New Roman"/>
          <w:i/>
          <w:color w:val="auto"/>
          <w:sz w:val="24"/>
          <w:szCs w:val="24"/>
        </w:rPr>
        <w:t>,</w:t>
      </w:r>
      <w:r w:rsidR="00C44D3D" w:rsidRPr="00465ED6">
        <w:rPr>
          <w:rFonts w:ascii="Times New Roman" w:hAnsi="Times New Roman"/>
          <w:i/>
          <w:color w:val="auto"/>
          <w:sz w:val="24"/>
          <w:szCs w:val="24"/>
        </w:rPr>
        <w:t xml:space="preserve"> ώστε να </w:t>
      </w:r>
      <w:r w:rsidR="00F65508" w:rsidRPr="00465ED6">
        <w:rPr>
          <w:rFonts w:ascii="Times New Roman" w:hAnsi="Times New Roman"/>
          <w:i/>
          <w:color w:val="auto"/>
          <w:sz w:val="24"/>
          <w:szCs w:val="24"/>
        </w:rPr>
        <w:t>καταστεί</w:t>
      </w:r>
      <w:r w:rsidR="00C44D3D" w:rsidRPr="00465ED6">
        <w:rPr>
          <w:rFonts w:ascii="Times New Roman" w:hAnsi="Times New Roman"/>
          <w:i/>
          <w:color w:val="auto"/>
          <w:sz w:val="24"/>
          <w:szCs w:val="24"/>
        </w:rPr>
        <w:t xml:space="preserve"> εφικτή η ισότιμη και χωρίς </w:t>
      </w:r>
      <w:r w:rsidR="00F65508" w:rsidRPr="00465ED6">
        <w:rPr>
          <w:rFonts w:ascii="Times New Roman" w:hAnsi="Times New Roman"/>
          <w:i/>
          <w:color w:val="auto"/>
          <w:sz w:val="24"/>
          <w:szCs w:val="24"/>
        </w:rPr>
        <w:t>αποκλεισμούς</w:t>
      </w:r>
      <w:r w:rsidR="00C44D3D" w:rsidRPr="00465ED6">
        <w:rPr>
          <w:rFonts w:ascii="Times New Roman" w:hAnsi="Times New Roman"/>
          <w:i/>
          <w:color w:val="auto"/>
          <w:sz w:val="24"/>
          <w:szCs w:val="24"/>
        </w:rPr>
        <w:t xml:space="preserve"> συμμετοχή στα δημόσια αγαθά</w:t>
      </w:r>
      <w:r w:rsidR="009B5674" w:rsidRPr="00465ED6">
        <w:rPr>
          <w:rFonts w:ascii="Times New Roman" w:hAnsi="Times New Roman"/>
          <w:i/>
          <w:color w:val="auto"/>
          <w:sz w:val="24"/>
          <w:szCs w:val="24"/>
        </w:rPr>
        <w:t xml:space="preserve"> και στις υπηρεσίες και η ανεμπόδιστη άσκηση των δικαιωμάτων</w:t>
      </w:r>
      <w:r w:rsidR="003C087A" w:rsidRPr="00465ED6">
        <w:rPr>
          <w:rFonts w:ascii="Times New Roman" w:hAnsi="Times New Roman"/>
          <w:i/>
          <w:color w:val="auto"/>
          <w:sz w:val="24"/>
          <w:szCs w:val="24"/>
        </w:rPr>
        <w:t xml:space="preserve"> των ατόμων με αναπηρία </w:t>
      </w:r>
      <w:r w:rsidR="009B5674" w:rsidRPr="00465ED6">
        <w:rPr>
          <w:rFonts w:ascii="Times New Roman" w:hAnsi="Times New Roman"/>
          <w:i/>
          <w:color w:val="auto"/>
          <w:sz w:val="24"/>
          <w:szCs w:val="24"/>
        </w:rPr>
        <w:t xml:space="preserve">χωρίς πρόσθετο κόστος. </w:t>
      </w:r>
      <w:r w:rsidR="00C44D3D" w:rsidRPr="00465ED6">
        <w:rPr>
          <w:rFonts w:ascii="Times New Roman" w:hAnsi="Times New Roman"/>
          <w:i/>
          <w:color w:val="auto"/>
          <w:sz w:val="24"/>
          <w:szCs w:val="24"/>
        </w:rPr>
        <w:t xml:space="preserve"> </w:t>
      </w:r>
    </w:p>
    <w:p w:rsidR="00681B6D" w:rsidRPr="00465ED6" w:rsidRDefault="00272ABE" w:rsidP="00465ED6">
      <w:pPr>
        <w:pStyle w:val="af1"/>
        <w:rPr>
          <w:rFonts w:ascii="Times New Roman" w:hAnsi="Times New Roman" w:cs="Times New Roman"/>
          <w:b/>
          <w:color w:val="auto"/>
        </w:rPr>
      </w:pPr>
      <w:r w:rsidRPr="00465ED6">
        <w:rPr>
          <w:rFonts w:ascii="Times New Roman" w:hAnsi="Times New Roman" w:cs="Times New Roman"/>
          <w:b/>
          <w:color w:val="auto"/>
        </w:rPr>
        <w:t>ΕΠΕΞΗΓΗΜΑΤΙΚΟΙ ΟΡΙΣΜΟΙ</w:t>
      </w:r>
      <w:r w:rsidR="00B05F56" w:rsidRPr="00465ED6">
        <w:rPr>
          <w:rFonts w:ascii="Times New Roman" w:hAnsi="Times New Roman" w:cs="Times New Roman"/>
          <w:b/>
          <w:color w:val="auto"/>
        </w:rPr>
        <w:t xml:space="preserve"> </w:t>
      </w:r>
    </w:p>
    <w:p w:rsidR="00681B6D" w:rsidRPr="00465ED6" w:rsidRDefault="00B05F56" w:rsidP="00681B6D">
      <w:pPr>
        <w:rPr>
          <w:rFonts w:ascii="Times New Roman" w:hAnsi="Times New Roman"/>
          <w:b/>
          <w:color w:val="auto"/>
          <w:sz w:val="24"/>
          <w:szCs w:val="24"/>
          <w:u w:val="single"/>
        </w:rPr>
      </w:pPr>
      <w:r w:rsidRPr="00465ED6">
        <w:rPr>
          <w:rFonts w:ascii="Times New Roman" w:hAnsi="Times New Roman"/>
          <w:b/>
          <w:color w:val="auto"/>
          <w:sz w:val="24"/>
          <w:szCs w:val="24"/>
          <w:u w:val="single"/>
        </w:rPr>
        <w:t xml:space="preserve">Δείκτης </w:t>
      </w:r>
      <w:r w:rsidRPr="00465ED6">
        <w:rPr>
          <w:rFonts w:ascii="Times New Roman" w:hAnsi="Times New Roman"/>
          <w:b/>
          <w:color w:val="auto"/>
          <w:sz w:val="24"/>
          <w:szCs w:val="24"/>
          <w:u w:val="single"/>
          <w:lang w:val="en-US"/>
        </w:rPr>
        <w:t>GALI</w:t>
      </w:r>
    </w:p>
    <w:p w:rsidR="00681B6D" w:rsidRPr="00465ED6" w:rsidRDefault="00B05F56" w:rsidP="00681B6D">
      <w:pPr>
        <w:rPr>
          <w:rFonts w:ascii="Times New Roman" w:hAnsi="Times New Roman"/>
          <w:i/>
          <w:color w:val="auto"/>
          <w:sz w:val="24"/>
          <w:szCs w:val="24"/>
        </w:rPr>
      </w:pPr>
      <w:r w:rsidRPr="00465ED6">
        <w:rPr>
          <w:rFonts w:ascii="Times New Roman" w:hAnsi="Times New Roman"/>
          <w:color w:val="auto"/>
          <w:sz w:val="24"/>
          <w:szCs w:val="24"/>
        </w:rPr>
        <w:t xml:space="preserve">Ο δείκτης αποτυπώνει την αναπηρία ως τον περιορισμό στις συνήθεις δραστηριότητες των ατόμων εξαιτίας προβλημάτων υγείας. Ειδικότερα, το ερώτημα που καλούνται να απαντήσουν οι ερωτώμενοι στην έρευνα είναι το εξής: </w:t>
      </w:r>
      <w:r w:rsidRPr="00465ED6">
        <w:rPr>
          <w:rFonts w:ascii="Times New Roman" w:hAnsi="Times New Roman"/>
          <w:i/>
          <w:color w:val="auto"/>
          <w:sz w:val="24"/>
          <w:szCs w:val="24"/>
        </w:rPr>
        <w:t xml:space="preserve">«Έχετε περιορίσει λόγω δικού σας προβλήματος υγείας, κάποιες από τις συνήθεις δραστηριότητές ή έχετε δυσκολευτεί σε αυτές για διάστημα 6 μηνών ή και περισσότερο, από σήμερα;» </w:t>
      </w:r>
    </w:p>
    <w:p w:rsidR="00681B6D" w:rsidRPr="00465ED6" w:rsidRDefault="00B05F56" w:rsidP="00681B6D">
      <w:pPr>
        <w:rPr>
          <w:rFonts w:ascii="Times New Roman" w:hAnsi="Times New Roman"/>
          <w:b/>
          <w:bCs/>
          <w:color w:val="auto"/>
        </w:rPr>
      </w:pPr>
      <w:r w:rsidRPr="00465ED6">
        <w:rPr>
          <w:rFonts w:ascii="Times New Roman" w:hAnsi="Times New Roman"/>
          <w:color w:val="auto"/>
          <w:sz w:val="24"/>
          <w:szCs w:val="24"/>
        </w:rPr>
        <w:t xml:space="preserve">Οι εναλλακτικές απαντήσεις στο ερώτημα είναι οι εξής: </w:t>
      </w:r>
    </w:p>
    <w:p w:rsidR="00681B6D" w:rsidRPr="00465ED6" w:rsidRDefault="00B05F56" w:rsidP="00681B6D">
      <w:pPr>
        <w:rPr>
          <w:rFonts w:ascii="Times New Roman" w:hAnsi="Times New Roman"/>
          <w:i/>
          <w:color w:val="auto"/>
          <w:sz w:val="24"/>
          <w:szCs w:val="24"/>
        </w:rPr>
      </w:pPr>
      <w:r w:rsidRPr="00465ED6">
        <w:rPr>
          <w:rFonts w:ascii="Times New Roman" w:hAnsi="Times New Roman"/>
          <w:i/>
          <w:color w:val="auto"/>
          <w:sz w:val="24"/>
          <w:szCs w:val="24"/>
        </w:rPr>
        <w:t xml:space="preserve"> «Ναι, πάρα πολύ», «Ναι, αλλά όχι πάρα πολύ», «Όχι, καθόλου»</w:t>
      </w:r>
    </w:p>
    <w:p w:rsidR="00681B6D" w:rsidRPr="00465ED6" w:rsidRDefault="00B05F56" w:rsidP="00681B6D">
      <w:pPr>
        <w:rPr>
          <w:rFonts w:ascii="Times New Roman" w:hAnsi="Times New Roman"/>
          <w:color w:val="auto"/>
          <w:sz w:val="24"/>
          <w:szCs w:val="24"/>
        </w:rPr>
      </w:pPr>
      <w:r w:rsidRPr="00465ED6">
        <w:rPr>
          <w:rFonts w:ascii="Times New Roman" w:hAnsi="Times New Roman"/>
          <w:b/>
          <w:color w:val="auto"/>
          <w:sz w:val="24"/>
          <w:szCs w:val="24"/>
          <w:u w:val="single"/>
        </w:rPr>
        <w:t>Πληθυσμός σε κίνδυνο φτώχειας ή κοινωνικό αποκλεισμό</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Ο σύνθετος δείκτης «Πληθυσμός σε κίνδυνο φτώχειας ή κοινωνικό αποκλεισμό» εκτιμά τα ποσοστά των ατόμων σε κίνδυνο φτώχειας ή σε κοινωνικό αποκλεισμό σύμφωνα με τις εξής υποκατηγορίες ποσοστών (επιμέρους δείκτες): </w:t>
      </w:r>
    </w:p>
    <w:p w:rsidR="00681B6D" w:rsidRPr="00465ED6" w:rsidRDefault="00B05F56" w:rsidP="00C75550">
      <w:pPr>
        <w:pStyle w:val="a8"/>
        <w:numPr>
          <w:ilvl w:val="0"/>
          <w:numId w:val="30"/>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 xml:space="preserve">Ποσοστό ατόμων που βρίσκεται σε κίνδυνο φτώχειας, </w:t>
      </w:r>
    </w:p>
    <w:p w:rsidR="00681B6D" w:rsidRPr="00465ED6" w:rsidRDefault="00B05F56" w:rsidP="00C75550">
      <w:pPr>
        <w:pStyle w:val="a8"/>
        <w:numPr>
          <w:ilvl w:val="0"/>
          <w:numId w:val="30"/>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 xml:space="preserve">Ποσοστό ατόμων με υλικές στερήσεις </w:t>
      </w:r>
    </w:p>
    <w:p w:rsidR="00681B6D" w:rsidRPr="00465ED6" w:rsidRDefault="00B05F56" w:rsidP="00C75550">
      <w:pPr>
        <w:pStyle w:val="a8"/>
        <w:numPr>
          <w:ilvl w:val="0"/>
          <w:numId w:val="30"/>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Ποσοστό ατόμων που διαβιεί σε νοικοκυριά με χαμηλή</w:t>
      </w:r>
      <w:r w:rsidR="00650CA4" w:rsidRPr="00465ED6">
        <w:rPr>
          <w:rFonts w:ascii="Times New Roman" w:hAnsi="Times New Roman"/>
          <w:color w:val="auto"/>
          <w:sz w:val="24"/>
          <w:szCs w:val="24"/>
        </w:rPr>
        <w:t>ς</w:t>
      </w:r>
      <w:r w:rsidRPr="00465ED6">
        <w:rPr>
          <w:rFonts w:ascii="Times New Roman" w:hAnsi="Times New Roman"/>
          <w:color w:val="auto"/>
          <w:sz w:val="24"/>
          <w:szCs w:val="24"/>
        </w:rPr>
        <w:t xml:space="preserve"> ένταση</w:t>
      </w:r>
      <w:r w:rsidR="00650CA4" w:rsidRPr="00465ED6">
        <w:rPr>
          <w:rFonts w:ascii="Times New Roman" w:hAnsi="Times New Roman"/>
          <w:color w:val="auto"/>
          <w:sz w:val="24"/>
          <w:szCs w:val="24"/>
        </w:rPr>
        <w:t>ς εργασία</w:t>
      </w:r>
      <w:r w:rsidRPr="00465ED6">
        <w:rPr>
          <w:rFonts w:ascii="Times New Roman" w:hAnsi="Times New Roman"/>
          <w:color w:val="auto"/>
          <w:sz w:val="24"/>
          <w:szCs w:val="24"/>
        </w:rPr>
        <w:t>.</w:t>
      </w:r>
    </w:p>
    <w:p w:rsidR="00681B6D" w:rsidRPr="00465ED6" w:rsidRDefault="00B05F56" w:rsidP="00681B6D">
      <w:pPr>
        <w:rPr>
          <w:rFonts w:ascii="Times New Roman" w:hAnsi="Times New Roman"/>
          <w:b/>
          <w:color w:val="auto"/>
          <w:sz w:val="24"/>
          <w:szCs w:val="24"/>
          <w:u w:val="single"/>
        </w:rPr>
      </w:pPr>
      <w:r w:rsidRPr="00465ED6">
        <w:rPr>
          <w:rFonts w:ascii="Times New Roman" w:hAnsi="Times New Roman"/>
          <w:b/>
          <w:color w:val="auto"/>
          <w:sz w:val="24"/>
          <w:szCs w:val="24"/>
          <w:u w:val="single"/>
        </w:rPr>
        <w:t>Κ</w:t>
      </w:r>
      <w:r w:rsidR="00706C74" w:rsidRPr="00465ED6">
        <w:rPr>
          <w:rFonts w:ascii="Times New Roman" w:hAnsi="Times New Roman"/>
          <w:b/>
          <w:color w:val="auto"/>
          <w:sz w:val="24"/>
          <w:szCs w:val="24"/>
          <w:u w:val="single"/>
        </w:rPr>
        <w:t>ίνδυνος φτώχειας (Poverty Risk)</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 </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Ως ισοδύναμο διαθέσιμο ατομικό εισόδημα ορίζεται το συνολικό διαθέσιμο εισόδημα του νοικοκυριού μετά τη διαίρεση του με το ισοδύναμο μέγεθος του νοικοκυριού. Το ισοδύναμο μέγεθος του νοικοκυριού υπολογίζεται με βάση την τροποποιημένη κλίμακα του ΟΟΣΑ. Επισημαίνεται ότι στην κατανομή κατά άτομο θεωρείται ότι το </w:t>
      </w:r>
      <w:r w:rsidRPr="00465ED6">
        <w:rPr>
          <w:rFonts w:ascii="Times New Roman" w:hAnsi="Times New Roman"/>
          <w:color w:val="auto"/>
          <w:sz w:val="24"/>
          <w:szCs w:val="24"/>
        </w:rPr>
        <w:lastRenderedPageBreak/>
        <w:t>κάθε μέλος του νοικοκυριού κατέχει το ίδιο εισόδημα που αντιστοιχεί στο ισοδύναμο διαθέσιμο εισόδημα.</w:t>
      </w:r>
    </w:p>
    <w:p w:rsidR="00706C74" w:rsidRPr="00465ED6" w:rsidRDefault="00B05F56" w:rsidP="00DD2924">
      <w:pPr>
        <w:rPr>
          <w:rFonts w:ascii="Times New Roman" w:hAnsi="Times New Roman"/>
          <w:b/>
          <w:color w:val="auto"/>
          <w:sz w:val="24"/>
          <w:szCs w:val="24"/>
        </w:rPr>
      </w:pPr>
      <w:r w:rsidRPr="00465ED6">
        <w:rPr>
          <w:rFonts w:ascii="Times New Roman" w:hAnsi="Times New Roman"/>
          <w:b/>
          <w:color w:val="auto"/>
          <w:sz w:val="24"/>
          <w:szCs w:val="24"/>
          <w:u w:val="single"/>
        </w:rPr>
        <w:t>Ποσοστό ατόμων με υλικές στερήσεις</w:t>
      </w:r>
    </w:p>
    <w:p w:rsidR="00DD2924" w:rsidRPr="00465ED6" w:rsidRDefault="00B05F56" w:rsidP="00DD2924">
      <w:pPr>
        <w:rPr>
          <w:rFonts w:ascii="Times New Roman" w:hAnsi="Times New Roman"/>
          <w:color w:val="auto"/>
          <w:sz w:val="24"/>
          <w:szCs w:val="24"/>
        </w:rPr>
      </w:pPr>
      <w:r w:rsidRPr="00465ED6">
        <w:rPr>
          <w:rFonts w:ascii="Times New Roman" w:hAnsi="Times New Roman"/>
          <w:color w:val="auto"/>
          <w:sz w:val="24"/>
          <w:szCs w:val="24"/>
        </w:rPr>
        <w:t xml:space="preserve">Ο δείκτης εκτιμά το επίπεδο διαβίωσης μετρώντας το ποσοστό του πληθυσμού που </w:t>
      </w:r>
      <w:r w:rsidR="00DD2924" w:rsidRPr="00465ED6">
        <w:rPr>
          <w:rFonts w:ascii="Times New Roman" w:hAnsi="Times New Roman"/>
          <w:color w:val="auto"/>
          <w:sz w:val="24"/>
          <w:szCs w:val="24"/>
        </w:rPr>
        <w:t xml:space="preserve">αντιμετωπίζει σοβαρές οικονομικές δυσκολίες με αποτέλεσμα να </w:t>
      </w:r>
      <w:r w:rsidR="00AC398A" w:rsidRPr="00465ED6">
        <w:rPr>
          <w:rFonts w:ascii="Times New Roman" w:hAnsi="Times New Roman"/>
          <w:color w:val="auto"/>
          <w:sz w:val="24"/>
          <w:szCs w:val="24"/>
        </w:rPr>
        <w:t>στερείται τουλάχιστον τέσσερα</w:t>
      </w:r>
      <w:r w:rsidRPr="00465ED6">
        <w:rPr>
          <w:rFonts w:ascii="Times New Roman" w:hAnsi="Times New Roman"/>
          <w:color w:val="auto"/>
          <w:sz w:val="24"/>
          <w:szCs w:val="24"/>
        </w:rPr>
        <w:t xml:space="preserve"> από </w:t>
      </w:r>
      <w:r w:rsidR="00DD2924" w:rsidRPr="00465ED6">
        <w:rPr>
          <w:rFonts w:ascii="Times New Roman" w:hAnsi="Times New Roman"/>
          <w:color w:val="auto"/>
          <w:sz w:val="24"/>
          <w:szCs w:val="24"/>
        </w:rPr>
        <w:t>το σύνολο των</w:t>
      </w:r>
      <w:r w:rsidRPr="00465ED6">
        <w:rPr>
          <w:rFonts w:ascii="Times New Roman" w:hAnsi="Times New Roman"/>
          <w:color w:val="auto"/>
          <w:sz w:val="24"/>
          <w:szCs w:val="24"/>
        </w:rPr>
        <w:t xml:space="preserve"> </w:t>
      </w:r>
      <w:r w:rsidR="00AC398A" w:rsidRPr="00465ED6">
        <w:rPr>
          <w:rFonts w:ascii="Times New Roman" w:hAnsi="Times New Roman"/>
          <w:color w:val="auto"/>
          <w:sz w:val="24"/>
          <w:szCs w:val="24"/>
        </w:rPr>
        <w:t>εννέα</w:t>
      </w:r>
      <w:r w:rsidRPr="00465ED6">
        <w:rPr>
          <w:rFonts w:ascii="Times New Roman" w:hAnsi="Times New Roman"/>
          <w:color w:val="auto"/>
          <w:sz w:val="24"/>
          <w:szCs w:val="24"/>
        </w:rPr>
        <w:t xml:space="preserve"> αγαθών και υπηρεσιών</w:t>
      </w:r>
      <w:r w:rsidR="00864686" w:rsidRPr="00465ED6">
        <w:rPr>
          <w:rFonts w:ascii="Times New Roman" w:hAnsi="Times New Roman"/>
          <w:color w:val="auto"/>
          <w:sz w:val="24"/>
          <w:szCs w:val="24"/>
        </w:rPr>
        <w:t>.</w:t>
      </w:r>
      <w:r w:rsidR="00AC398A" w:rsidRPr="00465ED6">
        <w:rPr>
          <w:rFonts w:ascii="Times New Roman" w:hAnsi="Times New Roman"/>
          <w:color w:val="auto"/>
          <w:sz w:val="24"/>
          <w:szCs w:val="24"/>
        </w:rPr>
        <w:t xml:space="preserve"> Ειδικότερα περιλαμβάνει</w:t>
      </w:r>
      <w:r w:rsidR="0074503E" w:rsidRPr="00465ED6">
        <w:rPr>
          <w:rFonts w:ascii="Times New Roman" w:hAnsi="Times New Roman"/>
          <w:color w:val="auto"/>
          <w:sz w:val="24"/>
          <w:szCs w:val="24"/>
        </w:rPr>
        <w:t xml:space="preserve"> τις παρακάτω δυσκολίες</w:t>
      </w:r>
      <w:r w:rsidR="00AC398A" w:rsidRPr="00465ED6">
        <w:rPr>
          <w:rFonts w:ascii="Times New Roman" w:hAnsi="Times New Roman"/>
          <w:color w:val="auto"/>
          <w:sz w:val="24"/>
          <w:szCs w:val="24"/>
        </w:rPr>
        <w:t>:</w:t>
      </w:r>
    </w:p>
    <w:p w:rsidR="00681B6D" w:rsidRPr="00465ED6" w:rsidRDefault="00B05F56" w:rsidP="00C75550">
      <w:pPr>
        <w:pStyle w:val="a8"/>
        <w:numPr>
          <w:ilvl w:val="0"/>
          <w:numId w:val="31"/>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Δυσκολίες ανταπόκρισης στην πληρωμή πάγιων λογαριασμών όπως ενοίκιο ή δόση δανείου της κύριας κατοικίας, λογαριασμοί ηλεκτρικού ρεύματος, νερού, αερίου κτλ, δόσεις πιστωτικών καρτών, ή δόσεις δανείου για οικοσκευή, διακοπές κ.α. ή αγορές με δόσεις</w:t>
      </w:r>
    </w:p>
    <w:p w:rsidR="00681B6D" w:rsidRPr="00465ED6" w:rsidRDefault="00B05F56" w:rsidP="00C75550">
      <w:pPr>
        <w:pStyle w:val="a8"/>
        <w:numPr>
          <w:ilvl w:val="0"/>
          <w:numId w:val="31"/>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 xml:space="preserve">Οικονομική αδυναμία για πληρωμή μίας εβδομάδας διακοπών τον χρόνο </w:t>
      </w:r>
    </w:p>
    <w:p w:rsidR="00681B6D" w:rsidRPr="00465ED6" w:rsidRDefault="00B05F56" w:rsidP="00C75550">
      <w:pPr>
        <w:pStyle w:val="a8"/>
        <w:numPr>
          <w:ilvl w:val="0"/>
          <w:numId w:val="31"/>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 xml:space="preserve">Οικονομική αδυναμία για διατροφή που θα περιλαμβάνει κάθε δεύτερη ημέρα κρέας, κοτόπουλο, ψάρι ή λαχανικά ίσης θρεπτικής αξίας </w:t>
      </w:r>
    </w:p>
    <w:p w:rsidR="00681B6D" w:rsidRPr="00465ED6" w:rsidRDefault="00B05F56" w:rsidP="00C75550">
      <w:pPr>
        <w:pStyle w:val="a8"/>
        <w:numPr>
          <w:ilvl w:val="0"/>
          <w:numId w:val="31"/>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Οικονομική αδυναμία για αντιμετώπιση έκτακτων αλλά αναγκαίων δαπανών αξίας, περίπου, 384 €</w:t>
      </w:r>
    </w:p>
    <w:p w:rsidR="00681B6D" w:rsidRPr="00465ED6" w:rsidRDefault="00B05F56" w:rsidP="00C75550">
      <w:pPr>
        <w:pStyle w:val="a8"/>
        <w:numPr>
          <w:ilvl w:val="0"/>
          <w:numId w:val="31"/>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Οικονομική αδυναμία να διαθέτουν τηλέφωνο (περιλαμβάνει και το κινητό τηλέφωνο)</w:t>
      </w:r>
    </w:p>
    <w:p w:rsidR="00681B6D" w:rsidRPr="00465ED6" w:rsidRDefault="00B05F56" w:rsidP="00C75550">
      <w:pPr>
        <w:pStyle w:val="a8"/>
        <w:numPr>
          <w:ilvl w:val="0"/>
          <w:numId w:val="31"/>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Οικονομική αδυναμία να διαθέτουν έγχρωμη τηλεόραση</w:t>
      </w:r>
    </w:p>
    <w:p w:rsidR="00681B6D" w:rsidRPr="00465ED6" w:rsidRDefault="00B05F56" w:rsidP="00C75550">
      <w:pPr>
        <w:pStyle w:val="a8"/>
        <w:numPr>
          <w:ilvl w:val="0"/>
          <w:numId w:val="31"/>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Οικονομική αδυναμία να διαθέτουν πλυντήριο ρούχων</w:t>
      </w:r>
    </w:p>
    <w:p w:rsidR="00681B6D" w:rsidRPr="00465ED6" w:rsidRDefault="00B05F56" w:rsidP="00C75550">
      <w:pPr>
        <w:pStyle w:val="a8"/>
        <w:numPr>
          <w:ilvl w:val="0"/>
          <w:numId w:val="31"/>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 xml:space="preserve">Οικονομική αδυναμία να διαθέτουν Ι.Χ. επιβατηγό αυτοκίνητο και </w:t>
      </w:r>
    </w:p>
    <w:p w:rsidR="00681B6D" w:rsidRPr="00465ED6" w:rsidRDefault="00B05F56" w:rsidP="00C75550">
      <w:pPr>
        <w:pStyle w:val="a8"/>
        <w:numPr>
          <w:ilvl w:val="0"/>
          <w:numId w:val="31"/>
        </w:numPr>
        <w:spacing w:after="160" w:line="259" w:lineRule="auto"/>
        <w:rPr>
          <w:rFonts w:ascii="Times New Roman" w:hAnsi="Times New Roman"/>
          <w:color w:val="auto"/>
          <w:sz w:val="24"/>
          <w:szCs w:val="24"/>
        </w:rPr>
      </w:pPr>
      <w:r w:rsidRPr="00465ED6">
        <w:rPr>
          <w:rFonts w:ascii="Times New Roman" w:hAnsi="Times New Roman"/>
          <w:color w:val="auto"/>
          <w:sz w:val="24"/>
          <w:szCs w:val="24"/>
        </w:rPr>
        <w:t>Οικονομική αδυναμία για ικανοποιητική θέρμανση και δροσιά το καλοκαίρι.</w:t>
      </w:r>
    </w:p>
    <w:p w:rsidR="00681B6D" w:rsidRPr="00465ED6" w:rsidRDefault="00681B6D" w:rsidP="00681B6D">
      <w:pPr>
        <w:pStyle w:val="a8"/>
        <w:rPr>
          <w:rFonts w:ascii="Times New Roman" w:hAnsi="Times New Roman"/>
          <w:color w:val="auto"/>
          <w:sz w:val="24"/>
          <w:szCs w:val="24"/>
        </w:rPr>
      </w:pPr>
    </w:p>
    <w:p w:rsidR="00706C74" w:rsidRPr="00465ED6" w:rsidRDefault="00B05F56" w:rsidP="00681B6D">
      <w:pPr>
        <w:rPr>
          <w:rFonts w:ascii="Times New Roman" w:hAnsi="Times New Roman"/>
          <w:b/>
          <w:color w:val="auto"/>
          <w:sz w:val="24"/>
          <w:szCs w:val="24"/>
          <w:u w:val="single"/>
        </w:rPr>
      </w:pPr>
      <w:r w:rsidRPr="00465ED6">
        <w:rPr>
          <w:rFonts w:ascii="Times New Roman" w:hAnsi="Times New Roman"/>
          <w:b/>
          <w:color w:val="auto"/>
          <w:sz w:val="24"/>
          <w:szCs w:val="24"/>
          <w:u w:val="single"/>
        </w:rPr>
        <w:t>Ποσοστό πληθυσμού που διαβιεί σε νοικοκυριά με χαμηλή</w:t>
      </w:r>
      <w:r w:rsidR="00C9659A" w:rsidRPr="00465ED6">
        <w:rPr>
          <w:rFonts w:ascii="Times New Roman" w:hAnsi="Times New Roman"/>
          <w:b/>
          <w:color w:val="auto"/>
          <w:sz w:val="24"/>
          <w:szCs w:val="24"/>
          <w:u w:val="single"/>
        </w:rPr>
        <w:t>ς</w:t>
      </w:r>
      <w:r w:rsidRPr="00465ED6">
        <w:rPr>
          <w:rFonts w:ascii="Times New Roman" w:hAnsi="Times New Roman"/>
          <w:b/>
          <w:color w:val="auto"/>
          <w:sz w:val="24"/>
          <w:szCs w:val="24"/>
          <w:u w:val="single"/>
        </w:rPr>
        <w:t xml:space="preserve"> ένταση</w:t>
      </w:r>
      <w:r w:rsidR="00C9659A" w:rsidRPr="00465ED6">
        <w:rPr>
          <w:rFonts w:ascii="Times New Roman" w:hAnsi="Times New Roman"/>
          <w:b/>
          <w:color w:val="auto"/>
          <w:sz w:val="24"/>
          <w:szCs w:val="24"/>
          <w:u w:val="single"/>
        </w:rPr>
        <w:t>ς εργασία</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Ο δείκτης αναφέρεται στο ποσοστό του πληθυσμού ηλικίας 0-59 που διαβιεί σε νοικοκυριά που τα μέλη του εργάστηκαν λιγότερο από 20% της συνήθους απασχόλησης κατά τη διάρκεια του προηγούμενου έτους. Η ένταση εργασίας του νοικοκυριού ορίζεται ως ο λόγος μεταξύ του αριθμού των μηνών που όλα τα μέλη εργάζονται κατά το προηγούμενο έτος και του συνολικού αριθμού που θα μπορούσαν θεωρητικά να έχουν εργαστεί κατά την ίδια περίοδο.  Οικονομικά ενεργά μέλη θεωρούνται τα μέλη του νοικοκυριού ηλικίας 18-59 ετών. Τα νοικοκυριά που αποτελούνται μόνο από μαθητές ή σπουδαστές κλπ κάτω των 25 ετών ή/και άτομα ηλικίας 60 ετών και άνω εξαιρούνται από τον υπολογισμό του δείκτη.</w:t>
      </w:r>
    </w:p>
    <w:p w:rsidR="00681B6D" w:rsidRPr="00465ED6" w:rsidRDefault="00B05F56" w:rsidP="00681B6D">
      <w:pPr>
        <w:rPr>
          <w:rFonts w:ascii="Times New Roman" w:hAnsi="Times New Roman"/>
          <w:color w:val="auto"/>
          <w:sz w:val="24"/>
          <w:szCs w:val="24"/>
        </w:rPr>
      </w:pPr>
      <w:r w:rsidRPr="00465ED6">
        <w:rPr>
          <w:rFonts w:ascii="Times New Roman" w:hAnsi="Times New Roman"/>
          <w:color w:val="auto"/>
          <w:sz w:val="24"/>
          <w:szCs w:val="24"/>
        </w:rPr>
        <w:t xml:space="preserve">Για τα άτομα με αναπηρία, με βάση τα διαθέσιμα δεδομένα, ο δείκτης μπορεί να υπολογιστεί μόνο για τον πληθυσμό ηλικίας 16 έως 59 ετών, καθώς δεν διατίθενται στοιχεία για μικρότερες ηλικιακές κατηγορίες. </w:t>
      </w:r>
    </w:p>
    <w:p w:rsidR="00681B6D" w:rsidRPr="00465ED6" w:rsidRDefault="00B05F56" w:rsidP="00681B6D">
      <w:pPr>
        <w:rPr>
          <w:rFonts w:ascii="Times New Roman" w:hAnsi="Times New Roman"/>
          <w:color w:val="auto"/>
          <w:sz w:val="24"/>
          <w:szCs w:val="24"/>
        </w:rPr>
      </w:pPr>
      <w:r w:rsidRPr="00465ED6">
        <w:rPr>
          <w:rFonts w:ascii="Times New Roman" w:hAnsi="Times New Roman"/>
          <w:b/>
          <w:color w:val="auto"/>
          <w:sz w:val="24"/>
          <w:szCs w:val="24"/>
          <w:u w:val="single"/>
        </w:rPr>
        <w:t xml:space="preserve">Κοινωνικές μεταβιβάσεις: </w:t>
      </w:r>
      <w:r w:rsidRPr="00465ED6">
        <w:rPr>
          <w:rFonts w:ascii="Times New Roman" w:hAnsi="Times New Roman"/>
          <w:color w:val="auto"/>
          <w:sz w:val="24"/>
          <w:szCs w:val="24"/>
        </w:rPr>
        <w:t>Ως κοινωνικές μεταβιβάσεις ορίζεται το σύνολο των κοινωνικών επιδομάτων και των συντάξεων.</w:t>
      </w:r>
    </w:p>
    <w:p w:rsidR="00681B6D" w:rsidRPr="00465ED6" w:rsidRDefault="00B05F56" w:rsidP="00681B6D">
      <w:pPr>
        <w:rPr>
          <w:rFonts w:ascii="Times New Roman" w:hAnsi="Times New Roman"/>
          <w:color w:val="auto"/>
          <w:sz w:val="24"/>
          <w:szCs w:val="24"/>
        </w:rPr>
      </w:pPr>
      <w:r w:rsidRPr="00465ED6">
        <w:rPr>
          <w:rFonts w:ascii="Times New Roman" w:hAnsi="Times New Roman"/>
          <w:b/>
          <w:color w:val="auto"/>
          <w:sz w:val="24"/>
          <w:szCs w:val="24"/>
          <w:u w:val="single"/>
        </w:rPr>
        <w:lastRenderedPageBreak/>
        <w:t>Κοινωνικά επιδόματα:</w:t>
      </w:r>
      <w:r w:rsidRPr="00465ED6">
        <w:rPr>
          <w:rFonts w:ascii="Times New Roman" w:hAnsi="Times New Roman"/>
          <w:b/>
          <w:color w:val="auto"/>
          <w:sz w:val="24"/>
          <w:szCs w:val="24"/>
        </w:rPr>
        <w:t xml:space="preserve"> </w:t>
      </w:r>
      <w:r w:rsidRPr="00465ED6">
        <w:rPr>
          <w:rFonts w:ascii="Times New Roman" w:hAnsi="Times New Roman"/>
          <w:color w:val="auto"/>
          <w:sz w:val="24"/>
          <w:szCs w:val="24"/>
        </w:rPr>
        <w:t>είναι η κοινωνική βοήθεια (ΕΚΑΣ, κοινωνικό μέρισμα, επίδομα θέρμανσης εισοδηματικές ενισχύσεις οικογενειών ορεινών και μειονεκτικών περιοχών, καθώς και οικογενειών με χαμηλά εισοδήματα και τέκνα υποχρεωτικής εκπαίδευσης, παροχές παλλινοστούντων, προσφύγων, αποφυλακισμένων, τοξικομανών, επίδομα μακροχρόνια ανέργων, βοηθήματα για αντιμετώπιση αναγκών πληγέντων από σεισμό, πλημμύρα κ.λ.π) τα οικογενειακά επιδόματα, τα επιδόματα/βοηθήματα ασθενείας, τα επιδόματα /βοηθήματα αναπηρίας-ανικανότητας και οι εκπαιδευτικές παροχές.</w:t>
      </w:r>
    </w:p>
    <w:p w:rsidR="00681B6D" w:rsidRPr="00465ED6" w:rsidRDefault="00B05F56" w:rsidP="00681B6D">
      <w:pPr>
        <w:rPr>
          <w:rFonts w:ascii="Times New Roman" w:hAnsi="Times New Roman"/>
          <w:color w:val="auto"/>
          <w:sz w:val="24"/>
          <w:szCs w:val="24"/>
        </w:rPr>
      </w:pPr>
      <w:r w:rsidRPr="00465ED6">
        <w:rPr>
          <w:rFonts w:ascii="Times New Roman" w:hAnsi="Times New Roman"/>
          <w:b/>
          <w:color w:val="auto"/>
          <w:sz w:val="24"/>
          <w:szCs w:val="24"/>
          <w:u w:val="single"/>
        </w:rPr>
        <w:t>Συντάξεις:</w:t>
      </w:r>
      <w:r w:rsidRPr="00465ED6">
        <w:rPr>
          <w:rFonts w:ascii="Times New Roman" w:hAnsi="Times New Roman"/>
          <w:color w:val="auto"/>
          <w:sz w:val="24"/>
          <w:szCs w:val="24"/>
        </w:rPr>
        <w:t xml:space="preserve"> θεωρούνται οι συντάξεις γήρατος από εργασία και οι συντάξεις /βοηθήματα από τον/τη σύζυγο.</w:t>
      </w:r>
    </w:p>
    <w:p w:rsidR="001C7B52" w:rsidRPr="00465ED6" w:rsidRDefault="001C7B52" w:rsidP="00465ED6">
      <w:pPr>
        <w:pStyle w:val="af1"/>
        <w:rPr>
          <w:rFonts w:ascii="Times New Roman" w:hAnsi="Times New Roman" w:cs="Times New Roman"/>
          <w:color w:val="auto"/>
        </w:rPr>
      </w:pPr>
      <w:r w:rsidRPr="00465ED6">
        <w:rPr>
          <w:rFonts w:ascii="Times New Roman" w:hAnsi="Times New Roman" w:cs="Times New Roman"/>
          <w:color w:val="auto"/>
        </w:rPr>
        <w:t>ΠΗΓΕΣ</w:t>
      </w:r>
      <w:r w:rsidR="00237CE1" w:rsidRPr="00465ED6">
        <w:rPr>
          <w:rFonts w:ascii="Times New Roman" w:hAnsi="Times New Roman" w:cs="Times New Roman"/>
          <w:color w:val="auto"/>
        </w:rPr>
        <w:t>:</w:t>
      </w:r>
    </w:p>
    <w:p w:rsidR="00EA4470" w:rsidRPr="00465ED6" w:rsidRDefault="00085B4D" w:rsidP="00681B6D">
      <w:pPr>
        <w:rPr>
          <w:rFonts w:ascii="Times New Roman" w:hAnsi="Times New Roman"/>
          <w:color w:val="auto"/>
          <w:sz w:val="24"/>
          <w:szCs w:val="24"/>
          <w:lang w:val="en-US"/>
        </w:rPr>
      </w:pPr>
      <w:r w:rsidRPr="00465ED6">
        <w:rPr>
          <w:rFonts w:ascii="Times New Roman" w:hAnsi="Times New Roman"/>
          <w:color w:val="auto"/>
          <w:sz w:val="24"/>
          <w:szCs w:val="24"/>
        </w:rPr>
        <w:t xml:space="preserve">Ελληνική Στατιστική Αρχή (2017). </w:t>
      </w:r>
      <w:r w:rsidR="00D62887" w:rsidRPr="00465ED6">
        <w:rPr>
          <w:rFonts w:ascii="Times New Roman" w:hAnsi="Times New Roman"/>
          <w:color w:val="auto"/>
          <w:sz w:val="24"/>
          <w:szCs w:val="24"/>
        </w:rPr>
        <w:t>Δελτίο Τύπου</w:t>
      </w:r>
      <w:r w:rsidR="00B92473" w:rsidRPr="00465ED6">
        <w:rPr>
          <w:rFonts w:ascii="Times New Roman" w:hAnsi="Times New Roman"/>
          <w:color w:val="auto"/>
          <w:sz w:val="24"/>
          <w:szCs w:val="24"/>
        </w:rPr>
        <w:t xml:space="preserve">: </w:t>
      </w:r>
      <w:r w:rsidR="00D62887" w:rsidRPr="00465ED6">
        <w:rPr>
          <w:rFonts w:ascii="Times New Roman" w:hAnsi="Times New Roman"/>
          <w:color w:val="auto"/>
          <w:sz w:val="24"/>
          <w:szCs w:val="24"/>
        </w:rPr>
        <w:t>Κίνδυνος Φτώχειας, Έρευνα Εισοδήματος και Συνθηκών Διαβίωσης των Νοικοκυριών</w:t>
      </w:r>
      <w:r w:rsidR="00B92473" w:rsidRPr="00465ED6">
        <w:rPr>
          <w:rFonts w:ascii="Times New Roman" w:hAnsi="Times New Roman"/>
          <w:color w:val="auto"/>
          <w:sz w:val="24"/>
          <w:szCs w:val="24"/>
        </w:rPr>
        <w:t xml:space="preserve"> </w:t>
      </w:r>
      <w:r w:rsidR="00FA57EB" w:rsidRPr="00465ED6">
        <w:rPr>
          <w:rFonts w:ascii="Times New Roman" w:hAnsi="Times New Roman"/>
          <w:color w:val="auto"/>
          <w:sz w:val="24"/>
          <w:szCs w:val="24"/>
        </w:rPr>
        <w:t>2016</w:t>
      </w:r>
      <w:r w:rsidRPr="00465ED6">
        <w:rPr>
          <w:rFonts w:ascii="Times New Roman" w:hAnsi="Times New Roman"/>
          <w:color w:val="auto"/>
          <w:sz w:val="24"/>
          <w:szCs w:val="24"/>
        </w:rPr>
        <w:t xml:space="preserve">. </w:t>
      </w:r>
      <w:r w:rsidR="00B92473" w:rsidRPr="00465ED6">
        <w:rPr>
          <w:rFonts w:ascii="Times New Roman" w:hAnsi="Times New Roman"/>
          <w:color w:val="auto"/>
          <w:sz w:val="24"/>
          <w:szCs w:val="24"/>
        </w:rPr>
        <w:t>Πειραιάς</w:t>
      </w:r>
      <w:r w:rsidR="00B92473" w:rsidRPr="00465ED6">
        <w:rPr>
          <w:rFonts w:ascii="Times New Roman" w:hAnsi="Times New Roman"/>
          <w:color w:val="auto"/>
          <w:sz w:val="24"/>
          <w:szCs w:val="24"/>
          <w:lang w:val="en-US"/>
        </w:rPr>
        <w:t xml:space="preserve">: </w:t>
      </w:r>
      <w:r w:rsidR="00FA57EB" w:rsidRPr="00465ED6">
        <w:rPr>
          <w:rFonts w:ascii="Times New Roman" w:hAnsi="Times New Roman"/>
          <w:color w:val="auto"/>
          <w:sz w:val="24"/>
          <w:szCs w:val="24"/>
        </w:rPr>
        <w:t>Ελληνική</w:t>
      </w:r>
      <w:r w:rsidR="00FA57EB" w:rsidRPr="00465ED6">
        <w:rPr>
          <w:rFonts w:ascii="Times New Roman" w:hAnsi="Times New Roman"/>
          <w:color w:val="auto"/>
          <w:sz w:val="24"/>
          <w:szCs w:val="24"/>
          <w:lang w:val="en-US"/>
        </w:rPr>
        <w:t xml:space="preserve"> </w:t>
      </w:r>
      <w:r w:rsidR="00FA57EB" w:rsidRPr="00465ED6">
        <w:rPr>
          <w:rFonts w:ascii="Times New Roman" w:hAnsi="Times New Roman"/>
          <w:color w:val="auto"/>
          <w:sz w:val="24"/>
          <w:szCs w:val="24"/>
        </w:rPr>
        <w:t>Στατιστική</w:t>
      </w:r>
      <w:r w:rsidR="00FA57EB" w:rsidRPr="00465ED6">
        <w:rPr>
          <w:rFonts w:ascii="Times New Roman" w:hAnsi="Times New Roman"/>
          <w:color w:val="auto"/>
          <w:sz w:val="24"/>
          <w:szCs w:val="24"/>
          <w:lang w:val="en-US"/>
        </w:rPr>
        <w:t xml:space="preserve"> </w:t>
      </w:r>
      <w:r w:rsidR="00FA57EB" w:rsidRPr="00465ED6">
        <w:rPr>
          <w:rFonts w:ascii="Times New Roman" w:hAnsi="Times New Roman"/>
          <w:color w:val="auto"/>
          <w:sz w:val="24"/>
          <w:szCs w:val="24"/>
        </w:rPr>
        <w:t>Αρχή</w:t>
      </w:r>
      <w:r w:rsidR="00FA57EB" w:rsidRPr="00465ED6">
        <w:rPr>
          <w:rFonts w:ascii="Times New Roman" w:hAnsi="Times New Roman"/>
          <w:color w:val="auto"/>
          <w:sz w:val="24"/>
          <w:szCs w:val="24"/>
          <w:lang w:val="en-US"/>
        </w:rPr>
        <w:t>.</w:t>
      </w:r>
      <w:r w:rsidR="00D62887" w:rsidRPr="00465ED6">
        <w:rPr>
          <w:rFonts w:ascii="Times New Roman" w:hAnsi="Times New Roman"/>
          <w:color w:val="auto"/>
          <w:sz w:val="24"/>
          <w:szCs w:val="24"/>
          <w:lang w:val="en-US"/>
        </w:rPr>
        <w:t xml:space="preserve"> </w:t>
      </w:r>
    </w:p>
    <w:p w:rsidR="00085B4D" w:rsidRPr="00465ED6" w:rsidRDefault="00085B4D" w:rsidP="0008590F">
      <w:pPr>
        <w:rPr>
          <w:rFonts w:ascii="Times New Roman" w:hAnsi="Times New Roman"/>
          <w:color w:val="auto"/>
          <w:sz w:val="24"/>
          <w:szCs w:val="24"/>
        </w:rPr>
      </w:pPr>
      <w:r w:rsidRPr="00465ED6">
        <w:rPr>
          <w:rFonts w:ascii="Times New Roman" w:hAnsi="Times New Roman"/>
          <w:color w:val="auto"/>
          <w:sz w:val="24"/>
          <w:szCs w:val="24"/>
          <w:lang w:val="en-US"/>
        </w:rPr>
        <w:t>Grammenos, S. (2017). European comparative data on Europe 2020 &amp; People with disabilities.</w:t>
      </w:r>
      <w:r w:rsidR="00C70CBA" w:rsidRPr="00465ED6">
        <w:rPr>
          <w:rFonts w:ascii="Times New Roman" w:hAnsi="Times New Roman"/>
          <w:color w:val="auto"/>
          <w:sz w:val="24"/>
          <w:szCs w:val="24"/>
          <w:lang w:val="en-US"/>
        </w:rPr>
        <w:t xml:space="preserve"> </w:t>
      </w:r>
      <w:r w:rsidRPr="00465ED6">
        <w:rPr>
          <w:rFonts w:ascii="Times New Roman" w:hAnsi="Times New Roman"/>
          <w:color w:val="auto"/>
          <w:sz w:val="24"/>
          <w:szCs w:val="24"/>
        </w:rPr>
        <w:t>Ανακτήθηκε από http://www.disability-europe.net/theme/statistical-indicators.</w:t>
      </w:r>
    </w:p>
    <w:p w:rsidR="00EA4470" w:rsidRPr="00465ED6" w:rsidRDefault="00EA4470" w:rsidP="00681B6D">
      <w:pPr>
        <w:rPr>
          <w:rFonts w:ascii="Times New Roman" w:hAnsi="Times New Roman"/>
          <w:color w:val="auto"/>
          <w:sz w:val="16"/>
          <w:szCs w:val="16"/>
        </w:rPr>
      </w:pPr>
    </w:p>
    <w:sectPr w:rsidR="00EA4470" w:rsidRPr="00465ED6" w:rsidSect="00E70687">
      <w:headerReference w:type="default" r:id="rId18"/>
      <w:footerReference w:type="default" r:id="rId19"/>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B8E" w:rsidRDefault="00243B8E" w:rsidP="00A5663B">
      <w:pPr>
        <w:spacing w:after="0" w:line="240" w:lineRule="auto"/>
      </w:pPr>
      <w:r>
        <w:separator/>
      </w:r>
    </w:p>
  </w:endnote>
  <w:endnote w:type="continuationSeparator" w:id="0">
    <w:p w:rsidR="00243B8E" w:rsidRDefault="00243B8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C9" w:rsidRDefault="00475B2D" w:rsidP="00811A9B">
    <w:pPr>
      <w:pStyle w:val="a5"/>
      <w:tabs>
        <w:tab w:val="clear" w:pos="8306"/>
        <w:tab w:val="right" w:pos="10065"/>
      </w:tabs>
      <w:ind w:left="-1800" w:right="-1759"/>
    </w:pPr>
    <w:r>
      <w:rPr>
        <w:noProof/>
      </w:rPr>
      <w:drawing>
        <wp:inline distT="0" distB="0" distL="0" distR="0">
          <wp:extent cx="7559040" cy="662940"/>
          <wp:effectExtent l="19050" t="0" r="3810" b="0"/>
          <wp:docPr id="2" name="Εικόνα 11" descr="Title: Στοιχεία Επικοινωνίας / Contact Details - Description: 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Title: Στοιχεία Επικοινωνίας / Contact Details - Description: Ελ. Βενιζέλου 236, Ηλιούπολη 16341.&#10;236, El. Venizelou st, 16341 Ilioupoli, Greece.&#10;T: +30210.9949837&#10;F: +30210.5238967&#10;esaea@otenet.gr&#10;www.esamea.gr&#10;"/>
                  <pic:cNvPicPr>
                    <a:picLocks noChangeAspect="1" noChangeArrowheads="1"/>
                  </pic:cNvPicPr>
                </pic:nvPicPr>
                <pic:blipFill>
                  <a:blip r:embed="rId1"/>
                  <a:srcRect b="53947"/>
                  <a:stretch>
                    <a:fillRect/>
                  </a:stretch>
                </pic:blipFill>
                <pic:spPr bwMode="auto">
                  <a:xfrm>
                    <a:off x="0" y="0"/>
                    <a:ext cx="7559040" cy="66294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C9" w:rsidRDefault="00475B2D" w:rsidP="005303AC">
    <w:pPr>
      <w:pStyle w:val="a5"/>
      <w:tabs>
        <w:tab w:val="clear" w:pos="8306"/>
        <w:tab w:val="right" w:pos="10065"/>
      </w:tabs>
      <w:ind w:left="-1800" w:right="-1759"/>
      <w:jc w:val="center"/>
    </w:pPr>
    <w:r>
      <w:rPr>
        <w:noProof/>
      </w:rPr>
      <w:drawing>
        <wp:inline distT="0" distB="0" distL="0" distR="0">
          <wp:extent cx="5265420" cy="800100"/>
          <wp:effectExtent l="0" t="0" r="0" b="0"/>
          <wp:docPr id="3" name="Εικόνα 1" title="λογότυο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5265420" cy="8001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B8E" w:rsidRDefault="00243B8E" w:rsidP="00A5663B">
      <w:pPr>
        <w:spacing w:after="0" w:line="240" w:lineRule="auto"/>
      </w:pPr>
      <w:r>
        <w:separator/>
      </w:r>
    </w:p>
  </w:footnote>
  <w:footnote w:type="continuationSeparator" w:id="0">
    <w:p w:rsidR="00243B8E" w:rsidRDefault="00243B8E" w:rsidP="00A5663B">
      <w:pPr>
        <w:spacing w:after="0" w:line="240" w:lineRule="auto"/>
      </w:pPr>
      <w:r>
        <w:continuationSeparator/>
      </w:r>
    </w:p>
  </w:footnote>
  <w:footnote w:id="1">
    <w:p w:rsidR="000B06C9" w:rsidRPr="008F5450" w:rsidRDefault="000B06C9" w:rsidP="002A0980">
      <w:pPr>
        <w:pStyle w:val="a9"/>
        <w:jc w:val="both"/>
      </w:pPr>
      <w:r>
        <w:rPr>
          <w:rStyle w:val="aa"/>
        </w:rPr>
        <w:footnoteRef/>
      </w:r>
      <w:r>
        <w:t xml:space="preserve"> Στην ομάδα των ηλικιωμένων συναντάμε πολύ μεγαλύτερα ποσοστά περιορισμών σε συνήθεις δραστηριότητες -ως φυσιολογική απόρροια της γήρανσης -γεγονός που έχει ως αποτέλεσμα την υπερεκπροσώπηση  αυτών των ηλικιακών ομάδων στο</w:t>
      </w:r>
      <w:r w:rsidR="008F5450">
        <w:t xml:space="preserve">ν στατιστικό πληθυσμό των Ατόμων με αναπηρία όπως αυτός ορίζεται στον δείκτη </w:t>
      </w:r>
      <w:r w:rsidR="008F5450">
        <w:rPr>
          <w:lang w:val="en-US"/>
        </w:rPr>
        <w:t>GALI</w:t>
      </w:r>
      <w:r w:rsidR="008F5450" w:rsidRPr="008F5450">
        <w:t>.</w:t>
      </w:r>
    </w:p>
  </w:footnote>
  <w:footnote w:id="2">
    <w:p w:rsidR="000B06C9" w:rsidRPr="008F4267" w:rsidRDefault="000B06C9" w:rsidP="002A0980">
      <w:pPr>
        <w:pStyle w:val="a9"/>
        <w:jc w:val="both"/>
      </w:pPr>
      <w:r w:rsidRPr="008F4267">
        <w:footnoteRef/>
      </w:r>
      <w:r>
        <w:t xml:space="preserve"> </w:t>
      </w:r>
      <w:r w:rsidRPr="008F4267">
        <w:t>Τα</w:t>
      </w:r>
      <w:r>
        <w:t xml:space="preserve"> συγκριτικά </w:t>
      </w:r>
      <w:r w:rsidRPr="008F4267">
        <w:t xml:space="preserve"> χαμηλότερα </w:t>
      </w:r>
      <w:r>
        <w:t>ποσοστά κινδύνου</w:t>
      </w:r>
      <w:r w:rsidRPr="008F4267">
        <w:t xml:space="preserve"> φτώχειας στις μεγαλύτερες ομάδες ηλικιών, αποτελούν </w:t>
      </w:r>
      <w:r>
        <w:t>εξέλιξη των τελευταίων ετών. Σύ</w:t>
      </w:r>
      <w:r w:rsidR="00010E96">
        <w:t>μφωνα με τα στοιχεία της ΕΛ.ΣΤΑΤ</w:t>
      </w:r>
      <w:r>
        <w:t>. για το διάστημα 2011-2016, το ποσοστό φτώχειας των συνταξιούχων ήταν το μόνο που διέγραψε πτωτική πορεία από το 19,9% που ήταν το 2011 μειώθηκε στο 9,7% το 2016.</w:t>
      </w:r>
      <w:r w:rsidR="0058076F" w:rsidRPr="0058076F">
        <w:t xml:space="preserve"> </w:t>
      </w:r>
      <w:r>
        <w:t xml:space="preserve">Αυτή η μεταβολή προφανώς δεν σηματοδοτεί κάποια καλυτέρευση της οικονομικής κατάστασης του εν λόγω πληθυσμού, αλλά αποτελεί απόρροια της </w:t>
      </w:r>
      <w:r w:rsidR="00690A8B">
        <w:t>-</w:t>
      </w:r>
      <w:r>
        <w:t>μέχρις στιγμής</w:t>
      </w:r>
      <w:r w:rsidR="00690A8B">
        <w:t>-</w:t>
      </w:r>
      <w:r>
        <w:t xml:space="preserve"> μικρότερης συγκριτικά μείωσης που έχει υποστεί το εισόδημα των συνταξιούχων και ειδικότερα η κατηγορία των χαμηλοσυ</w:t>
      </w:r>
      <w:r w:rsidR="00175500">
        <w:t>νταξιούχων</w:t>
      </w:r>
      <w:r>
        <w:t xml:space="preserve">, </w:t>
      </w:r>
      <w:r w:rsidRPr="008F4267">
        <w:t xml:space="preserve">έναντι </w:t>
      </w:r>
      <w:r>
        <w:t xml:space="preserve"> των μεγαλύτερων περικοπών και μειώσεων στο εισόδημα του εργαζόμενου πληθυσμού, αλλά και </w:t>
      </w:r>
      <w:r w:rsidRPr="008F4267">
        <w:t>της μεγάλης κατηγορίας του άνεργου, υποαπασχολούμενου και</w:t>
      </w:r>
      <w:r>
        <w:t xml:space="preserve"> </w:t>
      </w:r>
      <w:r w:rsidRPr="008F4267">
        <w:t>απλήρωτου σε πολλές περιπτώσεις πλ</w:t>
      </w:r>
      <w:r>
        <w:t xml:space="preserve">ηθυσμού των παραγωγικών ηλικιών.  </w:t>
      </w:r>
    </w:p>
    <w:p w:rsidR="000B06C9" w:rsidRDefault="000B06C9">
      <w:pPr>
        <w:pStyle w:val="a9"/>
      </w:pPr>
    </w:p>
  </w:footnote>
  <w:footnote w:id="3">
    <w:p w:rsidR="000B06C9" w:rsidRDefault="000B06C9" w:rsidP="00681B6D">
      <w:pPr>
        <w:pStyle w:val="a9"/>
        <w:jc w:val="both"/>
      </w:pPr>
      <w:r>
        <w:rPr>
          <w:rStyle w:val="aa"/>
        </w:rPr>
        <w:footnoteRef/>
      </w:r>
      <w:r>
        <w:t xml:space="preserve"> </w:t>
      </w:r>
      <w:r w:rsidRPr="00E6119F">
        <w:t>Το κατώφλι της φτώχειας ορίζεται σήμερα στα 4.500 ευρώ ανά άτομο ενώ για παράδειγμα το 2008 ήταν στα 6.480 ευρώ.</w:t>
      </w:r>
    </w:p>
  </w:footnote>
  <w:footnote w:id="4">
    <w:p w:rsidR="000B06C9" w:rsidRDefault="000B06C9" w:rsidP="00681B6D">
      <w:pPr>
        <w:pStyle w:val="a9"/>
        <w:jc w:val="both"/>
      </w:pPr>
      <w:r w:rsidRPr="00E6119F">
        <w:footnoteRef/>
      </w:r>
      <w:r w:rsidRPr="00E6119F">
        <w:t xml:space="preserve"> Προκειμένου να αντισταθμιστούν οι περιορισμοί του δείκτη γίνεται αρκετές φορές χρήση εναλλακτικών μεθόδων μέτρησης όπως ο υπολογισμός του δεί</w:t>
      </w:r>
      <w:r>
        <w:t xml:space="preserve">κτη με σταθερό όριο φτώχειας όπως </w:t>
      </w:r>
      <w:r w:rsidRPr="00E6119F">
        <w:t xml:space="preserve"> το κατώφλι </w:t>
      </w:r>
      <w:r>
        <w:t>του έτους 2008 ή 2005, πληθωρισμένο</w:t>
      </w:r>
      <w:r w:rsidRPr="00E6119F">
        <w:t xml:space="preserve"> με στοιχεία από τον εναρμονισμένο δείκτη τιμών καταναλωτή.</w:t>
      </w:r>
    </w:p>
  </w:footnote>
  <w:footnote w:id="5">
    <w:p w:rsidR="000B06C9" w:rsidRDefault="000B06C9" w:rsidP="00681B6D">
      <w:pPr>
        <w:pStyle w:val="a9"/>
        <w:jc w:val="both"/>
      </w:pPr>
      <w:r>
        <w:rPr>
          <w:rStyle w:val="aa"/>
        </w:rPr>
        <w:footnoteRef/>
      </w:r>
      <w:r>
        <w:t xml:space="preserve"> Δ</w:t>
      </w:r>
      <w:r w:rsidRPr="00C3281B">
        <w:t>ιαχρονικά στην Ελλάδα κυμαίνεται εντός ενός σταθερού εύρους  20-23%</w:t>
      </w:r>
      <w:r>
        <w:t>.</w:t>
      </w:r>
    </w:p>
  </w:footnote>
  <w:footnote w:id="6">
    <w:p w:rsidR="003676BA" w:rsidRDefault="003676BA" w:rsidP="003676BA">
      <w:pPr>
        <w:pStyle w:val="a9"/>
        <w:jc w:val="both"/>
      </w:pPr>
      <w:r>
        <w:rPr>
          <w:rStyle w:val="aa"/>
        </w:rPr>
        <w:footnoteRef/>
      </w:r>
      <w:r>
        <w:t xml:space="preserve"> </w:t>
      </w:r>
      <w:r w:rsidRPr="003676BA">
        <w:t xml:space="preserve">Θα πρέπει επίσης να σημειωθεί ότι στην έρευνα δεν λαμβάνουν μέρος ομάδες του πληθυσμού που είναι κατά τεκμήριο φτωχές όπως άστεγοι, μετανάστες χωρίς χαρτιά, Ρομά που αλλάζουν τόπο διαμονής, και άτομα που διαμένουν σε συλλογικές κατοικίες, όπως τα άτομα με αναπηρία σε ιδρύματα. Επίσης, άτομα με βαριές αναπηρίες/παθήσεις ή βαριές ασθένειες, λόγω της κατάστασης υγείας τους μπορεί να μην δύνανται να συμμετάσχουν στην έρευνα. Συνεπώς το γενικό ποσοστό κινδύνου φτώχειας αλλά και ακόμα περισσότερο το ποσοστό των ατόμων με αναπηρία σε κίνδυνο φτώχειας υποεκτιμούνται στην έρευνα. </w:t>
      </w:r>
    </w:p>
  </w:footnote>
  <w:footnote w:id="7">
    <w:p w:rsidR="000B06C9" w:rsidRDefault="000B06C9" w:rsidP="00114FC7">
      <w:pPr>
        <w:pStyle w:val="a9"/>
      </w:pPr>
      <w:r>
        <w:rPr>
          <w:rStyle w:val="aa"/>
        </w:rPr>
        <w:footnoteRef/>
      </w:r>
      <w:r>
        <w:t xml:space="preserve"> Ως κοινωνικές μεταβιβάσεις νοείται το σύνολο των κοινωνικών επιδομάτων και των συντάξεων (βλ. παράρτημα)</w:t>
      </w:r>
    </w:p>
  </w:footnote>
  <w:footnote w:id="8">
    <w:p w:rsidR="000B06C9" w:rsidRDefault="000B06C9">
      <w:pPr>
        <w:pStyle w:val="a9"/>
      </w:pPr>
      <w:r>
        <w:rPr>
          <w:rStyle w:val="aa"/>
        </w:rPr>
        <w:footnoteRef/>
      </w:r>
      <w:r>
        <w:t xml:space="preserve"> </w:t>
      </w:r>
      <w:r w:rsidRPr="00E27CDC">
        <w:t>Το πλήθος των περιπτώσεων για την ομάδα 16-19 είναι σχετικά μικρό (51 άτομα) και οι εκτιμήσεις των ποσοστών έχουν κυρίως ενδεικτική αξία.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C9" w:rsidRPr="00A5663B" w:rsidRDefault="00475B2D" w:rsidP="00A5663B">
    <w:pPr>
      <w:pStyle w:val="a4"/>
      <w:ind w:left="-1800"/>
      <w:rPr>
        <w:lang w:val="en-US"/>
      </w:rPr>
    </w:pPr>
    <w:r>
      <w:rPr>
        <w:noProof/>
      </w:rPr>
      <w:drawing>
        <wp:inline distT="0" distB="0" distL="0" distR="0">
          <wp:extent cx="7559040" cy="1440180"/>
          <wp:effectExtent l="19050" t="0" r="3810" b="0"/>
          <wp:docPr id="1" name="Εικόνα 10" descr="Title: Λογότυπο της ΕΣΑμεΑ - Logo of NCDP - Description: Εθνική Συνομοσπονδία Ατόμων με Αναπηρία.&#10;Μέλος του Ευρωπαϊκού Φόρουμ Ατόμων με Αναπηρία.&#10;National Confederation of Disabled People (N.C.D.P.).&#10;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Title: Λογότυπο της ΕΣΑμεΑ - Logo of NCDP - Description: Εθνική Συνομοσπονδία Ατόμων με Αναπηρία.&#10;Μέλος του Ευρωπαϊκού Φόρουμ Ατόμων με Αναπηρία.&#10;National Confederation of Disabled People (N.C.D.P.).&#10;Member of the European Disability Forum."/>
                  <pic:cNvPicPr>
                    <a:picLocks noChangeAspect="1" noChangeArrowheads="1"/>
                  </pic:cNvPicPr>
                </pic:nvPicPr>
                <pic:blipFill>
                  <a:blip r:embed="rId1"/>
                  <a:srcRect/>
                  <a:stretch>
                    <a:fillRect/>
                  </a:stretch>
                </pic:blipFill>
                <pic:spPr bwMode="auto">
                  <a:xfrm>
                    <a:off x="0" y="0"/>
                    <a:ext cx="7559040" cy="144018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C9" w:rsidRPr="00A5663B" w:rsidRDefault="00555295" w:rsidP="00412BB7">
    <w:pPr>
      <w:pStyle w:val="a4"/>
      <w:pBdr>
        <w:right w:val="single" w:sz="18" w:space="4" w:color="008000"/>
      </w:pBdr>
      <w:ind w:left="-1800"/>
      <w:jc w:val="right"/>
      <w:rPr>
        <w:lang w:val="en-US"/>
      </w:rPr>
    </w:pPr>
    <w:r w:rsidRPr="00412BB7">
      <w:rPr>
        <w:lang w:val="en-US"/>
      </w:rPr>
      <w:fldChar w:fldCharType="begin"/>
    </w:r>
    <w:r w:rsidR="000B06C9" w:rsidRPr="00412BB7">
      <w:rPr>
        <w:lang w:val="en-US"/>
      </w:rPr>
      <w:instrText>PAGE   \* MERGEFORMAT</w:instrText>
    </w:r>
    <w:r w:rsidRPr="00412BB7">
      <w:rPr>
        <w:lang w:val="en-US"/>
      </w:rPr>
      <w:fldChar w:fldCharType="separate"/>
    </w:r>
    <w:r w:rsidR="00431393">
      <w:rPr>
        <w:noProof/>
        <w:lang w:val="en-US"/>
      </w:rPr>
      <w:t>21</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695"/>
    <w:multiLevelType w:val="hybridMultilevel"/>
    <w:tmpl w:val="93B85F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8E007C"/>
    <w:multiLevelType w:val="hybridMultilevel"/>
    <w:tmpl w:val="6C58DF08"/>
    <w:lvl w:ilvl="0" w:tplc="04080001">
      <w:start w:val="1"/>
      <w:numFmt w:val="bullet"/>
      <w:lvlText w:val=""/>
      <w:lvlJc w:val="left"/>
      <w:pPr>
        <w:ind w:left="360" w:hanging="360"/>
      </w:pPr>
      <w:rPr>
        <w:rFonts w:ascii="Symbol" w:hAnsi="Symbol" w:hint="default"/>
      </w:rPr>
    </w:lvl>
    <w:lvl w:ilvl="1" w:tplc="78028984" w:tentative="1">
      <w:start w:val="1"/>
      <w:numFmt w:val="bullet"/>
      <w:lvlText w:val="o"/>
      <w:lvlJc w:val="left"/>
      <w:pPr>
        <w:ind w:left="1080" w:hanging="360"/>
      </w:pPr>
      <w:rPr>
        <w:rFonts w:ascii="Courier New" w:hAnsi="Courier New" w:cs="Courier New" w:hint="default"/>
      </w:rPr>
    </w:lvl>
    <w:lvl w:ilvl="2" w:tplc="1D2C6532" w:tentative="1">
      <w:start w:val="1"/>
      <w:numFmt w:val="bullet"/>
      <w:lvlText w:val=""/>
      <w:lvlJc w:val="left"/>
      <w:pPr>
        <w:ind w:left="1800" w:hanging="360"/>
      </w:pPr>
      <w:rPr>
        <w:rFonts w:ascii="Wingdings" w:hAnsi="Wingdings" w:hint="default"/>
      </w:rPr>
    </w:lvl>
    <w:lvl w:ilvl="3" w:tplc="B6ECF536" w:tentative="1">
      <w:start w:val="1"/>
      <w:numFmt w:val="bullet"/>
      <w:lvlText w:val=""/>
      <w:lvlJc w:val="left"/>
      <w:pPr>
        <w:ind w:left="2520" w:hanging="360"/>
      </w:pPr>
      <w:rPr>
        <w:rFonts w:ascii="Symbol" w:hAnsi="Symbol" w:hint="default"/>
      </w:rPr>
    </w:lvl>
    <w:lvl w:ilvl="4" w:tplc="DE1A2D3C" w:tentative="1">
      <w:start w:val="1"/>
      <w:numFmt w:val="bullet"/>
      <w:lvlText w:val="o"/>
      <w:lvlJc w:val="left"/>
      <w:pPr>
        <w:ind w:left="3240" w:hanging="360"/>
      </w:pPr>
      <w:rPr>
        <w:rFonts w:ascii="Courier New" w:hAnsi="Courier New" w:cs="Courier New" w:hint="default"/>
      </w:rPr>
    </w:lvl>
    <w:lvl w:ilvl="5" w:tplc="BCC2DAEC" w:tentative="1">
      <w:start w:val="1"/>
      <w:numFmt w:val="bullet"/>
      <w:lvlText w:val=""/>
      <w:lvlJc w:val="left"/>
      <w:pPr>
        <w:ind w:left="3960" w:hanging="360"/>
      </w:pPr>
      <w:rPr>
        <w:rFonts w:ascii="Wingdings" w:hAnsi="Wingdings" w:hint="default"/>
      </w:rPr>
    </w:lvl>
    <w:lvl w:ilvl="6" w:tplc="3F4814AA" w:tentative="1">
      <w:start w:val="1"/>
      <w:numFmt w:val="bullet"/>
      <w:lvlText w:val=""/>
      <w:lvlJc w:val="left"/>
      <w:pPr>
        <w:ind w:left="4680" w:hanging="360"/>
      </w:pPr>
      <w:rPr>
        <w:rFonts w:ascii="Symbol" w:hAnsi="Symbol" w:hint="default"/>
      </w:rPr>
    </w:lvl>
    <w:lvl w:ilvl="7" w:tplc="2612DFFA" w:tentative="1">
      <w:start w:val="1"/>
      <w:numFmt w:val="bullet"/>
      <w:lvlText w:val="o"/>
      <w:lvlJc w:val="left"/>
      <w:pPr>
        <w:ind w:left="5400" w:hanging="360"/>
      </w:pPr>
      <w:rPr>
        <w:rFonts w:ascii="Courier New" w:hAnsi="Courier New" w:cs="Courier New" w:hint="default"/>
      </w:rPr>
    </w:lvl>
    <w:lvl w:ilvl="8" w:tplc="29981300" w:tentative="1">
      <w:start w:val="1"/>
      <w:numFmt w:val="bullet"/>
      <w:lvlText w:val=""/>
      <w:lvlJc w:val="left"/>
      <w:pPr>
        <w:ind w:left="6120" w:hanging="360"/>
      </w:pPr>
      <w:rPr>
        <w:rFonts w:ascii="Wingdings" w:hAnsi="Wingdings" w:hint="default"/>
      </w:rPr>
    </w:lvl>
  </w:abstractNum>
  <w:abstractNum w:abstractNumId="2" w15:restartNumberingAfterBreak="0">
    <w:nsid w:val="0A5B6740"/>
    <w:multiLevelType w:val="hybridMultilevel"/>
    <w:tmpl w:val="EB805098"/>
    <w:lvl w:ilvl="0" w:tplc="6780EF9E">
      <w:numFmt w:val="bullet"/>
      <w:lvlText w:val="-"/>
      <w:lvlJc w:val="left"/>
      <w:pPr>
        <w:ind w:left="1146" w:hanging="360"/>
      </w:pPr>
      <w:rPr>
        <w:rFonts w:ascii="Calibri" w:eastAsia="Calibri" w:hAnsi="Calibri" w:cs="Calibri" w:hint="default"/>
        <w:color w:val="auto"/>
      </w:rPr>
    </w:lvl>
    <w:lvl w:ilvl="1" w:tplc="359061C4" w:tentative="1">
      <w:start w:val="1"/>
      <w:numFmt w:val="bullet"/>
      <w:lvlText w:val="o"/>
      <w:lvlJc w:val="left"/>
      <w:pPr>
        <w:ind w:left="1866" w:hanging="360"/>
      </w:pPr>
      <w:rPr>
        <w:rFonts w:ascii="Courier New" w:hAnsi="Courier New" w:cs="Courier New" w:hint="default"/>
      </w:rPr>
    </w:lvl>
    <w:lvl w:ilvl="2" w:tplc="2EFAB772" w:tentative="1">
      <w:start w:val="1"/>
      <w:numFmt w:val="bullet"/>
      <w:lvlText w:val=""/>
      <w:lvlJc w:val="left"/>
      <w:pPr>
        <w:ind w:left="2586" w:hanging="360"/>
      </w:pPr>
      <w:rPr>
        <w:rFonts w:ascii="Wingdings" w:hAnsi="Wingdings" w:hint="default"/>
      </w:rPr>
    </w:lvl>
    <w:lvl w:ilvl="3" w:tplc="3FB8FFCA" w:tentative="1">
      <w:start w:val="1"/>
      <w:numFmt w:val="bullet"/>
      <w:lvlText w:val=""/>
      <w:lvlJc w:val="left"/>
      <w:pPr>
        <w:ind w:left="3306" w:hanging="360"/>
      </w:pPr>
      <w:rPr>
        <w:rFonts w:ascii="Symbol" w:hAnsi="Symbol" w:hint="default"/>
      </w:rPr>
    </w:lvl>
    <w:lvl w:ilvl="4" w:tplc="6BFE7120" w:tentative="1">
      <w:start w:val="1"/>
      <w:numFmt w:val="bullet"/>
      <w:lvlText w:val="o"/>
      <w:lvlJc w:val="left"/>
      <w:pPr>
        <w:ind w:left="4026" w:hanging="360"/>
      </w:pPr>
      <w:rPr>
        <w:rFonts w:ascii="Courier New" w:hAnsi="Courier New" w:cs="Courier New" w:hint="default"/>
      </w:rPr>
    </w:lvl>
    <w:lvl w:ilvl="5" w:tplc="7CCC1832" w:tentative="1">
      <w:start w:val="1"/>
      <w:numFmt w:val="bullet"/>
      <w:lvlText w:val=""/>
      <w:lvlJc w:val="left"/>
      <w:pPr>
        <w:ind w:left="4746" w:hanging="360"/>
      </w:pPr>
      <w:rPr>
        <w:rFonts w:ascii="Wingdings" w:hAnsi="Wingdings" w:hint="default"/>
      </w:rPr>
    </w:lvl>
    <w:lvl w:ilvl="6" w:tplc="78942046" w:tentative="1">
      <w:start w:val="1"/>
      <w:numFmt w:val="bullet"/>
      <w:lvlText w:val=""/>
      <w:lvlJc w:val="left"/>
      <w:pPr>
        <w:ind w:left="5466" w:hanging="360"/>
      </w:pPr>
      <w:rPr>
        <w:rFonts w:ascii="Symbol" w:hAnsi="Symbol" w:hint="default"/>
      </w:rPr>
    </w:lvl>
    <w:lvl w:ilvl="7" w:tplc="A04299DC" w:tentative="1">
      <w:start w:val="1"/>
      <w:numFmt w:val="bullet"/>
      <w:lvlText w:val="o"/>
      <w:lvlJc w:val="left"/>
      <w:pPr>
        <w:ind w:left="6186" w:hanging="360"/>
      </w:pPr>
      <w:rPr>
        <w:rFonts w:ascii="Courier New" w:hAnsi="Courier New" w:cs="Courier New" w:hint="default"/>
      </w:rPr>
    </w:lvl>
    <w:lvl w:ilvl="8" w:tplc="3C7A6B44" w:tentative="1">
      <w:start w:val="1"/>
      <w:numFmt w:val="bullet"/>
      <w:lvlText w:val=""/>
      <w:lvlJc w:val="left"/>
      <w:pPr>
        <w:ind w:left="6906" w:hanging="360"/>
      </w:pPr>
      <w:rPr>
        <w:rFonts w:ascii="Wingdings" w:hAnsi="Wingdings" w:hint="default"/>
      </w:rPr>
    </w:lvl>
  </w:abstractNum>
  <w:abstractNum w:abstractNumId="3" w15:restartNumberingAfterBreak="0">
    <w:nsid w:val="0BB26881"/>
    <w:multiLevelType w:val="hybridMultilevel"/>
    <w:tmpl w:val="D55CD13C"/>
    <w:lvl w:ilvl="0" w:tplc="E18AF778">
      <w:start w:val="1"/>
      <w:numFmt w:val="bullet"/>
      <w:lvlText w:val=""/>
      <w:lvlJc w:val="left"/>
      <w:pPr>
        <w:ind w:left="720" w:hanging="360"/>
      </w:pPr>
      <w:rPr>
        <w:rFonts w:ascii="Symbol" w:hAnsi="Symbol" w:hint="default"/>
      </w:rPr>
    </w:lvl>
    <w:lvl w:ilvl="1" w:tplc="78028984" w:tentative="1">
      <w:start w:val="1"/>
      <w:numFmt w:val="bullet"/>
      <w:lvlText w:val="o"/>
      <w:lvlJc w:val="left"/>
      <w:pPr>
        <w:ind w:left="1440" w:hanging="360"/>
      </w:pPr>
      <w:rPr>
        <w:rFonts w:ascii="Courier New" w:hAnsi="Courier New" w:cs="Courier New" w:hint="default"/>
      </w:rPr>
    </w:lvl>
    <w:lvl w:ilvl="2" w:tplc="1D2C6532" w:tentative="1">
      <w:start w:val="1"/>
      <w:numFmt w:val="bullet"/>
      <w:lvlText w:val=""/>
      <w:lvlJc w:val="left"/>
      <w:pPr>
        <w:ind w:left="2160" w:hanging="360"/>
      </w:pPr>
      <w:rPr>
        <w:rFonts w:ascii="Wingdings" w:hAnsi="Wingdings" w:hint="default"/>
      </w:rPr>
    </w:lvl>
    <w:lvl w:ilvl="3" w:tplc="B6ECF536" w:tentative="1">
      <w:start w:val="1"/>
      <w:numFmt w:val="bullet"/>
      <w:lvlText w:val=""/>
      <w:lvlJc w:val="left"/>
      <w:pPr>
        <w:ind w:left="2880" w:hanging="360"/>
      </w:pPr>
      <w:rPr>
        <w:rFonts w:ascii="Symbol" w:hAnsi="Symbol" w:hint="default"/>
      </w:rPr>
    </w:lvl>
    <w:lvl w:ilvl="4" w:tplc="DE1A2D3C" w:tentative="1">
      <w:start w:val="1"/>
      <w:numFmt w:val="bullet"/>
      <w:lvlText w:val="o"/>
      <w:lvlJc w:val="left"/>
      <w:pPr>
        <w:ind w:left="3600" w:hanging="360"/>
      </w:pPr>
      <w:rPr>
        <w:rFonts w:ascii="Courier New" w:hAnsi="Courier New" w:cs="Courier New" w:hint="default"/>
      </w:rPr>
    </w:lvl>
    <w:lvl w:ilvl="5" w:tplc="BCC2DAEC" w:tentative="1">
      <w:start w:val="1"/>
      <w:numFmt w:val="bullet"/>
      <w:lvlText w:val=""/>
      <w:lvlJc w:val="left"/>
      <w:pPr>
        <w:ind w:left="4320" w:hanging="360"/>
      </w:pPr>
      <w:rPr>
        <w:rFonts w:ascii="Wingdings" w:hAnsi="Wingdings" w:hint="default"/>
      </w:rPr>
    </w:lvl>
    <w:lvl w:ilvl="6" w:tplc="3F4814AA" w:tentative="1">
      <w:start w:val="1"/>
      <w:numFmt w:val="bullet"/>
      <w:lvlText w:val=""/>
      <w:lvlJc w:val="left"/>
      <w:pPr>
        <w:ind w:left="5040" w:hanging="360"/>
      </w:pPr>
      <w:rPr>
        <w:rFonts w:ascii="Symbol" w:hAnsi="Symbol" w:hint="default"/>
      </w:rPr>
    </w:lvl>
    <w:lvl w:ilvl="7" w:tplc="2612DFFA" w:tentative="1">
      <w:start w:val="1"/>
      <w:numFmt w:val="bullet"/>
      <w:lvlText w:val="o"/>
      <w:lvlJc w:val="left"/>
      <w:pPr>
        <w:ind w:left="5760" w:hanging="360"/>
      </w:pPr>
      <w:rPr>
        <w:rFonts w:ascii="Courier New" w:hAnsi="Courier New" w:cs="Courier New" w:hint="default"/>
      </w:rPr>
    </w:lvl>
    <w:lvl w:ilvl="8" w:tplc="29981300" w:tentative="1">
      <w:start w:val="1"/>
      <w:numFmt w:val="bullet"/>
      <w:lvlText w:val=""/>
      <w:lvlJc w:val="left"/>
      <w:pPr>
        <w:ind w:left="6480" w:hanging="360"/>
      </w:pPr>
      <w:rPr>
        <w:rFonts w:ascii="Wingdings" w:hAnsi="Wingdings" w:hint="default"/>
      </w:rPr>
    </w:lvl>
  </w:abstractNum>
  <w:abstractNum w:abstractNumId="4" w15:restartNumberingAfterBreak="0">
    <w:nsid w:val="11B15B0E"/>
    <w:multiLevelType w:val="hybridMultilevel"/>
    <w:tmpl w:val="CFB83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4A3D44"/>
    <w:multiLevelType w:val="hybridMultilevel"/>
    <w:tmpl w:val="56EE650E"/>
    <w:lvl w:ilvl="0" w:tplc="04080001">
      <w:start w:val="1"/>
      <w:numFmt w:val="bullet"/>
      <w:lvlText w:val=""/>
      <w:lvlJc w:val="left"/>
      <w:pPr>
        <w:ind w:left="360" w:hanging="360"/>
      </w:pPr>
      <w:rPr>
        <w:rFonts w:ascii="Symbol" w:hAnsi="Symbol" w:hint="default"/>
      </w:rPr>
    </w:lvl>
    <w:lvl w:ilvl="1" w:tplc="78028984" w:tentative="1">
      <w:start w:val="1"/>
      <w:numFmt w:val="bullet"/>
      <w:lvlText w:val="o"/>
      <w:lvlJc w:val="left"/>
      <w:pPr>
        <w:ind w:left="1080" w:hanging="360"/>
      </w:pPr>
      <w:rPr>
        <w:rFonts w:ascii="Courier New" w:hAnsi="Courier New" w:cs="Courier New" w:hint="default"/>
      </w:rPr>
    </w:lvl>
    <w:lvl w:ilvl="2" w:tplc="1D2C6532" w:tentative="1">
      <w:start w:val="1"/>
      <w:numFmt w:val="bullet"/>
      <w:lvlText w:val=""/>
      <w:lvlJc w:val="left"/>
      <w:pPr>
        <w:ind w:left="1800" w:hanging="360"/>
      </w:pPr>
      <w:rPr>
        <w:rFonts w:ascii="Wingdings" w:hAnsi="Wingdings" w:hint="default"/>
      </w:rPr>
    </w:lvl>
    <w:lvl w:ilvl="3" w:tplc="B6ECF536" w:tentative="1">
      <w:start w:val="1"/>
      <w:numFmt w:val="bullet"/>
      <w:lvlText w:val=""/>
      <w:lvlJc w:val="left"/>
      <w:pPr>
        <w:ind w:left="2520" w:hanging="360"/>
      </w:pPr>
      <w:rPr>
        <w:rFonts w:ascii="Symbol" w:hAnsi="Symbol" w:hint="default"/>
      </w:rPr>
    </w:lvl>
    <w:lvl w:ilvl="4" w:tplc="DE1A2D3C" w:tentative="1">
      <w:start w:val="1"/>
      <w:numFmt w:val="bullet"/>
      <w:lvlText w:val="o"/>
      <w:lvlJc w:val="left"/>
      <w:pPr>
        <w:ind w:left="3240" w:hanging="360"/>
      </w:pPr>
      <w:rPr>
        <w:rFonts w:ascii="Courier New" w:hAnsi="Courier New" w:cs="Courier New" w:hint="default"/>
      </w:rPr>
    </w:lvl>
    <w:lvl w:ilvl="5" w:tplc="BCC2DAEC" w:tentative="1">
      <w:start w:val="1"/>
      <w:numFmt w:val="bullet"/>
      <w:lvlText w:val=""/>
      <w:lvlJc w:val="left"/>
      <w:pPr>
        <w:ind w:left="3960" w:hanging="360"/>
      </w:pPr>
      <w:rPr>
        <w:rFonts w:ascii="Wingdings" w:hAnsi="Wingdings" w:hint="default"/>
      </w:rPr>
    </w:lvl>
    <w:lvl w:ilvl="6" w:tplc="3F4814AA" w:tentative="1">
      <w:start w:val="1"/>
      <w:numFmt w:val="bullet"/>
      <w:lvlText w:val=""/>
      <w:lvlJc w:val="left"/>
      <w:pPr>
        <w:ind w:left="4680" w:hanging="360"/>
      </w:pPr>
      <w:rPr>
        <w:rFonts w:ascii="Symbol" w:hAnsi="Symbol" w:hint="default"/>
      </w:rPr>
    </w:lvl>
    <w:lvl w:ilvl="7" w:tplc="2612DFFA" w:tentative="1">
      <w:start w:val="1"/>
      <w:numFmt w:val="bullet"/>
      <w:lvlText w:val="o"/>
      <w:lvlJc w:val="left"/>
      <w:pPr>
        <w:ind w:left="5400" w:hanging="360"/>
      </w:pPr>
      <w:rPr>
        <w:rFonts w:ascii="Courier New" w:hAnsi="Courier New" w:cs="Courier New" w:hint="default"/>
      </w:rPr>
    </w:lvl>
    <w:lvl w:ilvl="8" w:tplc="29981300" w:tentative="1">
      <w:start w:val="1"/>
      <w:numFmt w:val="bullet"/>
      <w:lvlText w:val=""/>
      <w:lvlJc w:val="left"/>
      <w:pPr>
        <w:ind w:left="6120" w:hanging="360"/>
      </w:pPr>
      <w:rPr>
        <w:rFonts w:ascii="Wingdings" w:hAnsi="Wingdings" w:hint="default"/>
      </w:rPr>
    </w:lvl>
  </w:abstractNum>
  <w:abstractNum w:abstractNumId="6" w15:restartNumberingAfterBreak="0">
    <w:nsid w:val="16394ECE"/>
    <w:multiLevelType w:val="hybridMultilevel"/>
    <w:tmpl w:val="F73A22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9005CCE"/>
    <w:multiLevelType w:val="multilevel"/>
    <w:tmpl w:val="1FC42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D8689E"/>
    <w:multiLevelType w:val="hybridMultilevel"/>
    <w:tmpl w:val="6BECD966"/>
    <w:lvl w:ilvl="0" w:tplc="04080001">
      <w:start w:val="1"/>
      <w:numFmt w:val="bullet"/>
      <w:lvlText w:val=""/>
      <w:lvlJc w:val="left"/>
      <w:pPr>
        <w:ind w:left="360" w:hanging="360"/>
      </w:pPr>
      <w:rPr>
        <w:rFonts w:ascii="Symbol" w:hAnsi="Symbol" w:hint="default"/>
      </w:rPr>
    </w:lvl>
    <w:lvl w:ilvl="1" w:tplc="ECB69B0E" w:tentative="1">
      <w:start w:val="1"/>
      <w:numFmt w:val="bullet"/>
      <w:lvlText w:val="o"/>
      <w:lvlJc w:val="left"/>
      <w:pPr>
        <w:ind w:left="1080" w:hanging="360"/>
      </w:pPr>
      <w:rPr>
        <w:rFonts w:ascii="Courier New" w:hAnsi="Courier New" w:cs="Courier New" w:hint="default"/>
      </w:rPr>
    </w:lvl>
    <w:lvl w:ilvl="2" w:tplc="E1E002FA" w:tentative="1">
      <w:start w:val="1"/>
      <w:numFmt w:val="bullet"/>
      <w:lvlText w:val=""/>
      <w:lvlJc w:val="left"/>
      <w:pPr>
        <w:ind w:left="1800" w:hanging="360"/>
      </w:pPr>
      <w:rPr>
        <w:rFonts w:ascii="Wingdings" w:hAnsi="Wingdings" w:hint="default"/>
      </w:rPr>
    </w:lvl>
    <w:lvl w:ilvl="3" w:tplc="9FFAA0EC" w:tentative="1">
      <w:start w:val="1"/>
      <w:numFmt w:val="bullet"/>
      <w:lvlText w:val=""/>
      <w:lvlJc w:val="left"/>
      <w:pPr>
        <w:ind w:left="2520" w:hanging="360"/>
      </w:pPr>
      <w:rPr>
        <w:rFonts w:ascii="Symbol" w:hAnsi="Symbol" w:hint="default"/>
      </w:rPr>
    </w:lvl>
    <w:lvl w:ilvl="4" w:tplc="05ACF3DE" w:tentative="1">
      <w:start w:val="1"/>
      <w:numFmt w:val="bullet"/>
      <w:lvlText w:val="o"/>
      <w:lvlJc w:val="left"/>
      <w:pPr>
        <w:ind w:left="3240" w:hanging="360"/>
      </w:pPr>
      <w:rPr>
        <w:rFonts w:ascii="Courier New" w:hAnsi="Courier New" w:cs="Courier New" w:hint="default"/>
      </w:rPr>
    </w:lvl>
    <w:lvl w:ilvl="5" w:tplc="144627D0" w:tentative="1">
      <w:start w:val="1"/>
      <w:numFmt w:val="bullet"/>
      <w:lvlText w:val=""/>
      <w:lvlJc w:val="left"/>
      <w:pPr>
        <w:ind w:left="3960" w:hanging="360"/>
      </w:pPr>
      <w:rPr>
        <w:rFonts w:ascii="Wingdings" w:hAnsi="Wingdings" w:hint="default"/>
      </w:rPr>
    </w:lvl>
    <w:lvl w:ilvl="6" w:tplc="CA4A017E" w:tentative="1">
      <w:start w:val="1"/>
      <w:numFmt w:val="bullet"/>
      <w:lvlText w:val=""/>
      <w:lvlJc w:val="left"/>
      <w:pPr>
        <w:ind w:left="4680" w:hanging="360"/>
      </w:pPr>
      <w:rPr>
        <w:rFonts w:ascii="Symbol" w:hAnsi="Symbol" w:hint="default"/>
      </w:rPr>
    </w:lvl>
    <w:lvl w:ilvl="7" w:tplc="8692235C" w:tentative="1">
      <w:start w:val="1"/>
      <w:numFmt w:val="bullet"/>
      <w:lvlText w:val="o"/>
      <w:lvlJc w:val="left"/>
      <w:pPr>
        <w:ind w:left="5400" w:hanging="360"/>
      </w:pPr>
      <w:rPr>
        <w:rFonts w:ascii="Courier New" w:hAnsi="Courier New" w:cs="Courier New" w:hint="default"/>
      </w:rPr>
    </w:lvl>
    <w:lvl w:ilvl="8" w:tplc="02640EC2" w:tentative="1">
      <w:start w:val="1"/>
      <w:numFmt w:val="bullet"/>
      <w:lvlText w:val=""/>
      <w:lvlJc w:val="left"/>
      <w:pPr>
        <w:ind w:left="6120" w:hanging="360"/>
      </w:pPr>
      <w:rPr>
        <w:rFonts w:ascii="Wingdings" w:hAnsi="Wingdings" w:hint="default"/>
      </w:rPr>
    </w:lvl>
  </w:abstractNum>
  <w:abstractNum w:abstractNumId="9" w15:restartNumberingAfterBreak="0">
    <w:nsid w:val="33910F81"/>
    <w:multiLevelType w:val="hybridMultilevel"/>
    <w:tmpl w:val="E17001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4E2589"/>
    <w:multiLevelType w:val="hybridMultilevel"/>
    <w:tmpl w:val="89E6A7F0"/>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311A9A"/>
    <w:multiLevelType w:val="hybridMultilevel"/>
    <w:tmpl w:val="6DE219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CA778B"/>
    <w:multiLevelType w:val="hybridMultilevel"/>
    <w:tmpl w:val="AAA858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E2776F"/>
    <w:multiLevelType w:val="hybridMultilevel"/>
    <w:tmpl w:val="C8061D14"/>
    <w:lvl w:ilvl="0" w:tplc="70BE8AA8">
      <w:numFmt w:val="bullet"/>
      <w:lvlText w:val="-"/>
      <w:lvlJc w:val="left"/>
      <w:pPr>
        <w:ind w:left="945" w:hanging="360"/>
      </w:pPr>
      <w:rPr>
        <w:rFonts w:ascii="Cambria" w:eastAsia="Times New Roman" w:hAnsi="Cambria" w:cs="Times New Roman" w:hint="default"/>
      </w:rPr>
    </w:lvl>
    <w:lvl w:ilvl="1" w:tplc="E682A32A" w:tentative="1">
      <w:start w:val="1"/>
      <w:numFmt w:val="bullet"/>
      <w:lvlText w:val="o"/>
      <w:lvlJc w:val="left"/>
      <w:pPr>
        <w:ind w:left="1665" w:hanging="360"/>
      </w:pPr>
      <w:rPr>
        <w:rFonts w:ascii="Courier New" w:hAnsi="Courier New" w:cs="Courier New" w:hint="default"/>
      </w:rPr>
    </w:lvl>
    <w:lvl w:ilvl="2" w:tplc="F698D592" w:tentative="1">
      <w:start w:val="1"/>
      <w:numFmt w:val="bullet"/>
      <w:lvlText w:val=""/>
      <w:lvlJc w:val="left"/>
      <w:pPr>
        <w:ind w:left="2385" w:hanging="360"/>
      </w:pPr>
      <w:rPr>
        <w:rFonts w:ascii="Wingdings" w:hAnsi="Wingdings" w:hint="default"/>
      </w:rPr>
    </w:lvl>
    <w:lvl w:ilvl="3" w:tplc="F1A846D4" w:tentative="1">
      <w:start w:val="1"/>
      <w:numFmt w:val="bullet"/>
      <w:lvlText w:val=""/>
      <w:lvlJc w:val="left"/>
      <w:pPr>
        <w:ind w:left="3105" w:hanging="360"/>
      </w:pPr>
      <w:rPr>
        <w:rFonts w:ascii="Symbol" w:hAnsi="Symbol" w:hint="default"/>
      </w:rPr>
    </w:lvl>
    <w:lvl w:ilvl="4" w:tplc="B842624A" w:tentative="1">
      <w:start w:val="1"/>
      <w:numFmt w:val="bullet"/>
      <w:lvlText w:val="o"/>
      <w:lvlJc w:val="left"/>
      <w:pPr>
        <w:ind w:left="3825" w:hanging="360"/>
      </w:pPr>
      <w:rPr>
        <w:rFonts w:ascii="Courier New" w:hAnsi="Courier New" w:cs="Courier New" w:hint="default"/>
      </w:rPr>
    </w:lvl>
    <w:lvl w:ilvl="5" w:tplc="475638B4" w:tentative="1">
      <w:start w:val="1"/>
      <w:numFmt w:val="bullet"/>
      <w:lvlText w:val=""/>
      <w:lvlJc w:val="left"/>
      <w:pPr>
        <w:ind w:left="4545" w:hanging="360"/>
      </w:pPr>
      <w:rPr>
        <w:rFonts w:ascii="Wingdings" w:hAnsi="Wingdings" w:hint="default"/>
      </w:rPr>
    </w:lvl>
    <w:lvl w:ilvl="6" w:tplc="9BD0E8EA" w:tentative="1">
      <w:start w:val="1"/>
      <w:numFmt w:val="bullet"/>
      <w:lvlText w:val=""/>
      <w:lvlJc w:val="left"/>
      <w:pPr>
        <w:ind w:left="5265" w:hanging="360"/>
      </w:pPr>
      <w:rPr>
        <w:rFonts w:ascii="Symbol" w:hAnsi="Symbol" w:hint="default"/>
      </w:rPr>
    </w:lvl>
    <w:lvl w:ilvl="7" w:tplc="DE6687F4" w:tentative="1">
      <w:start w:val="1"/>
      <w:numFmt w:val="bullet"/>
      <w:lvlText w:val="o"/>
      <w:lvlJc w:val="left"/>
      <w:pPr>
        <w:ind w:left="5985" w:hanging="360"/>
      </w:pPr>
      <w:rPr>
        <w:rFonts w:ascii="Courier New" w:hAnsi="Courier New" w:cs="Courier New" w:hint="default"/>
      </w:rPr>
    </w:lvl>
    <w:lvl w:ilvl="8" w:tplc="1F8C8178" w:tentative="1">
      <w:start w:val="1"/>
      <w:numFmt w:val="bullet"/>
      <w:lvlText w:val=""/>
      <w:lvlJc w:val="left"/>
      <w:pPr>
        <w:ind w:left="6705" w:hanging="360"/>
      </w:pPr>
      <w:rPr>
        <w:rFonts w:ascii="Wingdings" w:hAnsi="Wingdings" w:hint="default"/>
      </w:rPr>
    </w:lvl>
  </w:abstractNum>
  <w:abstractNum w:abstractNumId="14" w15:restartNumberingAfterBreak="0">
    <w:nsid w:val="3F3758B2"/>
    <w:multiLevelType w:val="hybridMultilevel"/>
    <w:tmpl w:val="EC74CBA8"/>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0A70BCD"/>
    <w:multiLevelType w:val="hybridMultilevel"/>
    <w:tmpl w:val="D3CCBEE2"/>
    <w:lvl w:ilvl="0" w:tplc="3108658C">
      <w:start w:val="1"/>
      <w:numFmt w:val="bullet"/>
      <w:lvlText w:val=""/>
      <w:lvlJc w:val="left"/>
      <w:pPr>
        <w:ind w:left="360" w:hanging="360"/>
      </w:pPr>
      <w:rPr>
        <w:rFonts w:ascii="Symbol" w:hAnsi="Symbol" w:hint="default"/>
      </w:rPr>
    </w:lvl>
    <w:lvl w:ilvl="1" w:tplc="1DBACBB0" w:tentative="1">
      <w:start w:val="1"/>
      <w:numFmt w:val="bullet"/>
      <w:lvlText w:val="o"/>
      <w:lvlJc w:val="left"/>
      <w:pPr>
        <w:ind w:left="1080" w:hanging="360"/>
      </w:pPr>
      <w:rPr>
        <w:rFonts w:ascii="Courier New" w:hAnsi="Courier New" w:cs="Courier New" w:hint="default"/>
      </w:rPr>
    </w:lvl>
    <w:lvl w:ilvl="2" w:tplc="BD723420" w:tentative="1">
      <w:start w:val="1"/>
      <w:numFmt w:val="bullet"/>
      <w:lvlText w:val=""/>
      <w:lvlJc w:val="left"/>
      <w:pPr>
        <w:ind w:left="1800" w:hanging="360"/>
      </w:pPr>
      <w:rPr>
        <w:rFonts w:ascii="Wingdings" w:hAnsi="Wingdings" w:hint="default"/>
      </w:rPr>
    </w:lvl>
    <w:lvl w:ilvl="3" w:tplc="0100B544" w:tentative="1">
      <w:start w:val="1"/>
      <w:numFmt w:val="bullet"/>
      <w:lvlText w:val=""/>
      <w:lvlJc w:val="left"/>
      <w:pPr>
        <w:ind w:left="2520" w:hanging="360"/>
      </w:pPr>
      <w:rPr>
        <w:rFonts w:ascii="Symbol" w:hAnsi="Symbol" w:hint="default"/>
      </w:rPr>
    </w:lvl>
    <w:lvl w:ilvl="4" w:tplc="9C60B534" w:tentative="1">
      <w:start w:val="1"/>
      <w:numFmt w:val="bullet"/>
      <w:lvlText w:val="o"/>
      <w:lvlJc w:val="left"/>
      <w:pPr>
        <w:ind w:left="3240" w:hanging="360"/>
      </w:pPr>
      <w:rPr>
        <w:rFonts w:ascii="Courier New" w:hAnsi="Courier New" w:cs="Courier New" w:hint="default"/>
      </w:rPr>
    </w:lvl>
    <w:lvl w:ilvl="5" w:tplc="2FD6AEC6" w:tentative="1">
      <w:start w:val="1"/>
      <w:numFmt w:val="bullet"/>
      <w:lvlText w:val=""/>
      <w:lvlJc w:val="left"/>
      <w:pPr>
        <w:ind w:left="3960" w:hanging="360"/>
      </w:pPr>
      <w:rPr>
        <w:rFonts w:ascii="Wingdings" w:hAnsi="Wingdings" w:hint="default"/>
      </w:rPr>
    </w:lvl>
    <w:lvl w:ilvl="6" w:tplc="7670160E" w:tentative="1">
      <w:start w:val="1"/>
      <w:numFmt w:val="bullet"/>
      <w:lvlText w:val=""/>
      <w:lvlJc w:val="left"/>
      <w:pPr>
        <w:ind w:left="4680" w:hanging="360"/>
      </w:pPr>
      <w:rPr>
        <w:rFonts w:ascii="Symbol" w:hAnsi="Symbol" w:hint="default"/>
      </w:rPr>
    </w:lvl>
    <w:lvl w:ilvl="7" w:tplc="587AD192" w:tentative="1">
      <w:start w:val="1"/>
      <w:numFmt w:val="bullet"/>
      <w:lvlText w:val="o"/>
      <w:lvlJc w:val="left"/>
      <w:pPr>
        <w:ind w:left="5400" w:hanging="360"/>
      </w:pPr>
      <w:rPr>
        <w:rFonts w:ascii="Courier New" w:hAnsi="Courier New" w:cs="Courier New" w:hint="default"/>
      </w:rPr>
    </w:lvl>
    <w:lvl w:ilvl="8" w:tplc="50CACADC" w:tentative="1">
      <w:start w:val="1"/>
      <w:numFmt w:val="bullet"/>
      <w:lvlText w:val=""/>
      <w:lvlJc w:val="left"/>
      <w:pPr>
        <w:ind w:left="6120" w:hanging="360"/>
      </w:pPr>
      <w:rPr>
        <w:rFonts w:ascii="Wingdings" w:hAnsi="Wingdings" w:hint="default"/>
      </w:rPr>
    </w:lvl>
  </w:abstractNum>
  <w:abstractNum w:abstractNumId="16" w15:restartNumberingAfterBreak="0">
    <w:nsid w:val="566D60C8"/>
    <w:multiLevelType w:val="hybridMultilevel"/>
    <w:tmpl w:val="6E02D1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8EF247C"/>
    <w:multiLevelType w:val="hybridMultilevel"/>
    <w:tmpl w:val="2C74A44A"/>
    <w:lvl w:ilvl="0" w:tplc="648A5C60">
      <w:numFmt w:val="bullet"/>
      <w:lvlText w:val="-"/>
      <w:lvlJc w:val="left"/>
      <w:pPr>
        <w:ind w:left="786" w:hanging="360"/>
      </w:pPr>
      <w:rPr>
        <w:rFonts w:ascii="Cambria" w:eastAsia="Times New Roman" w:hAnsi="Cambria" w:cs="Times New Roman" w:hint="default"/>
      </w:rPr>
    </w:lvl>
    <w:lvl w:ilvl="1" w:tplc="4E0EE96C" w:tentative="1">
      <w:start w:val="1"/>
      <w:numFmt w:val="bullet"/>
      <w:lvlText w:val="o"/>
      <w:lvlJc w:val="left"/>
      <w:pPr>
        <w:ind w:left="1506" w:hanging="360"/>
      </w:pPr>
      <w:rPr>
        <w:rFonts w:ascii="Courier New" w:hAnsi="Courier New" w:cs="Courier New" w:hint="default"/>
      </w:rPr>
    </w:lvl>
    <w:lvl w:ilvl="2" w:tplc="866EB4B0" w:tentative="1">
      <w:start w:val="1"/>
      <w:numFmt w:val="bullet"/>
      <w:lvlText w:val=""/>
      <w:lvlJc w:val="left"/>
      <w:pPr>
        <w:ind w:left="2226" w:hanging="360"/>
      </w:pPr>
      <w:rPr>
        <w:rFonts w:ascii="Wingdings" w:hAnsi="Wingdings" w:hint="default"/>
      </w:rPr>
    </w:lvl>
    <w:lvl w:ilvl="3" w:tplc="59EAFA10" w:tentative="1">
      <w:start w:val="1"/>
      <w:numFmt w:val="bullet"/>
      <w:lvlText w:val=""/>
      <w:lvlJc w:val="left"/>
      <w:pPr>
        <w:ind w:left="2946" w:hanging="360"/>
      </w:pPr>
      <w:rPr>
        <w:rFonts w:ascii="Symbol" w:hAnsi="Symbol" w:hint="default"/>
      </w:rPr>
    </w:lvl>
    <w:lvl w:ilvl="4" w:tplc="DDE43208" w:tentative="1">
      <w:start w:val="1"/>
      <w:numFmt w:val="bullet"/>
      <w:lvlText w:val="o"/>
      <w:lvlJc w:val="left"/>
      <w:pPr>
        <w:ind w:left="3666" w:hanging="360"/>
      </w:pPr>
      <w:rPr>
        <w:rFonts w:ascii="Courier New" w:hAnsi="Courier New" w:cs="Courier New" w:hint="default"/>
      </w:rPr>
    </w:lvl>
    <w:lvl w:ilvl="5" w:tplc="DEA28A52" w:tentative="1">
      <w:start w:val="1"/>
      <w:numFmt w:val="bullet"/>
      <w:lvlText w:val=""/>
      <w:lvlJc w:val="left"/>
      <w:pPr>
        <w:ind w:left="4386" w:hanging="360"/>
      </w:pPr>
      <w:rPr>
        <w:rFonts w:ascii="Wingdings" w:hAnsi="Wingdings" w:hint="default"/>
      </w:rPr>
    </w:lvl>
    <w:lvl w:ilvl="6" w:tplc="FA54F360" w:tentative="1">
      <w:start w:val="1"/>
      <w:numFmt w:val="bullet"/>
      <w:lvlText w:val=""/>
      <w:lvlJc w:val="left"/>
      <w:pPr>
        <w:ind w:left="5106" w:hanging="360"/>
      </w:pPr>
      <w:rPr>
        <w:rFonts w:ascii="Symbol" w:hAnsi="Symbol" w:hint="default"/>
      </w:rPr>
    </w:lvl>
    <w:lvl w:ilvl="7" w:tplc="4E625CD0" w:tentative="1">
      <w:start w:val="1"/>
      <w:numFmt w:val="bullet"/>
      <w:lvlText w:val="o"/>
      <w:lvlJc w:val="left"/>
      <w:pPr>
        <w:ind w:left="5826" w:hanging="360"/>
      </w:pPr>
      <w:rPr>
        <w:rFonts w:ascii="Courier New" w:hAnsi="Courier New" w:cs="Courier New" w:hint="default"/>
      </w:rPr>
    </w:lvl>
    <w:lvl w:ilvl="8" w:tplc="FBE080F4" w:tentative="1">
      <w:start w:val="1"/>
      <w:numFmt w:val="bullet"/>
      <w:lvlText w:val=""/>
      <w:lvlJc w:val="left"/>
      <w:pPr>
        <w:ind w:left="6546" w:hanging="360"/>
      </w:pPr>
      <w:rPr>
        <w:rFonts w:ascii="Wingdings" w:hAnsi="Wingdings" w:hint="default"/>
      </w:rPr>
    </w:lvl>
  </w:abstractNum>
  <w:abstractNum w:abstractNumId="18" w15:restartNumberingAfterBreak="0">
    <w:nsid w:val="65D56F85"/>
    <w:multiLevelType w:val="hybridMultilevel"/>
    <w:tmpl w:val="09C2D840"/>
    <w:lvl w:ilvl="0" w:tplc="FC2251DC">
      <w:start w:val="1"/>
      <w:numFmt w:val="bullet"/>
      <w:lvlText w:val=""/>
      <w:lvlJc w:val="left"/>
      <w:pPr>
        <w:ind w:left="720" w:hanging="360"/>
      </w:pPr>
      <w:rPr>
        <w:rFonts w:ascii="Symbol" w:hAnsi="Symbol" w:hint="default"/>
      </w:rPr>
    </w:lvl>
    <w:lvl w:ilvl="1" w:tplc="ECB69B0E" w:tentative="1">
      <w:start w:val="1"/>
      <w:numFmt w:val="bullet"/>
      <w:lvlText w:val="o"/>
      <w:lvlJc w:val="left"/>
      <w:pPr>
        <w:ind w:left="1440" w:hanging="360"/>
      </w:pPr>
      <w:rPr>
        <w:rFonts w:ascii="Courier New" w:hAnsi="Courier New" w:cs="Courier New" w:hint="default"/>
      </w:rPr>
    </w:lvl>
    <w:lvl w:ilvl="2" w:tplc="E1E002FA" w:tentative="1">
      <w:start w:val="1"/>
      <w:numFmt w:val="bullet"/>
      <w:lvlText w:val=""/>
      <w:lvlJc w:val="left"/>
      <w:pPr>
        <w:ind w:left="2160" w:hanging="360"/>
      </w:pPr>
      <w:rPr>
        <w:rFonts w:ascii="Wingdings" w:hAnsi="Wingdings" w:hint="default"/>
      </w:rPr>
    </w:lvl>
    <w:lvl w:ilvl="3" w:tplc="9FFAA0EC" w:tentative="1">
      <w:start w:val="1"/>
      <w:numFmt w:val="bullet"/>
      <w:lvlText w:val=""/>
      <w:lvlJc w:val="left"/>
      <w:pPr>
        <w:ind w:left="2880" w:hanging="360"/>
      </w:pPr>
      <w:rPr>
        <w:rFonts w:ascii="Symbol" w:hAnsi="Symbol" w:hint="default"/>
      </w:rPr>
    </w:lvl>
    <w:lvl w:ilvl="4" w:tplc="05ACF3DE" w:tentative="1">
      <w:start w:val="1"/>
      <w:numFmt w:val="bullet"/>
      <w:lvlText w:val="o"/>
      <w:lvlJc w:val="left"/>
      <w:pPr>
        <w:ind w:left="3600" w:hanging="360"/>
      </w:pPr>
      <w:rPr>
        <w:rFonts w:ascii="Courier New" w:hAnsi="Courier New" w:cs="Courier New" w:hint="default"/>
      </w:rPr>
    </w:lvl>
    <w:lvl w:ilvl="5" w:tplc="144627D0" w:tentative="1">
      <w:start w:val="1"/>
      <w:numFmt w:val="bullet"/>
      <w:lvlText w:val=""/>
      <w:lvlJc w:val="left"/>
      <w:pPr>
        <w:ind w:left="4320" w:hanging="360"/>
      </w:pPr>
      <w:rPr>
        <w:rFonts w:ascii="Wingdings" w:hAnsi="Wingdings" w:hint="default"/>
      </w:rPr>
    </w:lvl>
    <w:lvl w:ilvl="6" w:tplc="CA4A017E" w:tentative="1">
      <w:start w:val="1"/>
      <w:numFmt w:val="bullet"/>
      <w:lvlText w:val=""/>
      <w:lvlJc w:val="left"/>
      <w:pPr>
        <w:ind w:left="5040" w:hanging="360"/>
      </w:pPr>
      <w:rPr>
        <w:rFonts w:ascii="Symbol" w:hAnsi="Symbol" w:hint="default"/>
      </w:rPr>
    </w:lvl>
    <w:lvl w:ilvl="7" w:tplc="8692235C" w:tentative="1">
      <w:start w:val="1"/>
      <w:numFmt w:val="bullet"/>
      <w:lvlText w:val="o"/>
      <w:lvlJc w:val="left"/>
      <w:pPr>
        <w:ind w:left="5760" w:hanging="360"/>
      </w:pPr>
      <w:rPr>
        <w:rFonts w:ascii="Courier New" w:hAnsi="Courier New" w:cs="Courier New" w:hint="default"/>
      </w:rPr>
    </w:lvl>
    <w:lvl w:ilvl="8" w:tplc="02640EC2"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A118B7C2"/>
    <w:lvl w:ilvl="0" w:tplc="1D6ACFD0">
      <w:numFmt w:val="bullet"/>
      <w:lvlText w:val="-"/>
      <w:lvlJc w:val="left"/>
      <w:pPr>
        <w:ind w:left="720" w:hanging="720"/>
      </w:pPr>
      <w:rPr>
        <w:rFonts w:ascii="Cambria" w:eastAsia="Times New Roman" w:hAnsi="Cambria" w:cs="Times New Roman" w:hint="default"/>
      </w:rPr>
    </w:lvl>
    <w:lvl w:ilvl="1" w:tplc="D6308D4C" w:tentative="1">
      <w:start w:val="1"/>
      <w:numFmt w:val="bullet"/>
      <w:lvlText w:val="o"/>
      <w:lvlJc w:val="left"/>
      <w:pPr>
        <w:ind w:left="1080" w:hanging="360"/>
      </w:pPr>
      <w:rPr>
        <w:rFonts w:ascii="Courier New" w:hAnsi="Courier New" w:cs="Courier New" w:hint="default"/>
      </w:rPr>
    </w:lvl>
    <w:lvl w:ilvl="2" w:tplc="0ACA6320" w:tentative="1">
      <w:start w:val="1"/>
      <w:numFmt w:val="bullet"/>
      <w:lvlText w:val=""/>
      <w:lvlJc w:val="left"/>
      <w:pPr>
        <w:ind w:left="1800" w:hanging="360"/>
      </w:pPr>
      <w:rPr>
        <w:rFonts w:ascii="Wingdings" w:hAnsi="Wingdings" w:hint="default"/>
      </w:rPr>
    </w:lvl>
    <w:lvl w:ilvl="3" w:tplc="3A145A32" w:tentative="1">
      <w:start w:val="1"/>
      <w:numFmt w:val="bullet"/>
      <w:lvlText w:val=""/>
      <w:lvlJc w:val="left"/>
      <w:pPr>
        <w:ind w:left="2520" w:hanging="360"/>
      </w:pPr>
      <w:rPr>
        <w:rFonts w:ascii="Symbol" w:hAnsi="Symbol" w:hint="default"/>
      </w:rPr>
    </w:lvl>
    <w:lvl w:ilvl="4" w:tplc="B216A966" w:tentative="1">
      <w:start w:val="1"/>
      <w:numFmt w:val="bullet"/>
      <w:lvlText w:val="o"/>
      <w:lvlJc w:val="left"/>
      <w:pPr>
        <w:ind w:left="3240" w:hanging="360"/>
      </w:pPr>
      <w:rPr>
        <w:rFonts w:ascii="Courier New" w:hAnsi="Courier New" w:cs="Courier New" w:hint="default"/>
      </w:rPr>
    </w:lvl>
    <w:lvl w:ilvl="5" w:tplc="57F4A652" w:tentative="1">
      <w:start w:val="1"/>
      <w:numFmt w:val="bullet"/>
      <w:lvlText w:val=""/>
      <w:lvlJc w:val="left"/>
      <w:pPr>
        <w:ind w:left="3960" w:hanging="360"/>
      </w:pPr>
      <w:rPr>
        <w:rFonts w:ascii="Wingdings" w:hAnsi="Wingdings" w:hint="default"/>
      </w:rPr>
    </w:lvl>
    <w:lvl w:ilvl="6" w:tplc="49FA77B2" w:tentative="1">
      <w:start w:val="1"/>
      <w:numFmt w:val="bullet"/>
      <w:lvlText w:val=""/>
      <w:lvlJc w:val="left"/>
      <w:pPr>
        <w:ind w:left="4680" w:hanging="360"/>
      </w:pPr>
      <w:rPr>
        <w:rFonts w:ascii="Symbol" w:hAnsi="Symbol" w:hint="default"/>
      </w:rPr>
    </w:lvl>
    <w:lvl w:ilvl="7" w:tplc="6F0ECBFE" w:tentative="1">
      <w:start w:val="1"/>
      <w:numFmt w:val="bullet"/>
      <w:lvlText w:val="o"/>
      <w:lvlJc w:val="left"/>
      <w:pPr>
        <w:ind w:left="5400" w:hanging="360"/>
      </w:pPr>
      <w:rPr>
        <w:rFonts w:ascii="Courier New" w:hAnsi="Courier New" w:cs="Courier New" w:hint="default"/>
      </w:rPr>
    </w:lvl>
    <w:lvl w:ilvl="8" w:tplc="73EEDD40"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1722DBBC">
      <w:start w:val="1"/>
      <w:numFmt w:val="bullet"/>
      <w:lvlText w:val=""/>
      <w:lvlJc w:val="left"/>
      <w:pPr>
        <w:ind w:left="720" w:hanging="360"/>
      </w:pPr>
      <w:rPr>
        <w:rFonts w:ascii="Symbol" w:hAnsi="Symbol" w:hint="default"/>
      </w:rPr>
    </w:lvl>
    <w:lvl w:ilvl="1" w:tplc="3CA4DBD2" w:tentative="1">
      <w:start w:val="1"/>
      <w:numFmt w:val="bullet"/>
      <w:lvlText w:val="o"/>
      <w:lvlJc w:val="left"/>
      <w:pPr>
        <w:ind w:left="1440" w:hanging="360"/>
      </w:pPr>
      <w:rPr>
        <w:rFonts w:ascii="Courier New" w:hAnsi="Courier New" w:cs="Courier New" w:hint="default"/>
      </w:rPr>
    </w:lvl>
    <w:lvl w:ilvl="2" w:tplc="91C0E0C8" w:tentative="1">
      <w:start w:val="1"/>
      <w:numFmt w:val="bullet"/>
      <w:lvlText w:val=""/>
      <w:lvlJc w:val="left"/>
      <w:pPr>
        <w:ind w:left="2160" w:hanging="360"/>
      </w:pPr>
      <w:rPr>
        <w:rFonts w:ascii="Wingdings" w:hAnsi="Wingdings" w:hint="default"/>
      </w:rPr>
    </w:lvl>
    <w:lvl w:ilvl="3" w:tplc="0FDA924E" w:tentative="1">
      <w:start w:val="1"/>
      <w:numFmt w:val="bullet"/>
      <w:lvlText w:val=""/>
      <w:lvlJc w:val="left"/>
      <w:pPr>
        <w:ind w:left="2880" w:hanging="360"/>
      </w:pPr>
      <w:rPr>
        <w:rFonts w:ascii="Symbol" w:hAnsi="Symbol" w:hint="default"/>
      </w:rPr>
    </w:lvl>
    <w:lvl w:ilvl="4" w:tplc="3CEA4654" w:tentative="1">
      <w:start w:val="1"/>
      <w:numFmt w:val="bullet"/>
      <w:lvlText w:val="o"/>
      <w:lvlJc w:val="left"/>
      <w:pPr>
        <w:ind w:left="3600" w:hanging="360"/>
      </w:pPr>
      <w:rPr>
        <w:rFonts w:ascii="Courier New" w:hAnsi="Courier New" w:cs="Courier New" w:hint="default"/>
      </w:rPr>
    </w:lvl>
    <w:lvl w:ilvl="5" w:tplc="52F88576" w:tentative="1">
      <w:start w:val="1"/>
      <w:numFmt w:val="bullet"/>
      <w:lvlText w:val=""/>
      <w:lvlJc w:val="left"/>
      <w:pPr>
        <w:ind w:left="4320" w:hanging="360"/>
      </w:pPr>
      <w:rPr>
        <w:rFonts w:ascii="Wingdings" w:hAnsi="Wingdings" w:hint="default"/>
      </w:rPr>
    </w:lvl>
    <w:lvl w:ilvl="6" w:tplc="833E7B24" w:tentative="1">
      <w:start w:val="1"/>
      <w:numFmt w:val="bullet"/>
      <w:lvlText w:val=""/>
      <w:lvlJc w:val="left"/>
      <w:pPr>
        <w:ind w:left="5040" w:hanging="360"/>
      </w:pPr>
      <w:rPr>
        <w:rFonts w:ascii="Symbol" w:hAnsi="Symbol" w:hint="default"/>
      </w:rPr>
    </w:lvl>
    <w:lvl w:ilvl="7" w:tplc="7E4EF63A" w:tentative="1">
      <w:start w:val="1"/>
      <w:numFmt w:val="bullet"/>
      <w:lvlText w:val="o"/>
      <w:lvlJc w:val="left"/>
      <w:pPr>
        <w:ind w:left="5760" w:hanging="360"/>
      </w:pPr>
      <w:rPr>
        <w:rFonts w:ascii="Courier New" w:hAnsi="Courier New" w:cs="Courier New" w:hint="default"/>
      </w:rPr>
    </w:lvl>
    <w:lvl w:ilvl="8" w:tplc="90E64170" w:tentative="1">
      <w:start w:val="1"/>
      <w:numFmt w:val="bullet"/>
      <w:lvlText w:val=""/>
      <w:lvlJc w:val="left"/>
      <w:pPr>
        <w:ind w:left="6480" w:hanging="360"/>
      </w:pPr>
      <w:rPr>
        <w:rFonts w:ascii="Wingdings" w:hAnsi="Wingdings" w:hint="default"/>
      </w:rPr>
    </w:lvl>
  </w:abstractNum>
  <w:abstractNum w:abstractNumId="21" w15:restartNumberingAfterBreak="0">
    <w:nsid w:val="79FE55EB"/>
    <w:multiLevelType w:val="hybridMultilevel"/>
    <w:tmpl w:val="B4D49E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C0B73CB"/>
    <w:multiLevelType w:val="hybridMultilevel"/>
    <w:tmpl w:val="281E8DE4"/>
    <w:lvl w:ilvl="0" w:tplc="04080001">
      <w:start w:val="1"/>
      <w:numFmt w:val="bullet"/>
      <w:lvlText w:val=""/>
      <w:lvlJc w:val="left"/>
      <w:pPr>
        <w:ind w:left="360" w:hanging="360"/>
      </w:pPr>
      <w:rPr>
        <w:rFonts w:ascii="Symbol" w:hAnsi="Symbol" w:hint="default"/>
      </w:rPr>
    </w:lvl>
    <w:lvl w:ilvl="1" w:tplc="ECB69B0E" w:tentative="1">
      <w:start w:val="1"/>
      <w:numFmt w:val="bullet"/>
      <w:lvlText w:val="o"/>
      <w:lvlJc w:val="left"/>
      <w:pPr>
        <w:ind w:left="1080" w:hanging="360"/>
      </w:pPr>
      <w:rPr>
        <w:rFonts w:ascii="Courier New" w:hAnsi="Courier New" w:cs="Courier New" w:hint="default"/>
      </w:rPr>
    </w:lvl>
    <w:lvl w:ilvl="2" w:tplc="E1E002FA" w:tentative="1">
      <w:start w:val="1"/>
      <w:numFmt w:val="bullet"/>
      <w:lvlText w:val=""/>
      <w:lvlJc w:val="left"/>
      <w:pPr>
        <w:ind w:left="1800" w:hanging="360"/>
      </w:pPr>
      <w:rPr>
        <w:rFonts w:ascii="Wingdings" w:hAnsi="Wingdings" w:hint="default"/>
      </w:rPr>
    </w:lvl>
    <w:lvl w:ilvl="3" w:tplc="9FFAA0EC" w:tentative="1">
      <w:start w:val="1"/>
      <w:numFmt w:val="bullet"/>
      <w:lvlText w:val=""/>
      <w:lvlJc w:val="left"/>
      <w:pPr>
        <w:ind w:left="2520" w:hanging="360"/>
      </w:pPr>
      <w:rPr>
        <w:rFonts w:ascii="Symbol" w:hAnsi="Symbol" w:hint="default"/>
      </w:rPr>
    </w:lvl>
    <w:lvl w:ilvl="4" w:tplc="05ACF3DE" w:tentative="1">
      <w:start w:val="1"/>
      <w:numFmt w:val="bullet"/>
      <w:lvlText w:val="o"/>
      <w:lvlJc w:val="left"/>
      <w:pPr>
        <w:ind w:left="3240" w:hanging="360"/>
      </w:pPr>
      <w:rPr>
        <w:rFonts w:ascii="Courier New" w:hAnsi="Courier New" w:cs="Courier New" w:hint="default"/>
      </w:rPr>
    </w:lvl>
    <w:lvl w:ilvl="5" w:tplc="144627D0" w:tentative="1">
      <w:start w:val="1"/>
      <w:numFmt w:val="bullet"/>
      <w:lvlText w:val=""/>
      <w:lvlJc w:val="left"/>
      <w:pPr>
        <w:ind w:left="3960" w:hanging="360"/>
      </w:pPr>
      <w:rPr>
        <w:rFonts w:ascii="Wingdings" w:hAnsi="Wingdings" w:hint="default"/>
      </w:rPr>
    </w:lvl>
    <w:lvl w:ilvl="6" w:tplc="CA4A017E" w:tentative="1">
      <w:start w:val="1"/>
      <w:numFmt w:val="bullet"/>
      <w:lvlText w:val=""/>
      <w:lvlJc w:val="left"/>
      <w:pPr>
        <w:ind w:left="4680" w:hanging="360"/>
      </w:pPr>
      <w:rPr>
        <w:rFonts w:ascii="Symbol" w:hAnsi="Symbol" w:hint="default"/>
      </w:rPr>
    </w:lvl>
    <w:lvl w:ilvl="7" w:tplc="8692235C" w:tentative="1">
      <w:start w:val="1"/>
      <w:numFmt w:val="bullet"/>
      <w:lvlText w:val="o"/>
      <w:lvlJc w:val="left"/>
      <w:pPr>
        <w:ind w:left="5400" w:hanging="360"/>
      </w:pPr>
      <w:rPr>
        <w:rFonts w:ascii="Courier New" w:hAnsi="Courier New" w:cs="Courier New" w:hint="default"/>
      </w:rPr>
    </w:lvl>
    <w:lvl w:ilvl="8" w:tplc="02640EC2" w:tentative="1">
      <w:start w:val="1"/>
      <w:numFmt w:val="bullet"/>
      <w:lvlText w:val=""/>
      <w:lvlJc w:val="left"/>
      <w:pPr>
        <w:ind w:left="6120" w:hanging="360"/>
      </w:pPr>
      <w:rPr>
        <w:rFonts w:ascii="Wingdings" w:hAnsi="Wingdings" w:hint="default"/>
      </w:rPr>
    </w:lvl>
  </w:abstractNum>
  <w:abstractNum w:abstractNumId="23"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0"/>
  </w:num>
  <w:num w:numId="11">
    <w:abstractNumId w:val="19"/>
  </w:num>
  <w:num w:numId="12">
    <w:abstractNumId w:val="13"/>
  </w:num>
  <w:num w:numId="13">
    <w:abstractNumId w:val="17"/>
  </w:num>
  <w:num w:numId="14">
    <w:abstractNumId w:val="7"/>
  </w:num>
  <w:num w:numId="15">
    <w:abstractNumId w:val="2"/>
  </w:num>
  <w:num w:numId="16">
    <w:abstractNumId w:val="15"/>
  </w:num>
  <w:num w:numId="17">
    <w:abstractNumId w:val="3"/>
  </w:num>
  <w:num w:numId="18">
    <w:abstractNumId w:val="18"/>
  </w:num>
  <w:num w:numId="19">
    <w:abstractNumId w:val="10"/>
  </w:num>
  <w:num w:numId="20">
    <w:abstractNumId w:val="4"/>
  </w:num>
  <w:num w:numId="21">
    <w:abstractNumId w:val="14"/>
  </w:num>
  <w:num w:numId="22">
    <w:abstractNumId w:val="0"/>
  </w:num>
  <w:num w:numId="23">
    <w:abstractNumId w:val="21"/>
  </w:num>
  <w:num w:numId="24">
    <w:abstractNumId w:val="5"/>
  </w:num>
  <w:num w:numId="25">
    <w:abstractNumId w:val="1"/>
  </w:num>
  <w:num w:numId="26">
    <w:abstractNumId w:val="6"/>
  </w:num>
  <w:num w:numId="27">
    <w:abstractNumId w:val="16"/>
  </w:num>
  <w:num w:numId="28">
    <w:abstractNumId w:val="12"/>
  </w:num>
  <w:num w:numId="29">
    <w:abstractNumId w:val="9"/>
  </w:num>
  <w:num w:numId="30">
    <w:abstractNumId w:val="8"/>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51D9"/>
    <w:rsid w:val="0000708F"/>
    <w:rsid w:val="00010B7B"/>
    <w:rsid w:val="00010E96"/>
    <w:rsid w:val="000125A9"/>
    <w:rsid w:val="00016EFE"/>
    <w:rsid w:val="00021961"/>
    <w:rsid w:val="00024A95"/>
    <w:rsid w:val="00027528"/>
    <w:rsid w:val="00033C3A"/>
    <w:rsid w:val="0003621D"/>
    <w:rsid w:val="00037A2C"/>
    <w:rsid w:val="0004184D"/>
    <w:rsid w:val="00043FD8"/>
    <w:rsid w:val="00044949"/>
    <w:rsid w:val="00051366"/>
    <w:rsid w:val="00052378"/>
    <w:rsid w:val="00052FE6"/>
    <w:rsid w:val="00053860"/>
    <w:rsid w:val="00071936"/>
    <w:rsid w:val="00073A29"/>
    <w:rsid w:val="00073CFF"/>
    <w:rsid w:val="0008022D"/>
    <w:rsid w:val="0008590F"/>
    <w:rsid w:val="00085B4D"/>
    <w:rsid w:val="0008671E"/>
    <w:rsid w:val="00086D65"/>
    <w:rsid w:val="00086E13"/>
    <w:rsid w:val="00093647"/>
    <w:rsid w:val="00094362"/>
    <w:rsid w:val="000A00C8"/>
    <w:rsid w:val="000A0192"/>
    <w:rsid w:val="000A202A"/>
    <w:rsid w:val="000A498A"/>
    <w:rsid w:val="000A75BE"/>
    <w:rsid w:val="000B06C9"/>
    <w:rsid w:val="000B1FC5"/>
    <w:rsid w:val="000C33EC"/>
    <w:rsid w:val="000C602B"/>
    <w:rsid w:val="000C63CD"/>
    <w:rsid w:val="000D4775"/>
    <w:rsid w:val="000D531A"/>
    <w:rsid w:val="000D55B9"/>
    <w:rsid w:val="000E19AF"/>
    <w:rsid w:val="000F026E"/>
    <w:rsid w:val="000F2404"/>
    <w:rsid w:val="000F3D9D"/>
    <w:rsid w:val="000F6656"/>
    <w:rsid w:val="000F6945"/>
    <w:rsid w:val="001016DF"/>
    <w:rsid w:val="00104848"/>
    <w:rsid w:val="001079AB"/>
    <w:rsid w:val="00114FC7"/>
    <w:rsid w:val="00116300"/>
    <w:rsid w:val="001238E6"/>
    <w:rsid w:val="00125CC4"/>
    <w:rsid w:val="00126238"/>
    <w:rsid w:val="00130F62"/>
    <w:rsid w:val="00133E95"/>
    <w:rsid w:val="00141EBD"/>
    <w:rsid w:val="00142923"/>
    <w:rsid w:val="001468A8"/>
    <w:rsid w:val="00147001"/>
    <w:rsid w:val="0015067D"/>
    <w:rsid w:val="00152F45"/>
    <w:rsid w:val="00155455"/>
    <w:rsid w:val="001557E8"/>
    <w:rsid w:val="00156E34"/>
    <w:rsid w:val="00162589"/>
    <w:rsid w:val="00166BA2"/>
    <w:rsid w:val="00174987"/>
    <w:rsid w:val="00175500"/>
    <w:rsid w:val="0017651C"/>
    <w:rsid w:val="0018041C"/>
    <w:rsid w:val="00182FE8"/>
    <w:rsid w:val="001924CA"/>
    <w:rsid w:val="0019731D"/>
    <w:rsid w:val="001A1EAC"/>
    <w:rsid w:val="001A2D21"/>
    <w:rsid w:val="001B3428"/>
    <w:rsid w:val="001C11E6"/>
    <w:rsid w:val="001C342B"/>
    <w:rsid w:val="001C4FF0"/>
    <w:rsid w:val="001C7B52"/>
    <w:rsid w:val="001D705E"/>
    <w:rsid w:val="001E204C"/>
    <w:rsid w:val="001E2300"/>
    <w:rsid w:val="001E364E"/>
    <w:rsid w:val="001E47FC"/>
    <w:rsid w:val="001F1819"/>
    <w:rsid w:val="001F29D2"/>
    <w:rsid w:val="001F2BE2"/>
    <w:rsid w:val="00203C08"/>
    <w:rsid w:val="00206428"/>
    <w:rsid w:val="002073FE"/>
    <w:rsid w:val="0021013F"/>
    <w:rsid w:val="00210891"/>
    <w:rsid w:val="002149DC"/>
    <w:rsid w:val="0022451B"/>
    <w:rsid w:val="0023272E"/>
    <w:rsid w:val="00232A68"/>
    <w:rsid w:val="002351C5"/>
    <w:rsid w:val="00236C7A"/>
    <w:rsid w:val="00237CE1"/>
    <w:rsid w:val="00243B8E"/>
    <w:rsid w:val="002518F9"/>
    <w:rsid w:val="00257919"/>
    <w:rsid w:val="0026248F"/>
    <w:rsid w:val="00265840"/>
    <w:rsid w:val="0026597B"/>
    <w:rsid w:val="002676A3"/>
    <w:rsid w:val="002718E3"/>
    <w:rsid w:val="00272ABE"/>
    <w:rsid w:val="00273928"/>
    <w:rsid w:val="00282689"/>
    <w:rsid w:val="0029000B"/>
    <w:rsid w:val="002906FC"/>
    <w:rsid w:val="00296F0F"/>
    <w:rsid w:val="002A02E2"/>
    <w:rsid w:val="002A0980"/>
    <w:rsid w:val="002A20A4"/>
    <w:rsid w:val="002A5741"/>
    <w:rsid w:val="002A6C0E"/>
    <w:rsid w:val="002A6EAB"/>
    <w:rsid w:val="002B4131"/>
    <w:rsid w:val="002B5F4E"/>
    <w:rsid w:val="002B62CE"/>
    <w:rsid w:val="002B7E01"/>
    <w:rsid w:val="002C2AF1"/>
    <w:rsid w:val="002C379B"/>
    <w:rsid w:val="002C37F8"/>
    <w:rsid w:val="002C6E09"/>
    <w:rsid w:val="002D1046"/>
    <w:rsid w:val="002D27D9"/>
    <w:rsid w:val="002D6323"/>
    <w:rsid w:val="002D7A52"/>
    <w:rsid w:val="002D7BCD"/>
    <w:rsid w:val="002D7CF7"/>
    <w:rsid w:val="002E4FC5"/>
    <w:rsid w:val="002E60D7"/>
    <w:rsid w:val="002E7908"/>
    <w:rsid w:val="002F3CF4"/>
    <w:rsid w:val="002F5532"/>
    <w:rsid w:val="003016E7"/>
    <w:rsid w:val="00304E07"/>
    <w:rsid w:val="00304E29"/>
    <w:rsid w:val="00306A6B"/>
    <w:rsid w:val="00307DAB"/>
    <w:rsid w:val="00310089"/>
    <w:rsid w:val="00310D95"/>
    <w:rsid w:val="00312417"/>
    <w:rsid w:val="00322D27"/>
    <w:rsid w:val="003246A2"/>
    <w:rsid w:val="00327502"/>
    <w:rsid w:val="003277D7"/>
    <w:rsid w:val="003431C4"/>
    <w:rsid w:val="0034773B"/>
    <w:rsid w:val="0035177F"/>
    <w:rsid w:val="00354333"/>
    <w:rsid w:val="00354CE7"/>
    <w:rsid w:val="003610D6"/>
    <w:rsid w:val="00362DC6"/>
    <w:rsid w:val="0036447F"/>
    <w:rsid w:val="003676BA"/>
    <w:rsid w:val="00372BAF"/>
    <w:rsid w:val="00375AB5"/>
    <w:rsid w:val="00375B10"/>
    <w:rsid w:val="00380173"/>
    <w:rsid w:val="003910D9"/>
    <w:rsid w:val="0039577F"/>
    <w:rsid w:val="003A0A30"/>
    <w:rsid w:val="003A6F05"/>
    <w:rsid w:val="003A7F1E"/>
    <w:rsid w:val="003B2DB7"/>
    <w:rsid w:val="003B5103"/>
    <w:rsid w:val="003C087A"/>
    <w:rsid w:val="003C2796"/>
    <w:rsid w:val="003C7889"/>
    <w:rsid w:val="003C7D29"/>
    <w:rsid w:val="003E66E6"/>
    <w:rsid w:val="003E6D53"/>
    <w:rsid w:val="003F3968"/>
    <w:rsid w:val="003F3A18"/>
    <w:rsid w:val="003F49D6"/>
    <w:rsid w:val="003F5445"/>
    <w:rsid w:val="003F6086"/>
    <w:rsid w:val="00401955"/>
    <w:rsid w:val="004020C0"/>
    <w:rsid w:val="00403549"/>
    <w:rsid w:val="00410A42"/>
    <w:rsid w:val="00412BB7"/>
    <w:rsid w:val="0041399A"/>
    <w:rsid w:val="004142F8"/>
    <w:rsid w:val="00415104"/>
    <w:rsid w:val="0042148B"/>
    <w:rsid w:val="004237C5"/>
    <w:rsid w:val="00431393"/>
    <w:rsid w:val="00432A67"/>
    <w:rsid w:val="0044071C"/>
    <w:rsid w:val="004440E5"/>
    <w:rsid w:val="00465BFD"/>
    <w:rsid w:val="00465ED6"/>
    <w:rsid w:val="00466A56"/>
    <w:rsid w:val="00472758"/>
    <w:rsid w:val="00475B2D"/>
    <w:rsid w:val="00483F12"/>
    <w:rsid w:val="004B2367"/>
    <w:rsid w:val="004B2AD6"/>
    <w:rsid w:val="004B49B8"/>
    <w:rsid w:val="004B6597"/>
    <w:rsid w:val="004B7E24"/>
    <w:rsid w:val="004C0D54"/>
    <w:rsid w:val="004C23D9"/>
    <w:rsid w:val="004C45A4"/>
    <w:rsid w:val="004C7901"/>
    <w:rsid w:val="004D1F5A"/>
    <w:rsid w:val="004D4AFB"/>
    <w:rsid w:val="004D6929"/>
    <w:rsid w:val="004D7C9B"/>
    <w:rsid w:val="004E63E5"/>
    <w:rsid w:val="004E6CAE"/>
    <w:rsid w:val="004E6F68"/>
    <w:rsid w:val="004E7C1D"/>
    <w:rsid w:val="004F0D0F"/>
    <w:rsid w:val="004F6A0D"/>
    <w:rsid w:val="004F7DB7"/>
    <w:rsid w:val="00502559"/>
    <w:rsid w:val="00502F42"/>
    <w:rsid w:val="00503E7C"/>
    <w:rsid w:val="00507EED"/>
    <w:rsid w:val="0051799C"/>
    <w:rsid w:val="005220F5"/>
    <w:rsid w:val="00524DCF"/>
    <w:rsid w:val="005257EE"/>
    <w:rsid w:val="005303AC"/>
    <w:rsid w:val="00530949"/>
    <w:rsid w:val="00532C5E"/>
    <w:rsid w:val="0054109E"/>
    <w:rsid w:val="005418F9"/>
    <w:rsid w:val="005419E4"/>
    <w:rsid w:val="00547605"/>
    <w:rsid w:val="0054794F"/>
    <w:rsid w:val="00550EBC"/>
    <w:rsid w:val="0055128B"/>
    <w:rsid w:val="00552E53"/>
    <w:rsid w:val="00555295"/>
    <w:rsid w:val="0055536B"/>
    <w:rsid w:val="0055543C"/>
    <w:rsid w:val="005559FB"/>
    <w:rsid w:val="005641F8"/>
    <w:rsid w:val="005652A8"/>
    <w:rsid w:val="00565852"/>
    <w:rsid w:val="005659F6"/>
    <w:rsid w:val="00571B4F"/>
    <w:rsid w:val="005733AB"/>
    <w:rsid w:val="00574C71"/>
    <w:rsid w:val="005764C4"/>
    <w:rsid w:val="0058076F"/>
    <w:rsid w:val="00582B28"/>
    <w:rsid w:val="00584755"/>
    <w:rsid w:val="00587293"/>
    <w:rsid w:val="0058750A"/>
    <w:rsid w:val="005965A0"/>
    <w:rsid w:val="00597F96"/>
    <w:rsid w:val="005A0C33"/>
    <w:rsid w:val="005B1269"/>
    <w:rsid w:val="005B197F"/>
    <w:rsid w:val="005C3169"/>
    <w:rsid w:val="005C5219"/>
    <w:rsid w:val="005C64D4"/>
    <w:rsid w:val="005D026B"/>
    <w:rsid w:val="005D12D9"/>
    <w:rsid w:val="005D31CF"/>
    <w:rsid w:val="005D32E3"/>
    <w:rsid w:val="005D410B"/>
    <w:rsid w:val="005D731F"/>
    <w:rsid w:val="005D7D80"/>
    <w:rsid w:val="005E04C0"/>
    <w:rsid w:val="005E659E"/>
    <w:rsid w:val="005E67EF"/>
    <w:rsid w:val="005E7005"/>
    <w:rsid w:val="005F4313"/>
    <w:rsid w:val="005F44D1"/>
    <w:rsid w:val="00603212"/>
    <w:rsid w:val="00603A41"/>
    <w:rsid w:val="00611B41"/>
    <w:rsid w:val="00611C90"/>
    <w:rsid w:val="0062257A"/>
    <w:rsid w:val="006233A5"/>
    <w:rsid w:val="006246B6"/>
    <w:rsid w:val="006273BD"/>
    <w:rsid w:val="00633AAA"/>
    <w:rsid w:val="0064537E"/>
    <w:rsid w:val="00647751"/>
    <w:rsid w:val="00650CA4"/>
    <w:rsid w:val="00651CD5"/>
    <w:rsid w:val="00656E78"/>
    <w:rsid w:val="006571CC"/>
    <w:rsid w:val="00657542"/>
    <w:rsid w:val="00663A1E"/>
    <w:rsid w:val="00666C7A"/>
    <w:rsid w:val="006728AE"/>
    <w:rsid w:val="00674DFB"/>
    <w:rsid w:val="006774EA"/>
    <w:rsid w:val="006806D5"/>
    <w:rsid w:val="00681B6D"/>
    <w:rsid w:val="006826F9"/>
    <w:rsid w:val="00685476"/>
    <w:rsid w:val="00687A9C"/>
    <w:rsid w:val="006900AD"/>
    <w:rsid w:val="00690A8B"/>
    <w:rsid w:val="006932BB"/>
    <w:rsid w:val="006A00C8"/>
    <w:rsid w:val="006A26FF"/>
    <w:rsid w:val="006A4A45"/>
    <w:rsid w:val="006A6150"/>
    <w:rsid w:val="006B482C"/>
    <w:rsid w:val="006B60FC"/>
    <w:rsid w:val="006C2002"/>
    <w:rsid w:val="006C78A8"/>
    <w:rsid w:val="006D4E72"/>
    <w:rsid w:val="006E1DEC"/>
    <w:rsid w:val="006E2893"/>
    <w:rsid w:val="006E406C"/>
    <w:rsid w:val="006E6D00"/>
    <w:rsid w:val="006F03DB"/>
    <w:rsid w:val="006F050F"/>
    <w:rsid w:val="006F34A3"/>
    <w:rsid w:val="006F36DA"/>
    <w:rsid w:val="00703BB3"/>
    <w:rsid w:val="00706422"/>
    <w:rsid w:val="00706C74"/>
    <w:rsid w:val="00707D08"/>
    <w:rsid w:val="00710453"/>
    <w:rsid w:val="0071094C"/>
    <w:rsid w:val="00713C6B"/>
    <w:rsid w:val="00714EA9"/>
    <w:rsid w:val="0071648C"/>
    <w:rsid w:val="00720140"/>
    <w:rsid w:val="00721571"/>
    <w:rsid w:val="00723D3D"/>
    <w:rsid w:val="00725308"/>
    <w:rsid w:val="00730A05"/>
    <w:rsid w:val="00732314"/>
    <w:rsid w:val="0073583D"/>
    <w:rsid w:val="00740073"/>
    <w:rsid w:val="00743E66"/>
    <w:rsid w:val="007446E8"/>
    <w:rsid w:val="0074503E"/>
    <w:rsid w:val="00745BB5"/>
    <w:rsid w:val="00750265"/>
    <w:rsid w:val="00752094"/>
    <w:rsid w:val="00753316"/>
    <w:rsid w:val="007541A6"/>
    <w:rsid w:val="007568E6"/>
    <w:rsid w:val="00761192"/>
    <w:rsid w:val="00763198"/>
    <w:rsid w:val="007639F6"/>
    <w:rsid w:val="00764B5D"/>
    <w:rsid w:val="00765514"/>
    <w:rsid w:val="00765539"/>
    <w:rsid w:val="0077016C"/>
    <w:rsid w:val="00771210"/>
    <w:rsid w:val="00771D93"/>
    <w:rsid w:val="00773587"/>
    <w:rsid w:val="00773FAF"/>
    <w:rsid w:val="00782D26"/>
    <w:rsid w:val="00793C58"/>
    <w:rsid w:val="00793E8D"/>
    <w:rsid w:val="0079439F"/>
    <w:rsid w:val="00797C30"/>
    <w:rsid w:val="007A1EB2"/>
    <w:rsid w:val="007A5B71"/>
    <w:rsid w:val="007A5F6F"/>
    <w:rsid w:val="007B075A"/>
    <w:rsid w:val="007B13C9"/>
    <w:rsid w:val="007B56E5"/>
    <w:rsid w:val="007D2809"/>
    <w:rsid w:val="007D2B37"/>
    <w:rsid w:val="007F5939"/>
    <w:rsid w:val="007F6A97"/>
    <w:rsid w:val="008023C5"/>
    <w:rsid w:val="00811A9B"/>
    <w:rsid w:val="008128CE"/>
    <w:rsid w:val="00813665"/>
    <w:rsid w:val="00814E6F"/>
    <w:rsid w:val="00815940"/>
    <w:rsid w:val="00850555"/>
    <w:rsid w:val="00851D27"/>
    <w:rsid w:val="0085381F"/>
    <w:rsid w:val="008610E0"/>
    <w:rsid w:val="00864686"/>
    <w:rsid w:val="008734D1"/>
    <w:rsid w:val="00882B20"/>
    <w:rsid w:val="00886335"/>
    <w:rsid w:val="00887135"/>
    <w:rsid w:val="008879B1"/>
    <w:rsid w:val="00893913"/>
    <w:rsid w:val="008A717B"/>
    <w:rsid w:val="008B14CA"/>
    <w:rsid w:val="008B1CE3"/>
    <w:rsid w:val="008B1F42"/>
    <w:rsid w:val="008B2A3F"/>
    <w:rsid w:val="008C34DE"/>
    <w:rsid w:val="008C4076"/>
    <w:rsid w:val="008D0066"/>
    <w:rsid w:val="008D31F3"/>
    <w:rsid w:val="008D580C"/>
    <w:rsid w:val="008E256B"/>
    <w:rsid w:val="008E37E8"/>
    <w:rsid w:val="008E57FE"/>
    <w:rsid w:val="008F1BB1"/>
    <w:rsid w:val="008F297C"/>
    <w:rsid w:val="008F38D4"/>
    <w:rsid w:val="008F4267"/>
    <w:rsid w:val="008F4A49"/>
    <w:rsid w:val="008F5450"/>
    <w:rsid w:val="00904717"/>
    <w:rsid w:val="0091013E"/>
    <w:rsid w:val="00910F3D"/>
    <w:rsid w:val="00913B00"/>
    <w:rsid w:val="00926C00"/>
    <w:rsid w:val="0094686C"/>
    <w:rsid w:val="00946D86"/>
    <w:rsid w:val="00956614"/>
    <w:rsid w:val="00961571"/>
    <w:rsid w:val="009621BF"/>
    <w:rsid w:val="00967982"/>
    <w:rsid w:val="00967EB2"/>
    <w:rsid w:val="00970CD3"/>
    <w:rsid w:val="00972888"/>
    <w:rsid w:val="0097496B"/>
    <w:rsid w:val="00976AC8"/>
    <w:rsid w:val="00976B19"/>
    <w:rsid w:val="00983109"/>
    <w:rsid w:val="00983616"/>
    <w:rsid w:val="0098361D"/>
    <w:rsid w:val="00983E36"/>
    <w:rsid w:val="00990701"/>
    <w:rsid w:val="009929EF"/>
    <w:rsid w:val="00994F69"/>
    <w:rsid w:val="00995757"/>
    <w:rsid w:val="00995C48"/>
    <w:rsid w:val="009A5091"/>
    <w:rsid w:val="009B3183"/>
    <w:rsid w:val="009B4C94"/>
    <w:rsid w:val="009B5674"/>
    <w:rsid w:val="009C5DB7"/>
    <w:rsid w:val="009D0199"/>
    <w:rsid w:val="009D183E"/>
    <w:rsid w:val="009D6321"/>
    <w:rsid w:val="009D7C87"/>
    <w:rsid w:val="009E2371"/>
    <w:rsid w:val="009E411B"/>
    <w:rsid w:val="009E4310"/>
    <w:rsid w:val="009E502A"/>
    <w:rsid w:val="009E565D"/>
    <w:rsid w:val="009E71A8"/>
    <w:rsid w:val="009E745E"/>
    <w:rsid w:val="009F5B85"/>
    <w:rsid w:val="00A01E1B"/>
    <w:rsid w:val="00A04323"/>
    <w:rsid w:val="00A04828"/>
    <w:rsid w:val="00A04D0F"/>
    <w:rsid w:val="00A05D57"/>
    <w:rsid w:val="00A100E9"/>
    <w:rsid w:val="00A125D1"/>
    <w:rsid w:val="00A1326E"/>
    <w:rsid w:val="00A16EEC"/>
    <w:rsid w:val="00A23DB3"/>
    <w:rsid w:val="00A25DA8"/>
    <w:rsid w:val="00A301A4"/>
    <w:rsid w:val="00A31532"/>
    <w:rsid w:val="00A32B5A"/>
    <w:rsid w:val="00A36B18"/>
    <w:rsid w:val="00A43634"/>
    <w:rsid w:val="00A4718B"/>
    <w:rsid w:val="00A47CA5"/>
    <w:rsid w:val="00A507DA"/>
    <w:rsid w:val="00A50A66"/>
    <w:rsid w:val="00A5211A"/>
    <w:rsid w:val="00A53F8A"/>
    <w:rsid w:val="00A5663B"/>
    <w:rsid w:val="00A61166"/>
    <w:rsid w:val="00A675FE"/>
    <w:rsid w:val="00A760A3"/>
    <w:rsid w:val="00A813ED"/>
    <w:rsid w:val="00A9108E"/>
    <w:rsid w:val="00A91413"/>
    <w:rsid w:val="00A91D8D"/>
    <w:rsid w:val="00A93F57"/>
    <w:rsid w:val="00A945BC"/>
    <w:rsid w:val="00A95086"/>
    <w:rsid w:val="00A95FA5"/>
    <w:rsid w:val="00A976AB"/>
    <w:rsid w:val="00A97C0F"/>
    <w:rsid w:val="00A97D37"/>
    <w:rsid w:val="00AA3FE5"/>
    <w:rsid w:val="00AA4A34"/>
    <w:rsid w:val="00AA5747"/>
    <w:rsid w:val="00AA7411"/>
    <w:rsid w:val="00AB0D68"/>
    <w:rsid w:val="00AB60FD"/>
    <w:rsid w:val="00AC398A"/>
    <w:rsid w:val="00AC4E87"/>
    <w:rsid w:val="00AC629E"/>
    <w:rsid w:val="00AE6BE6"/>
    <w:rsid w:val="00AF4A5B"/>
    <w:rsid w:val="00AF56A5"/>
    <w:rsid w:val="00B01AB1"/>
    <w:rsid w:val="00B01C63"/>
    <w:rsid w:val="00B026F5"/>
    <w:rsid w:val="00B02742"/>
    <w:rsid w:val="00B05F56"/>
    <w:rsid w:val="00B11829"/>
    <w:rsid w:val="00B13582"/>
    <w:rsid w:val="00B13ADD"/>
    <w:rsid w:val="00B26323"/>
    <w:rsid w:val="00B3338C"/>
    <w:rsid w:val="00B3413A"/>
    <w:rsid w:val="00B40967"/>
    <w:rsid w:val="00B437A7"/>
    <w:rsid w:val="00B4415B"/>
    <w:rsid w:val="00B53DA5"/>
    <w:rsid w:val="00B55744"/>
    <w:rsid w:val="00B55DF2"/>
    <w:rsid w:val="00B6041E"/>
    <w:rsid w:val="00B642FB"/>
    <w:rsid w:val="00B671BF"/>
    <w:rsid w:val="00B70340"/>
    <w:rsid w:val="00B74E3A"/>
    <w:rsid w:val="00B84D35"/>
    <w:rsid w:val="00B879A8"/>
    <w:rsid w:val="00B92473"/>
    <w:rsid w:val="00B94018"/>
    <w:rsid w:val="00B95053"/>
    <w:rsid w:val="00B95A2C"/>
    <w:rsid w:val="00B96E4E"/>
    <w:rsid w:val="00BA096E"/>
    <w:rsid w:val="00BA7ACE"/>
    <w:rsid w:val="00BC24F5"/>
    <w:rsid w:val="00BC4C99"/>
    <w:rsid w:val="00BD4351"/>
    <w:rsid w:val="00BD6248"/>
    <w:rsid w:val="00BE071A"/>
    <w:rsid w:val="00BE15E0"/>
    <w:rsid w:val="00BE74F5"/>
    <w:rsid w:val="00BF1F70"/>
    <w:rsid w:val="00C0166C"/>
    <w:rsid w:val="00C03445"/>
    <w:rsid w:val="00C05758"/>
    <w:rsid w:val="00C06AA9"/>
    <w:rsid w:val="00C1158E"/>
    <w:rsid w:val="00C15DF5"/>
    <w:rsid w:val="00C164A8"/>
    <w:rsid w:val="00C166D6"/>
    <w:rsid w:val="00C2008B"/>
    <w:rsid w:val="00C2473E"/>
    <w:rsid w:val="00C247C6"/>
    <w:rsid w:val="00C3281B"/>
    <w:rsid w:val="00C33695"/>
    <w:rsid w:val="00C4054E"/>
    <w:rsid w:val="00C42F90"/>
    <w:rsid w:val="00C4391F"/>
    <w:rsid w:val="00C43C49"/>
    <w:rsid w:val="00C445E0"/>
    <w:rsid w:val="00C44D3D"/>
    <w:rsid w:val="00C46A25"/>
    <w:rsid w:val="00C472E0"/>
    <w:rsid w:val="00C516A4"/>
    <w:rsid w:val="00C52506"/>
    <w:rsid w:val="00C54FE0"/>
    <w:rsid w:val="00C614BF"/>
    <w:rsid w:val="00C6210F"/>
    <w:rsid w:val="00C70CBA"/>
    <w:rsid w:val="00C72B03"/>
    <w:rsid w:val="00C75550"/>
    <w:rsid w:val="00C7573C"/>
    <w:rsid w:val="00C8235E"/>
    <w:rsid w:val="00C8238B"/>
    <w:rsid w:val="00C8463D"/>
    <w:rsid w:val="00C85527"/>
    <w:rsid w:val="00C8562F"/>
    <w:rsid w:val="00C93FA7"/>
    <w:rsid w:val="00C9659A"/>
    <w:rsid w:val="00CA201B"/>
    <w:rsid w:val="00CA2E38"/>
    <w:rsid w:val="00CA36F8"/>
    <w:rsid w:val="00CA37E4"/>
    <w:rsid w:val="00CA3BB6"/>
    <w:rsid w:val="00CA511E"/>
    <w:rsid w:val="00CB6DD2"/>
    <w:rsid w:val="00CB78AF"/>
    <w:rsid w:val="00CC0D4D"/>
    <w:rsid w:val="00CC4817"/>
    <w:rsid w:val="00CC62EE"/>
    <w:rsid w:val="00CD296C"/>
    <w:rsid w:val="00CD2C99"/>
    <w:rsid w:val="00CD5D8E"/>
    <w:rsid w:val="00CD64A1"/>
    <w:rsid w:val="00CE284C"/>
    <w:rsid w:val="00CE44EF"/>
    <w:rsid w:val="00CE66F2"/>
    <w:rsid w:val="00CE6F95"/>
    <w:rsid w:val="00CF29EA"/>
    <w:rsid w:val="00D00210"/>
    <w:rsid w:val="00D0079A"/>
    <w:rsid w:val="00D00A96"/>
    <w:rsid w:val="00D11B9D"/>
    <w:rsid w:val="00D204B0"/>
    <w:rsid w:val="00D253C5"/>
    <w:rsid w:val="00D26F0A"/>
    <w:rsid w:val="00D31D79"/>
    <w:rsid w:val="00D330DE"/>
    <w:rsid w:val="00D45794"/>
    <w:rsid w:val="00D46633"/>
    <w:rsid w:val="00D47B0B"/>
    <w:rsid w:val="00D47DD1"/>
    <w:rsid w:val="00D62887"/>
    <w:rsid w:val="00D62B92"/>
    <w:rsid w:val="00D656AE"/>
    <w:rsid w:val="00D6597D"/>
    <w:rsid w:val="00D65ED2"/>
    <w:rsid w:val="00D71EEB"/>
    <w:rsid w:val="00D802AA"/>
    <w:rsid w:val="00D84A76"/>
    <w:rsid w:val="00D87E54"/>
    <w:rsid w:val="00D9564B"/>
    <w:rsid w:val="00D96D44"/>
    <w:rsid w:val="00D97CAA"/>
    <w:rsid w:val="00DA324C"/>
    <w:rsid w:val="00DA37BD"/>
    <w:rsid w:val="00DC01C6"/>
    <w:rsid w:val="00DC4BFF"/>
    <w:rsid w:val="00DC5CD3"/>
    <w:rsid w:val="00DC6852"/>
    <w:rsid w:val="00DC7E11"/>
    <w:rsid w:val="00DD05A3"/>
    <w:rsid w:val="00DD2924"/>
    <w:rsid w:val="00DD2BD1"/>
    <w:rsid w:val="00DD4064"/>
    <w:rsid w:val="00DD4159"/>
    <w:rsid w:val="00DD51D4"/>
    <w:rsid w:val="00DD747C"/>
    <w:rsid w:val="00DE1AF9"/>
    <w:rsid w:val="00DF192E"/>
    <w:rsid w:val="00DF7068"/>
    <w:rsid w:val="00E03FAE"/>
    <w:rsid w:val="00E07E60"/>
    <w:rsid w:val="00E10AB6"/>
    <w:rsid w:val="00E144E7"/>
    <w:rsid w:val="00E14718"/>
    <w:rsid w:val="00E14FF7"/>
    <w:rsid w:val="00E24B12"/>
    <w:rsid w:val="00E26695"/>
    <w:rsid w:val="00E275A2"/>
    <w:rsid w:val="00E27CDC"/>
    <w:rsid w:val="00E30CDE"/>
    <w:rsid w:val="00E33BFF"/>
    <w:rsid w:val="00E522E0"/>
    <w:rsid w:val="00E52865"/>
    <w:rsid w:val="00E6119F"/>
    <w:rsid w:val="00E620F4"/>
    <w:rsid w:val="00E65389"/>
    <w:rsid w:val="00E705F2"/>
    <w:rsid w:val="00E70687"/>
    <w:rsid w:val="00E71DBE"/>
    <w:rsid w:val="00E769F3"/>
    <w:rsid w:val="00E83D9A"/>
    <w:rsid w:val="00E8599E"/>
    <w:rsid w:val="00E87BB6"/>
    <w:rsid w:val="00E92A33"/>
    <w:rsid w:val="00E92F6B"/>
    <w:rsid w:val="00E95979"/>
    <w:rsid w:val="00E966D0"/>
    <w:rsid w:val="00EA344D"/>
    <w:rsid w:val="00EA4470"/>
    <w:rsid w:val="00EA495D"/>
    <w:rsid w:val="00EB0170"/>
    <w:rsid w:val="00EB0D90"/>
    <w:rsid w:val="00EB7BB0"/>
    <w:rsid w:val="00EC1433"/>
    <w:rsid w:val="00EC3B9D"/>
    <w:rsid w:val="00EC447D"/>
    <w:rsid w:val="00EC467E"/>
    <w:rsid w:val="00EC66D6"/>
    <w:rsid w:val="00ED118E"/>
    <w:rsid w:val="00ED1E59"/>
    <w:rsid w:val="00ED216F"/>
    <w:rsid w:val="00ED2BE5"/>
    <w:rsid w:val="00EE01BA"/>
    <w:rsid w:val="00EE194E"/>
    <w:rsid w:val="00EE33BC"/>
    <w:rsid w:val="00EE4AF5"/>
    <w:rsid w:val="00EE6171"/>
    <w:rsid w:val="00EF0C68"/>
    <w:rsid w:val="00EF13E3"/>
    <w:rsid w:val="00EF1CF1"/>
    <w:rsid w:val="00EF5573"/>
    <w:rsid w:val="00F01C00"/>
    <w:rsid w:val="00F04A26"/>
    <w:rsid w:val="00F11C98"/>
    <w:rsid w:val="00F146D0"/>
    <w:rsid w:val="00F16D78"/>
    <w:rsid w:val="00F20722"/>
    <w:rsid w:val="00F20E3F"/>
    <w:rsid w:val="00F21B29"/>
    <w:rsid w:val="00F3007E"/>
    <w:rsid w:val="00F30FF5"/>
    <w:rsid w:val="00F3491E"/>
    <w:rsid w:val="00F417BA"/>
    <w:rsid w:val="00F436ED"/>
    <w:rsid w:val="00F478B3"/>
    <w:rsid w:val="00F54ADA"/>
    <w:rsid w:val="00F54C9C"/>
    <w:rsid w:val="00F57FE8"/>
    <w:rsid w:val="00F614E0"/>
    <w:rsid w:val="00F63DF6"/>
    <w:rsid w:val="00F64FB6"/>
    <w:rsid w:val="00F65508"/>
    <w:rsid w:val="00F65EF0"/>
    <w:rsid w:val="00F671F0"/>
    <w:rsid w:val="00F750A7"/>
    <w:rsid w:val="00F75D31"/>
    <w:rsid w:val="00F77980"/>
    <w:rsid w:val="00F84872"/>
    <w:rsid w:val="00F84A4E"/>
    <w:rsid w:val="00F91368"/>
    <w:rsid w:val="00F937C0"/>
    <w:rsid w:val="00F96A45"/>
    <w:rsid w:val="00FA040C"/>
    <w:rsid w:val="00FA1CD3"/>
    <w:rsid w:val="00FA27C1"/>
    <w:rsid w:val="00FA3496"/>
    <w:rsid w:val="00FA57EB"/>
    <w:rsid w:val="00FB32B3"/>
    <w:rsid w:val="00FC1F30"/>
    <w:rsid w:val="00FC49AC"/>
    <w:rsid w:val="00FC5413"/>
    <w:rsid w:val="00FD15C8"/>
    <w:rsid w:val="00FD373F"/>
    <w:rsid w:val="00FD4DC7"/>
    <w:rsid w:val="00FF04AD"/>
    <w:rsid w:val="00FF0ED8"/>
    <w:rsid w:val="00FF15D4"/>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1EA98A-7A84-4F85-9348-AE8372AC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Calibri" w:hAnsi="Calibr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1B3428"/>
    <w:rPr>
      <w:rFonts w:ascii="Cambria" w:hAnsi="Cambria" w:cs="Arial"/>
      <w:bCs/>
      <w:smallCaps/>
      <w:color w:val="548DD4"/>
      <w:kern w:val="32"/>
      <w:sz w:val="36"/>
      <w:szCs w:val="32"/>
    </w:rPr>
  </w:style>
  <w:style w:type="character" w:customStyle="1" w:styleId="2Char">
    <w:name w:val="Επικεφαλίδα 2 Char"/>
    <w:link w:val="2"/>
    <w:rsid w:val="001B3428"/>
    <w:rPr>
      <w:rFonts w:ascii="Cambria" w:hAnsi="Cambria" w:cs="Arial"/>
      <w:bCs/>
      <w:iCs/>
      <w:color w:val="548DD4"/>
      <w:sz w:val="28"/>
      <w:szCs w:val="28"/>
    </w:rPr>
  </w:style>
  <w:style w:type="character" w:customStyle="1" w:styleId="3Char">
    <w:name w:val="Επικεφαλίδα 3 Char"/>
    <w:link w:val="3"/>
    <w:rsid w:val="001B3428"/>
    <w:rPr>
      <w:rFonts w:ascii="Cambria" w:hAnsi="Cambria" w:cs="Arial"/>
      <w:bCs/>
      <w:i/>
      <w:color w:val="548DD4"/>
      <w:sz w:val="28"/>
      <w:szCs w:val="26"/>
    </w:rPr>
  </w:style>
  <w:style w:type="character" w:customStyle="1" w:styleId="4Char">
    <w:name w:val="Επικεφαλίδα 4 Char"/>
    <w:link w:val="4"/>
    <w:rsid w:val="001B3428"/>
    <w:rPr>
      <w:rFonts w:ascii="Cambria" w:hAnsi="Cambria"/>
      <w:b/>
      <w:bCs/>
      <w:i/>
      <w:color w:val="000000"/>
      <w:sz w:val="22"/>
      <w:szCs w:val="28"/>
    </w:rPr>
  </w:style>
  <w:style w:type="character" w:customStyle="1" w:styleId="5Char">
    <w:name w:val="Επικεφαλίδα 5 Char"/>
    <w:link w:val="5"/>
    <w:semiHidden/>
    <w:rsid w:val="001B3428"/>
    <w:rPr>
      <w:rFonts w:ascii="Calibri" w:eastAsia="Times New Roman" w:hAnsi="Calibri" w:cs="Times New Roman"/>
      <w:b/>
      <w:bCs/>
      <w:i/>
      <w:iCs/>
      <w:color w:val="000000"/>
      <w:sz w:val="26"/>
      <w:szCs w:val="26"/>
    </w:rPr>
  </w:style>
  <w:style w:type="character" w:customStyle="1" w:styleId="6Char">
    <w:name w:val="Επικεφαλίδα 6 Char"/>
    <w:link w:val="6"/>
    <w:semiHidden/>
    <w:rsid w:val="001B3428"/>
    <w:rPr>
      <w:rFonts w:ascii="Calibri" w:eastAsia="Times New Roman" w:hAnsi="Calibri" w:cs="Times New Roman"/>
      <w:b/>
      <w:bCs/>
      <w:color w:val="000000"/>
      <w:sz w:val="22"/>
      <w:szCs w:val="22"/>
    </w:rPr>
  </w:style>
  <w:style w:type="character" w:customStyle="1" w:styleId="7Char">
    <w:name w:val="Επικεφαλίδα 7 Char"/>
    <w:link w:val="7"/>
    <w:semiHidden/>
    <w:rsid w:val="001B3428"/>
    <w:rPr>
      <w:rFonts w:ascii="Calibri" w:eastAsia="Times New Roman" w:hAnsi="Calibri" w:cs="Times New Roman"/>
      <w:color w:val="000000"/>
      <w:sz w:val="24"/>
      <w:szCs w:val="24"/>
    </w:rPr>
  </w:style>
  <w:style w:type="character" w:customStyle="1" w:styleId="8Char">
    <w:name w:val="Επικεφαλίδα 8 Char"/>
    <w:link w:val="8"/>
    <w:semiHidden/>
    <w:rsid w:val="001B3428"/>
    <w:rPr>
      <w:rFonts w:ascii="Calibri" w:eastAsia="Times New Roman" w:hAnsi="Calibri" w:cs="Times New Roman"/>
      <w:i/>
      <w:iCs/>
      <w:color w:val="000000"/>
      <w:sz w:val="24"/>
      <w:szCs w:val="24"/>
    </w:rPr>
  </w:style>
  <w:style w:type="character" w:customStyle="1" w:styleId="9Char">
    <w:name w:val="Επικεφαλίδα 9 Char"/>
    <w:link w:val="9"/>
    <w:semiHidden/>
    <w:rsid w:val="001B3428"/>
    <w:rPr>
      <w:rFonts w:ascii="Cambria" w:eastAsia="Times New Roman" w:hAnsi="Cambria" w:cs="Times New Roman"/>
      <w:color w:val="000000"/>
      <w:sz w:val="22"/>
      <w:szCs w:val="22"/>
    </w:rPr>
  </w:style>
  <w:style w:type="paragraph" w:styleId="a3">
    <w:name w:val="caption"/>
    <w:basedOn w:val="a"/>
    <w:next w:val="a"/>
    <w:uiPriority w:val="35"/>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Char2">
    <w:name w:val="Τίτλος Char"/>
    <w:link w:val="a7"/>
    <w:rsid w:val="00A5663B"/>
    <w:rPr>
      <w:rFonts w:ascii="Cambria" w:eastAsia="Times New Roman" w:hAnsi="Cambria" w:cs="Times New Roman"/>
      <w:color w:val="17365D"/>
      <w:spacing w:val="5"/>
      <w:kern w:val="28"/>
      <w:sz w:val="52"/>
      <w:szCs w:val="52"/>
    </w:rPr>
  </w:style>
  <w:style w:type="paragraph" w:styleId="a8">
    <w:name w:val="List Paragraph"/>
    <w:basedOn w:val="a"/>
    <w:link w:val="Char3"/>
    <w:uiPriority w:val="34"/>
    <w:qFormat/>
    <w:rsid w:val="00E70687"/>
    <w:pPr>
      <w:ind w:left="720"/>
      <w:contextualSpacing/>
    </w:pPr>
  </w:style>
  <w:style w:type="paragraph" w:styleId="a9">
    <w:name w:val="footnote text"/>
    <w:basedOn w:val="a"/>
    <w:link w:val="Char4"/>
    <w:uiPriority w:val="99"/>
    <w:semiHidden/>
    <w:unhideWhenUsed/>
    <w:rsid w:val="00DA37BD"/>
    <w:pPr>
      <w:spacing w:after="0" w:line="240" w:lineRule="auto"/>
      <w:jc w:val="left"/>
    </w:pPr>
    <w:rPr>
      <w:rFonts w:ascii="Calibri" w:eastAsia="Calibri" w:hAnsi="Calibri"/>
      <w:color w:val="auto"/>
      <w:sz w:val="20"/>
      <w:szCs w:val="20"/>
    </w:rPr>
  </w:style>
  <w:style w:type="character" w:customStyle="1" w:styleId="Char4">
    <w:name w:val="Κείμενο υποσημείωσης Char"/>
    <w:link w:val="a9"/>
    <w:uiPriority w:val="99"/>
    <w:semiHidden/>
    <w:rsid w:val="00DA37BD"/>
    <w:rPr>
      <w:rFonts w:ascii="Calibri" w:eastAsia="Calibri" w:hAnsi="Calibri" w:cs="Times New Roman"/>
    </w:rPr>
  </w:style>
  <w:style w:type="character" w:styleId="aa">
    <w:name w:val="footnote reference"/>
    <w:uiPriority w:val="99"/>
    <w:semiHidden/>
    <w:unhideWhenUsed/>
    <w:rsid w:val="00DA37BD"/>
    <w:rPr>
      <w:vertAlign w:val="superscript"/>
    </w:rPr>
  </w:style>
  <w:style w:type="character" w:styleId="ab">
    <w:name w:val="Strong"/>
    <w:uiPriority w:val="22"/>
    <w:qFormat/>
    <w:rsid w:val="00C8463D"/>
    <w:rPr>
      <w:b/>
      <w:bCs/>
    </w:rPr>
  </w:style>
  <w:style w:type="table" w:styleId="ac">
    <w:name w:val="Table Grid"/>
    <w:basedOn w:val="a1"/>
    <w:uiPriority w:val="59"/>
    <w:rsid w:val="004E6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303AC"/>
    <w:rPr>
      <w:rFonts w:ascii="Times New Roman" w:hAnsi="Times New Roman"/>
      <w:sz w:val="24"/>
      <w:szCs w:val="24"/>
    </w:rPr>
  </w:style>
  <w:style w:type="character" w:styleId="-">
    <w:name w:val="Hyperlink"/>
    <w:uiPriority w:val="99"/>
    <w:unhideWhenUsed/>
    <w:rsid w:val="000C33EC"/>
    <w:rPr>
      <w:color w:val="0000FF"/>
      <w:u w:val="single"/>
    </w:rPr>
  </w:style>
  <w:style w:type="paragraph" w:styleId="ad">
    <w:name w:val="No Spacing"/>
    <w:uiPriority w:val="1"/>
    <w:qFormat/>
    <w:rsid w:val="00681B6D"/>
    <w:rPr>
      <w:rFonts w:ascii="Calibri" w:eastAsia="Calibri" w:hAnsi="Calibri"/>
      <w:sz w:val="22"/>
      <w:szCs w:val="22"/>
    </w:rPr>
  </w:style>
  <w:style w:type="table" w:customStyle="1" w:styleId="21">
    <w:name w:val="Απλός πίνακας 21"/>
    <w:basedOn w:val="a1"/>
    <w:uiPriority w:val="42"/>
    <w:rsid w:val="00681B6D"/>
    <w:rPr>
      <w:rFonts w:ascii="Calibri" w:eastAsia="Calibri" w:hAnsi="Calibri"/>
      <w:sz w:val="22"/>
      <w:szCs w:val="22"/>
    </w:rPr>
    <w:tblPr>
      <w:tblStyleRowBandSize w:val="1"/>
      <w:tblStyleColBandSize w:val="1"/>
      <w:tblBorders>
        <w:top w:val="single" w:sz="4" w:space="0" w:color="7F7F7F"/>
        <w:left w:val="nil"/>
        <w:bottom w:val="single" w:sz="4" w:space="0" w:color="7F7F7F"/>
        <w:right w:val="nil"/>
        <w:insideH w:val="nil"/>
        <w:insideV w:val="nil"/>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e">
    <w:name w:val="annotation reference"/>
    <w:uiPriority w:val="99"/>
    <w:semiHidden/>
    <w:unhideWhenUsed/>
    <w:rsid w:val="00681B6D"/>
    <w:rPr>
      <w:sz w:val="16"/>
      <w:szCs w:val="16"/>
    </w:rPr>
  </w:style>
  <w:style w:type="paragraph" w:styleId="af">
    <w:name w:val="annotation text"/>
    <w:basedOn w:val="a"/>
    <w:link w:val="Char5"/>
    <w:uiPriority w:val="99"/>
    <w:semiHidden/>
    <w:unhideWhenUsed/>
    <w:rsid w:val="00681B6D"/>
    <w:pPr>
      <w:spacing w:after="160" w:line="240" w:lineRule="auto"/>
      <w:jc w:val="left"/>
    </w:pPr>
    <w:rPr>
      <w:rFonts w:ascii="Calibri" w:eastAsia="Calibri" w:hAnsi="Calibri"/>
      <w:color w:val="auto"/>
      <w:sz w:val="20"/>
      <w:szCs w:val="20"/>
    </w:rPr>
  </w:style>
  <w:style w:type="character" w:customStyle="1" w:styleId="Char5">
    <w:name w:val="Κείμενο σχολίου Char"/>
    <w:link w:val="af"/>
    <w:uiPriority w:val="99"/>
    <w:semiHidden/>
    <w:rsid w:val="00681B6D"/>
    <w:rPr>
      <w:rFonts w:ascii="Calibri" w:eastAsia="Calibri" w:hAnsi="Calibri" w:cs="Times New Roman"/>
    </w:rPr>
  </w:style>
  <w:style w:type="paragraph" w:styleId="af0">
    <w:name w:val="annotation subject"/>
    <w:basedOn w:val="af"/>
    <w:next w:val="af"/>
    <w:link w:val="Char6"/>
    <w:uiPriority w:val="99"/>
    <w:semiHidden/>
    <w:unhideWhenUsed/>
    <w:rsid w:val="00EA4470"/>
    <w:pPr>
      <w:spacing w:after="200"/>
      <w:jc w:val="both"/>
    </w:pPr>
    <w:rPr>
      <w:rFonts w:ascii="Cambria" w:eastAsia="Times New Roman" w:hAnsi="Cambria"/>
      <w:b/>
      <w:bCs/>
      <w:color w:val="000000"/>
    </w:rPr>
  </w:style>
  <w:style w:type="character" w:customStyle="1" w:styleId="Char6">
    <w:name w:val="Θέμα σχολίου Char"/>
    <w:link w:val="af0"/>
    <w:uiPriority w:val="99"/>
    <w:semiHidden/>
    <w:rsid w:val="00EA4470"/>
    <w:rPr>
      <w:rFonts w:ascii="Cambria" w:eastAsia="Calibri" w:hAnsi="Cambria" w:cs="Times New Roman"/>
      <w:b/>
      <w:bCs/>
      <w:color w:val="000000"/>
    </w:rPr>
  </w:style>
  <w:style w:type="character" w:customStyle="1" w:styleId="Char3">
    <w:name w:val="Παράγραφος λίστας Char"/>
    <w:basedOn w:val="a0"/>
    <w:link w:val="a8"/>
    <w:uiPriority w:val="34"/>
    <w:rsid w:val="005F4313"/>
    <w:rPr>
      <w:rFonts w:ascii="Cambria" w:hAnsi="Cambria"/>
      <w:color w:val="000000"/>
      <w:sz w:val="22"/>
      <w:szCs w:val="22"/>
    </w:rPr>
  </w:style>
  <w:style w:type="paragraph" w:styleId="af1">
    <w:name w:val="Subtitle"/>
    <w:basedOn w:val="a"/>
    <w:next w:val="a"/>
    <w:link w:val="Char7"/>
    <w:qFormat/>
    <w:rsid w:val="00465ED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7">
    <w:name w:val="Υπότιτλος Char"/>
    <w:basedOn w:val="a0"/>
    <w:link w:val="af1"/>
    <w:rsid w:val="00465ED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32190">
      <w:bodyDiv w:val="1"/>
      <w:marLeft w:val="0"/>
      <w:marRight w:val="0"/>
      <w:marTop w:val="0"/>
      <w:marBottom w:val="0"/>
      <w:divBdr>
        <w:top w:val="none" w:sz="0" w:space="0" w:color="auto"/>
        <w:left w:val="none" w:sz="0" w:space="0" w:color="auto"/>
        <w:bottom w:val="none" w:sz="0" w:space="0" w:color="auto"/>
        <w:right w:val="none" w:sz="0" w:space="0" w:color="auto"/>
      </w:divBdr>
      <w:divsChild>
        <w:div w:id="717629349">
          <w:marLeft w:val="0"/>
          <w:marRight w:val="0"/>
          <w:marTop w:val="0"/>
          <w:marBottom w:val="0"/>
          <w:divBdr>
            <w:top w:val="none" w:sz="0" w:space="0" w:color="auto"/>
            <w:left w:val="none" w:sz="0" w:space="0" w:color="auto"/>
            <w:bottom w:val="none" w:sz="0" w:space="0" w:color="auto"/>
            <w:right w:val="none" w:sz="0" w:space="0" w:color="auto"/>
          </w:divBdr>
        </w:div>
        <w:div w:id="1852449327">
          <w:marLeft w:val="0"/>
          <w:marRight w:val="0"/>
          <w:marTop w:val="0"/>
          <w:marBottom w:val="0"/>
          <w:divBdr>
            <w:top w:val="none" w:sz="0" w:space="0" w:color="auto"/>
            <w:left w:val="none" w:sz="0" w:space="0" w:color="auto"/>
            <w:bottom w:val="none" w:sz="0" w:space="0" w:color="auto"/>
            <w:right w:val="none" w:sz="0" w:space="0" w:color="auto"/>
          </w:divBdr>
        </w:div>
        <w:div w:id="1823932958">
          <w:marLeft w:val="0"/>
          <w:marRight w:val="0"/>
          <w:marTop w:val="0"/>
          <w:marBottom w:val="0"/>
          <w:divBdr>
            <w:top w:val="none" w:sz="0" w:space="0" w:color="auto"/>
            <w:left w:val="none" w:sz="0" w:space="0" w:color="auto"/>
            <w:bottom w:val="none" w:sz="0" w:space="0" w:color="auto"/>
            <w:right w:val="none" w:sz="0" w:space="0" w:color="auto"/>
          </w:divBdr>
        </w:div>
        <w:div w:id="1258948951">
          <w:marLeft w:val="0"/>
          <w:marRight w:val="0"/>
          <w:marTop w:val="0"/>
          <w:marBottom w:val="0"/>
          <w:divBdr>
            <w:top w:val="none" w:sz="0" w:space="0" w:color="auto"/>
            <w:left w:val="none" w:sz="0" w:space="0" w:color="auto"/>
            <w:bottom w:val="none" w:sz="0" w:space="0" w:color="auto"/>
            <w:right w:val="none" w:sz="0" w:space="0" w:color="auto"/>
          </w:divBdr>
        </w:div>
        <w:div w:id="1427727796">
          <w:marLeft w:val="0"/>
          <w:marRight w:val="0"/>
          <w:marTop w:val="0"/>
          <w:marBottom w:val="0"/>
          <w:divBdr>
            <w:top w:val="none" w:sz="0" w:space="0" w:color="auto"/>
            <w:left w:val="none" w:sz="0" w:space="0" w:color="auto"/>
            <w:bottom w:val="none" w:sz="0" w:space="0" w:color="auto"/>
            <w:right w:val="none" w:sz="0" w:space="0" w:color="auto"/>
          </w:divBdr>
        </w:div>
        <w:div w:id="1155954222">
          <w:marLeft w:val="0"/>
          <w:marRight w:val="0"/>
          <w:marTop w:val="0"/>
          <w:marBottom w:val="0"/>
          <w:divBdr>
            <w:top w:val="none" w:sz="0" w:space="0" w:color="auto"/>
            <w:left w:val="none" w:sz="0" w:space="0" w:color="auto"/>
            <w:bottom w:val="none" w:sz="0" w:space="0" w:color="auto"/>
            <w:right w:val="none" w:sz="0" w:space="0" w:color="auto"/>
          </w:divBdr>
        </w:div>
        <w:div w:id="1901743705">
          <w:marLeft w:val="0"/>
          <w:marRight w:val="0"/>
          <w:marTop w:val="0"/>
          <w:marBottom w:val="0"/>
          <w:divBdr>
            <w:top w:val="none" w:sz="0" w:space="0" w:color="auto"/>
            <w:left w:val="none" w:sz="0" w:space="0" w:color="auto"/>
            <w:bottom w:val="none" w:sz="0" w:space="0" w:color="auto"/>
            <w:right w:val="none" w:sz="0" w:space="0" w:color="auto"/>
          </w:divBdr>
        </w:div>
        <w:div w:id="1036469296">
          <w:marLeft w:val="0"/>
          <w:marRight w:val="0"/>
          <w:marTop w:val="0"/>
          <w:marBottom w:val="0"/>
          <w:divBdr>
            <w:top w:val="none" w:sz="0" w:space="0" w:color="auto"/>
            <w:left w:val="none" w:sz="0" w:space="0" w:color="auto"/>
            <w:bottom w:val="none" w:sz="0" w:space="0" w:color="auto"/>
            <w:right w:val="none" w:sz="0" w:space="0" w:color="auto"/>
          </w:divBdr>
        </w:div>
        <w:div w:id="183717160">
          <w:marLeft w:val="0"/>
          <w:marRight w:val="0"/>
          <w:marTop w:val="0"/>
          <w:marBottom w:val="0"/>
          <w:divBdr>
            <w:top w:val="none" w:sz="0" w:space="0" w:color="auto"/>
            <w:left w:val="none" w:sz="0" w:space="0" w:color="auto"/>
            <w:bottom w:val="none" w:sz="0" w:space="0" w:color="auto"/>
            <w:right w:val="none" w:sz="0" w:space="0" w:color="auto"/>
          </w:divBdr>
        </w:div>
        <w:div w:id="276647548">
          <w:marLeft w:val="0"/>
          <w:marRight w:val="0"/>
          <w:marTop w:val="0"/>
          <w:marBottom w:val="0"/>
          <w:divBdr>
            <w:top w:val="none" w:sz="0" w:space="0" w:color="auto"/>
            <w:left w:val="none" w:sz="0" w:space="0" w:color="auto"/>
            <w:bottom w:val="none" w:sz="0" w:space="0" w:color="auto"/>
            <w:right w:val="none" w:sz="0" w:space="0" w:color="auto"/>
          </w:divBdr>
        </w:div>
        <w:div w:id="67313716">
          <w:marLeft w:val="0"/>
          <w:marRight w:val="0"/>
          <w:marTop w:val="0"/>
          <w:marBottom w:val="0"/>
          <w:divBdr>
            <w:top w:val="none" w:sz="0" w:space="0" w:color="auto"/>
            <w:left w:val="none" w:sz="0" w:space="0" w:color="auto"/>
            <w:bottom w:val="none" w:sz="0" w:space="0" w:color="auto"/>
            <w:right w:val="none" w:sz="0" w:space="0" w:color="auto"/>
          </w:divBdr>
        </w:div>
        <w:div w:id="2048793671">
          <w:marLeft w:val="0"/>
          <w:marRight w:val="0"/>
          <w:marTop w:val="0"/>
          <w:marBottom w:val="0"/>
          <w:divBdr>
            <w:top w:val="none" w:sz="0" w:space="0" w:color="auto"/>
            <w:left w:val="none" w:sz="0" w:space="0" w:color="auto"/>
            <w:bottom w:val="none" w:sz="0" w:space="0" w:color="auto"/>
            <w:right w:val="none" w:sz="0" w:space="0" w:color="auto"/>
          </w:divBdr>
        </w:div>
        <w:div w:id="1487672495">
          <w:marLeft w:val="0"/>
          <w:marRight w:val="0"/>
          <w:marTop w:val="0"/>
          <w:marBottom w:val="0"/>
          <w:divBdr>
            <w:top w:val="none" w:sz="0" w:space="0" w:color="auto"/>
            <w:left w:val="none" w:sz="0" w:space="0" w:color="auto"/>
            <w:bottom w:val="none" w:sz="0" w:space="0" w:color="auto"/>
            <w:right w:val="none" w:sz="0" w:space="0" w:color="auto"/>
          </w:divBdr>
        </w:div>
        <w:div w:id="2098477868">
          <w:marLeft w:val="0"/>
          <w:marRight w:val="0"/>
          <w:marTop w:val="0"/>
          <w:marBottom w:val="0"/>
          <w:divBdr>
            <w:top w:val="none" w:sz="0" w:space="0" w:color="auto"/>
            <w:left w:val="none" w:sz="0" w:space="0" w:color="auto"/>
            <w:bottom w:val="none" w:sz="0" w:space="0" w:color="auto"/>
            <w:right w:val="none" w:sz="0" w:space="0" w:color="auto"/>
          </w:divBdr>
        </w:div>
        <w:div w:id="293563390">
          <w:marLeft w:val="0"/>
          <w:marRight w:val="0"/>
          <w:marTop w:val="0"/>
          <w:marBottom w:val="0"/>
          <w:divBdr>
            <w:top w:val="none" w:sz="0" w:space="0" w:color="auto"/>
            <w:left w:val="none" w:sz="0" w:space="0" w:color="auto"/>
            <w:bottom w:val="none" w:sz="0" w:space="0" w:color="auto"/>
            <w:right w:val="none" w:sz="0" w:space="0" w:color="auto"/>
          </w:divBdr>
        </w:div>
        <w:div w:id="640426407">
          <w:marLeft w:val="0"/>
          <w:marRight w:val="0"/>
          <w:marTop w:val="0"/>
          <w:marBottom w:val="0"/>
          <w:divBdr>
            <w:top w:val="none" w:sz="0" w:space="0" w:color="auto"/>
            <w:left w:val="none" w:sz="0" w:space="0" w:color="auto"/>
            <w:bottom w:val="none" w:sz="0" w:space="0" w:color="auto"/>
            <w:right w:val="none" w:sz="0" w:space="0" w:color="auto"/>
          </w:divBdr>
        </w:div>
        <w:div w:id="370615778">
          <w:marLeft w:val="0"/>
          <w:marRight w:val="0"/>
          <w:marTop w:val="0"/>
          <w:marBottom w:val="0"/>
          <w:divBdr>
            <w:top w:val="none" w:sz="0" w:space="0" w:color="auto"/>
            <w:left w:val="none" w:sz="0" w:space="0" w:color="auto"/>
            <w:bottom w:val="none" w:sz="0" w:space="0" w:color="auto"/>
            <w:right w:val="none" w:sz="0" w:space="0" w:color="auto"/>
          </w:divBdr>
        </w:div>
        <w:div w:id="1472210868">
          <w:marLeft w:val="0"/>
          <w:marRight w:val="0"/>
          <w:marTop w:val="0"/>
          <w:marBottom w:val="0"/>
          <w:divBdr>
            <w:top w:val="none" w:sz="0" w:space="0" w:color="auto"/>
            <w:left w:val="none" w:sz="0" w:space="0" w:color="auto"/>
            <w:bottom w:val="none" w:sz="0" w:space="0" w:color="auto"/>
            <w:right w:val="none" w:sz="0" w:space="0" w:color="auto"/>
          </w:divBdr>
        </w:div>
        <w:div w:id="1017148784">
          <w:marLeft w:val="0"/>
          <w:marRight w:val="0"/>
          <w:marTop w:val="0"/>
          <w:marBottom w:val="0"/>
          <w:divBdr>
            <w:top w:val="none" w:sz="0" w:space="0" w:color="auto"/>
            <w:left w:val="none" w:sz="0" w:space="0" w:color="auto"/>
            <w:bottom w:val="none" w:sz="0" w:space="0" w:color="auto"/>
            <w:right w:val="none" w:sz="0" w:space="0" w:color="auto"/>
          </w:divBdr>
        </w:div>
        <w:div w:id="1702239038">
          <w:marLeft w:val="0"/>
          <w:marRight w:val="0"/>
          <w:marTop w:val="0"/>
          <w:marBottom w:val="0"/>
          <w:divBdr>
            <w:top w:val="none" w:sz="0" w:space="0" w:color="auto"/>
            <w:left w:val="none" w:sz="0" w:space="0" w:color="auto"/>
            <w:bottom w:val="none" w:sz="0" w:space="0" w:color="auto"/>
            <w:right w:val="none" w:sz="0" w:space="0" w:color="auto"/>
          </w:divBdr>
        </w:div>
        <w:div w:id="544215904">
          <w:marLeft w:val="0"/>
          <w:marRight w:val="0"/>
          <w:marTop w:val="0"/>
          <w:marBottom w:val="0"/>
          <w:divBdr>
            <w:top w:val="none" w:sz="0" w:space="0" w:color="auto"/>
            <w:left w:val="none" w:sz="0" w:space="0" w:color="auto"/>
            <w:bottom w:val="none" w:sz="0" w:space="0" w:color="auto"/>
            <w:right w:val="none" w:sz="0" w:space="0" w:color="auto"/>
          </w:divBdr>
        </w:div>
        <w:div w:id="1397320704">
          <w:marLeft w:val="0"/>
          <w:marRight w:val="0"/>
          <w:marTop w:val="0"/>
          <w:marBottom w:val="0"/>
          <w:divBdr>
            <w:top w:val="none" w:sz="0" w:space="0" w:color="auto"/>
            <w:left w:val="none" w:sz="0" w:space="0" w:color="auto"/>
            <w:bottom w:val="none" w:sz="0" w:space="0" w:color="auto"/>
            <w:right w:val="none" w:sz="0" w:space="0" w:color="auto"/>
          </w:divBdr>
        </w:div>
        <w:div w:id="1781486838">
          <w:marLeft w:val="0"/>
          <w:marRight w:val="0"/>
          <w:marTop w:val="0"/>
          <w:marBottom w:val="0"/>
          <w:divBdr>
            <w:top w:val="none" w:sz="0" w:space="0" w:color="auto"/>
            <w:left w:val="none" w:sz="0" w:space="0" w:color="auto"/>
            <w:bottom w:val="none" w:sz="0" w:space="0" w:color="auto"/>
            <w:right w:val="none" w:sz="0" w:space="0" w:color="auto"/>
          </w:divBdr>
        </w:div>
        <w:div w:id="130486379">
          <w:marLeft w:val="0"/>
          <w:marRight w:val="0"/>
          <w:marTop w:val="0"/>
          <w:marBottom w:val="0"/>
          <w:divBdr>
            <w:top w:val="none" w:sz="0" w:space="0" w:color="auto"/>
            <w:left w:val="none" w:sz="0" w:space="0" w:color="auto"/>
            <w:bottom w:val="none" w:sz="0" w:space="0" w:color="auto"/>
            <w:right w:val="none" w:sz="0" w:space="0" w:color="auto"/>
          </w:divBdr>
        </w:div>
        <w:div w:id="1597520733">
          <w:marLeft w:val="0"/>
          <w:marRight w:val="0"/>
          <w:marTop w:val="0"/>
          <w:marBottom w:val="0"/>
          <w:divBdr>
            <w:top w:val="none" w:sz="0" w:space="0" w:color="auto"/>
            <w:left w:val="none" w:sz="0" w:space="0" w:color="auto"/>
            <w:bottom w:val="none" w:sz="0" w:space="0" w:color="auto"/>
            <w:right w:val="none" w:sz="0" w:space="0" w:color="auto"/>
          </w:divBdr>
        </w:div>
        <w:div w:id="1850945488">
          <w:marLeft w:val="0"/>
          <w:marRight w:val="0"/>
          <w:marTop w:val="0"/>
          <w:marBottom w:val="0"/>
          <w:divBdr>
            <w:top w:val="none" w:sz="0" w:space="0" w:color="auto"/>
            <w:left w:val="none" w:sz="0" w:space="0" w:color="auto"/>
            <w:bottom w:val="none" w:sz="0" w:space="0" w:color="auto"/>
            <w:right w:val="none" w:sz="0" w:space="0" w:color="auto"/>
          </w:divBdr>
        </w:div>
        <w:div w:id="1277566536">
          <w:marLeft w:val="0"/>
          <w:marRight w:val="0"/>
          <w:marTop w:val="0"/>
          <w:marBottom w:val="0"/>
          <w:divBdr>
            <w:top w:val="none" w:sz="0" w:space="0" w:color="auto"/>
            <w:left w:val="none" w:sz="0" w:space="0" w:color="auto"/>
            <w:bottom w:val="none" w:sz="0" w:space="0" w:color="auto"/>
            <w:right w:val="none" w:sz="0" w:space="0" w:color="auto"/>
          </w:divBdr>
        </w:div>
        <w:div w:id="1239247085">
          <w:marLeft w:val="0"/>
          <w:marRight w:val="0"/>
          <w:marTop w:val="0"/>
          <w:marBottom w:val="0"/>
          <w:divBdr>
            <w:top w:val="none" w:sz="0" w:space="0" w:color="auto"/>
            <w:left w:val="none" w:sz="0" w:space="0" w:color="auto"/>
            <w:bottom w:val="none" w:sz="0" w:space="0" w:color="auto"/>
            <w:right w:val="none" w:sz="0" w:space="0" w:color="auto"/>
          </w:divBdr>
        </w:div>
        <w:div w:id="2013095047">
          <w:marLeft w:val="0"/>
          <w:marRight w:val="0"/>
          <w:marTop w:val="0"/>
          <w:marBottom w:val="0"/>
          <w:divBdr>
            <w:top w:val="none" w:sz="0" w:space="0" w:color="auto"/>
            <w:left w:val="none" w:sz="0" w:space="0" w:color="auto"/>
            <w:bottom w:val="none" w:sz="0" w:space="0" w:color="auto"/>
            <w:right w:val="none" w:sz="0" w:space="0" w:color="auto"/>
          </w:divBdr>
        </w:div>
        <w:div w:id="675232615">
          <w:marLeft w:val="0"/>
          <w:marRight w:val="0"/>
          <w:marTop w:val="0"/>
          <w:marBottom w:val="0"/>
          <w:divBdr>
            <w:top w:val="none" w:sz="0" w:space="0" w:color="auto"/>
            <w:left w:val="none" w:sz="0" w:space="0" w:color="auto"/>
            <w:bottom w:val="none" w:sz="0" w:space="0" w:color="auto"/>
            <w:right w:val="none" w:sz="0" w:space="0" w:color="auto"/>
          </w:divBdr>
        </w:div>
        <w:div w:id="1866094446">
          <w:marLeft w:val="0"/>
          <w:marRight w:val="0"/>
          <w:marTop w:val="0"/>
          <w:marBottom w:val="0"/>
          <w:divBdr>
            <w:top w:val="none" w:sz="0" w:space="0" w:color="auto"/>
            <w:left w:val="none" w:sz="0" w:space="0" w:color="auto"/>
            <w:bottom w:val="none" w:sz="0" w:space="0" w:color="auto"/>
            <w:right w:val="none" w:sz="0" w:space="0" w:color="auto"/>
          </w:divBdr>
        </w:div>
        <w:div w:id="767770216">
          <w:marLeft w:val="0"/>
          <w:marRight w:val="0"/>
          <w:marTop w:val="0"/>
          <w:marBottom w:val="0"/>
          <w:divBdr>
            <w:top w:val="none" w:sz="0" w:space="0" w:color="auto"/>
            <w:left w:val="none" w:sz="0" w:space="0" w:color="auto"/>
            <w:bottom w:val="none" w:sz="0" w:space="0" w:color="auto"/>
            <w:right w:val="none" w:sz="0" w:space="0" w:color="auto"/>
          </w:divBdr>
        </w:div>
        <w:div w:id="731847773">
          <w:marLeft w:val="0"/>
          <w:marRight w:val="0"/>
          <w:marTop w:val="0"/>
          <w:marBottom w:val="0"/>
          <w:divBdr>
            <w:top w:val="none" w:sz="0" w:space="0" w:color="auto"/>
            <w:left w:val="none" w:sz="0" w:space="0" w:color="auto"/>
            <w:bottom w:val="none" w:sz="0" w:space="0" w:color="auto"/>
            <w:right w:val="none" w:sz="0" w:space="0" w:color="auto"/>
          </w:divBdr>
        </w:div>
        <w:div w:id="479004778">
          <w:marLeft w:val="0"/>
          <w:marRight w:val="0"/>
          <w:marTop w:val="0"/>
          <w:marBottom w:val="0"/>
          <w:divBdr>
            <w:top w:val="none" w:sz="0" w:space="0" w:color="auto"/>
            <w:left w:val="none" w:sz="0" w:space="0" w:color="auto"/>
            <w:bottom w:val="none" w:sz="0" w:space="0" w:color="auto"/>
            <w:right w:val="none" w:sz="0" w:space="0" w:color="auto"/>
          </w:divBdr>
        </w:div>
        <w:div w:id="1632593400">
          <w:marLeft w:val="0"/>
          <w:marRight w:val="0"/>
          <w:marTop w:val="0"/>
          <w:marBottom w:val="0"/>
          <w:divBdr>
            <w:top w:val="none" w:sz="0" w:space="0" w:color="auto"/>
            <w:left w:val="none" w:sz="0" w:space="0" w:color="auto"/>
            <w:bottom w:val="none" w:sz="0" w:space="0" w:color="auto"/>
            <w:right w:val="none" w:sz="0" w:space="0" w:color="auto"/>
          </w:divBdr>
        </w:div>
        <w:div w:id="2900252">
          <w:marLeft w:val="0"/>
          <w:marRight w:val="0"/>
          <w:marTop w:val="0"/>
          <w:marBottom w:val="0"/>
          <w:divBdr>
            <w:top w:val="none" w:sz="0" w:space="0" w:color="auto"/>
            <w:left w:val="none" w:sz="0" w:space="0" w:color="auto"/>
            <w:bottom w:val="none" w:sz="0" w:space="0" w:color="auto"/>
            <w:right w:val="none" w:sz="0" w:space="0" w:color="auto"/>
          </w:divBdr>
        </w:div>
        <w:div w:id="2007055976">
          <w:marLeft w:val="0"/>
          <w:marRight w:val="0"/>
          <w:marTop w:val="0"/>
          <w:marBottom w:val="0"/>
          <w:divBdr>
            <w:top w:val="none" w:sz="0" w:space="0" w:color="auto"/>
            <w:left w:val="none" w:sz="0" w:space="0" w:color="auto"/>
            <w:bottom w:val="none" w:sz="0" w:space="0" w:color="auto"/>
            <w:right w:val="none" w:sz="0" w:space="0" w:color="auto"/>
          </w:divBdr>
        </w:div>
        <w:div w:id="643047650">
          <w:marLeft w:val="0"/>
          <w:marRight w:val="0"/>
          <w:marTop w:val="0"/>
          <w:marBottom w:val="0"/>
          <w:divBdr>
            <w:top w:val="none" w:sz="0" w:space="0" w:color="auto"/>
            <w:left w:val="none" w:sz="0" w:space="0" w:color="auto"/>
            <w:bottom w:val="none" w:sz="0" w:space="0" w:color="auto"/>
            <w:right w:val="none" w:sz="0" w:space="0" w:color="auto"/>
          </w:divBdr>
        </w:div>
      </w:divsChild>
    </w:div>
    <w:div w:id="1216433560">
      <w:bodyDiv w:val="1"/>
      <w:marLeft w:val="0"/>
      <w:marRight w:val="0"/>
      <w:marTop w:val="0"/>
      <w:marBottom w:val="0"/>
      <w:divBdr>
        <w:top w:val="none" w:sz="0" w:space="0" w:color="auto"/>
        <w:left w:val="none" w:sz="0" w:space="0" w:color="auto"/>
        <w:bottom w:val="none" w:sz="0" w:space="0" w:color="auto"/>
        <w:right w:val="none" w:sz="0" w:space="0" w:color="auto"/>
      </w:divBdr>
    </w:div>
    <w:div w:id="1347096851">
      <w:bodyDiv w:val="1"/>
      <w:marLeft w:val="0"/>
      <w:marRight w:val="0"/>
      <w:marTop w:val="0"/>
      <w:marBottom w:val="0"/>
      <w:divBdr>
        <w:top w:val="none" w:sz="0" w:space="0" w:color="auto"/>
        <w:left w:val="none" w:sz="0" w:space="0" w:color="auto"/>
        <w:bottom w:val="none" w:sz="0" w:space="0" w:color="auto"/>
        <w:right w:val="none" w:sz="0" w:space="0" w:color="auto"/>
      </w:divBdr>
    </w:div>
    <w:div w:id="1487016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fprovi\Desktop\&#916;&#917;&#923;&#932;&#921;&#913;%20&#932;&#933;&#928;&#927;&#933;%20&#928;&#913;&#929;&#913;&#932;&#919;&#929;&#919;&#932;&#919;&#929;&#921;&#927;\&#916;&#917;&#923;&#932;&#921;&#927;%20&#934;&#932;&#937;&#935;&#917;&#921;&#913;&#931;%20&#922;&#913;&#921;%20&#922;&#927;&#921;&#925;&#937;&#925;&#921;&#922;&#927;&#933;%20&#913;&#928;&#927;&#922;&#923;&#917;&#921;&#931;&#924;&#927;&#933;\FINALS\&#928;&#921;&#925;&#913;&#922;&#917;&#931;%20&#916;&#917;&#923;&#932;&#921;&#927;&#933;%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fprovi\Desktop\&#916;&#917;&#923;&#932;&#921;&#913;%20&#932;&#933;&#928;&#927;&#933;%20&#928;&#913;&#929;&#913;&#932;&#919;&#929;&#919;&#932;&#919;&#929;&#921;&#927;\poverty%20risk-&#951;&#955;&#953;&#954;&#953;&#949;&#963;.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916;&#917;&#923;&#932;&#921;&#913;%20&#932;&#933;&#928;&#927;&#933;%20&#928;&#913;&#929;&#913;&#932;&#919;&#929;&#919;&#932;&#919;&#929;&#921;&#927;\poverty%20risk-&#951;&#955;&#953;&#954;&#953;&#949;&#963;.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fprovi\Desktop\&#916;&#917;&#923;&#932;&#921;&#913;%20&#932;&#933;&#928;&#927;&#933;%20&#928;&#913;&#929;&#913;&#932;&#919;&#929;&#919;&#932;&#919;&#929;&#921;&#927;\sev%20deprivatio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GALI</a:t>
            </a:r>
            <a:r>
              <a:rPr lang="en-US" b="1" baseline="0"/>
              <a:t> INDEX</a:t>
            </a:r>
            <a:r>
              <a:rPr lang="el-GR" b="1" baseline="0"/>
              <a:t>: ΑΤΟΜΑ ΜΕ ΑΝΑΠΗΡΙΑ/ΠΕΡΙΟΡΙΣΜΟ ΔΡΑΣΤΗΡΙΟΤΗΤΑΣ 16+</a:t>
            </a:r>
            <a:endParaRPr lang="el-GR" b="1"/>
          </a:p>
        </c:rich>
      </c:tx>
      <c:layout>
        <c:manualLayout>
          <c:xMode val="edge"/>
          <c:yMode val="edge"/>
          <c:x val="9.3701224846894124E-2"/>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manualLayout>
          <c:layoutTarget val="inner"/>
          <c:xMode val="edge"/>
          <c:yMode val="edge"/>
          <c:x val="0.32009691096305265"/>
          <c:y val="0.20558271633956204"/>
          <c:w val="0.33815484155714881"/>
          <c:h val="0.66093900849806364"/>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B7E-45A3-BB86-FB3E13F3DA4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B7E-45A3-BB86-FB3E13F3DA4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B7E-45A3-BB86-FB3E13F3DA4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Φύλλο1!$A$3:$A$6</c:f>
              <c:strCache>
                <c:ptCount val="3"/>
                <c:pt idx="0">
                  <c:v>ΣΟΒΑΡΟΣ ΠΕΡΙΟΡΙΣΜΟΣ</c:v>
                </c:pt>
                <c:pt idx="1">
                  <c:v>ΜΕΤΡΙΟΣ ΠΕΡΙΟΡΙΣΜΟΣ</c:v>
                </c:pt>
                <c:pt idx="2">
                  <c:v>ΧΩΡΙΣ ΠΕΡΙΟΡΙΣΜΟ</c:v>
                </c:pt>
              </c:strCache>
              <c:extLst xmlns:c16r2="http://schemas.microsoft.com/office/drawing/2015/06/chart"/>
            </c:strRef>
          </c:cat>
          <c:val>
            <c:numRef>
              <c:f>Φύλλο1!$C$3:$C$6</c:f>
              <c:numCache>
                <c:formatCode>General</c:formatCode>
                <c:ptCount val="3"/>
                <c:pt idx="0">
                  <c:v>11.2</c:v>
                </c:pt>
                <c:pt idx="1">
                  <c:v>13.5</c:v>
                </c:pt>
                <c:pt idx="2">
                  <c:v>75.3</c:v>
                </c:pt>
              </c:numCache>
              <c:extLst xmlns:c16r2="http://schemas.microsoft.com/office/drawing/2015/06/chart"/>
            </c:numRef>
          </c:val>
          <c:extLst xmlns:c16r2="http://schemas.microsoft.com/office/drawing/2015/06/chart">
            <c:ext xmlns:c16="http://schemas.microsoft.com/office/drawing/2014/chart" uri="{C3380CC4-5D6E-409C-BE32-E72D297353CC}">
              <c16:uniqueId val="{00000006-6B7E-45A3-BB86-FB3E13F3DA4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1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ΠΟΣΟΣΤΟ ΠΛΗΘΥΣΜΟΥ 16+ ΣΕ ΚΙΝΔΥΝΟ</a:t>
            </a:r>
            <a:r>
              <a:rPr lang="el-GR" baseline="0"/>
              <a:t> ΦΤΩΧΕΙΑΣ /ΚΟΙΝΩΝΙΚΟΥ ΑΠΟΚΛΕΙΣΜΟΥ </a:t>
            </a:r>
            <a:endParaRPr lang="el-GR"/>
          </a:p>
        </c:rich>
      </c:tx>
      <c:layout>
        <c:manualLayout>
          <c:xMode val="edge"/>
          <c:yMode val="edge"/>
          <c:x val="0.16200541987885614"/>
          <c:y val="6.6666649168858503E-3"/>
        </c:manualLayout>
      </c:layout>
      <c:overlay val="0"/>
      <c:spPr>
        <a:noFill/>
        <a:ln>
          <a:noFill/>
        </a:ln>
        <a:effectLst/>
      </c:spPr>
    </c:title>
    <c:autoTitleDeleted val="0"/>
    <c:plotArea>
      <c:layout/>
      <c:barChart>
        <c:barDir val="col"/>
        <c:grouping val="clustered"/>
        <c:varyColors val="0"/>
        <c:ser>
          <c:idx val="0"/>
          <c:order val="0"/>
          <c:tx>
            <c:strRef>
              <c:f>Φύλλο9!$A$3</c:f>
              <c:strCache>
                <c:ptCount val="1"/>
                <c:pt idx="0">
                  <c:v>ΑΤΟΜΑ ΜΕ ΑΝΑΠΗΡΙΑ</c:v>
                </c:pt>
              </c:strCache>
            </c:strRef>
          </c:tx>
          <c:spPr>
            <a:solidFill>
              <a:schemeClr val="accent1"/>
            </a:solidFill>
            <a:ln>
              <a:noFill/>
            </a:ln>
            <a:effectLst/>
          </c:spPr>
          <c:invertIfNegative val="0"/>
          <c:dLbls>
            <c:dLbl>
              <c:idx val="12"/>
              <c:layout>
                <c:manualLayout>
                  <c:x val="-1.7608213099124075E-2"/>
                  <c:y val="-9.99999737532885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6E5-4D6F-9E93-76983622189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Φύλλο9!$B$2:$N$2</c:f>
              <c:strCache>
                <c:ptCount val="13"/>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c:v>
                </c:pt>
              </c:strCache>
            </c:strRef>
          </c:cat>
          <c:val>
            <c:numRef>
              <c:f>Φύλλο9!$B$3:$N$3</c:f>
              <c:numCache>
                <c:formatCode>###0.0%</c:formatCode>
                <c:ptCount val="13"/>
                <c:pt idx="0">
                  <c:v>0.71525054466230942</c:v>
                </c:pt>
                <c:pt idx="1">
                  <c:v>0.57557617479796375</c:v>
                </c:pt>
                <c:pt idx="2">
                  <c:v>0.63465765468732893</c:v>
                </c:pt>
                <c:pt idx="3">
                  <c:v>0.54200736065546451</c:v>
                </c:pt>
                <c:pt idx="4">
                  <c:v>0.52713156085262358</c:v>
                </c:pt>
                <c:pt idx="5">
                  <c:v>0.56409506398537523</c:v>
                </c:pt>
                <c:pt idx="6">
                  <c:v>0.5392297715254919</c:v>
                </c:pt>
                <c:pt idx="7">
                  <c:v>0.58093388499535537</c:v>
                </c:pt>
                <c:pt idx="8">
                  <c:v>0.58709469442578965</c:v>
                </c:pt>
                <c:pt idx="9">
                  <c:v>0.34221404705180208</c:v>
                </c:pt>
                <c:pt idx="10">
                  <c:v>0.27988539600983242</c:v>
                </c:pt>
                <c:pt idx="11">
                  <c:v>0.23311595675580901</c:v>
                </c:pt>
                <c:pt idx="12">
                  <c:v>0.35578199126477111</c:v>
                </c:pt>
              </c:numCache>
            </c:numRef>
          </c:val>
          <c:extLst xmlns:c16r2="http://schemas.microsoft.com/office/drawing/2015/06/chart">
            <c:ext xmlns:c16="http://schemas.microsoft.com/office/drawing/2014/chart" uri="{C3380CC4-5D6E-409C-BE32-E72D297353CC}">
              <c16:uniqueId val="{00000001-F6E5-4D6F-9E93-769836221897}"/>
            </c:ext>
          </c:extLst>
        </c:ser>
        <c:ser>
          <c:idx val="1"/>
          <c:order val="1"/>
          <c:tx>
            <c:strRef>
              <c:f>Φύλλο9!$A$4</c:f>
              <c:strCache>
                <c:ptCount val="1"/>
                <c:pt idx="0">
                  <c:v>ΑΤΟΜΑ ΧΩΡΙΣ ΑΝΑΠΗΡΙΑ</c:v>
                </c:pt>
              </c:strCache>
            </c:strRef>
          </c:tx>
          <c:spPr>
            <a:solidFill>
              <a:schemeClr val="accent2"/>
            </a:solidFill>
            <a:ln>
              <a:noFill/>
            </a:ln>
            <a:effectLst/>
          </c:spPr>
          <c:invertIfNegative val="0"/>
          <c:dLbls>
            <c:dLbl>
              <c:idx val="12"/>
              <c:layout>
                <c:manualLayout>
                  <c:x val="1.7608213099123932E-2"/>
                  <c:y val="-4.99999868766439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6E5-4D6F-9E93-76983622189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Φύλλο9!$B$2:$N$2</c:f>
              <c:strCache>
                <c:ptCount val="13"/>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c:v>
                </c:pt>
              </c:strCache>
            </c:strRef>
          </c:cat>
          <c:val>
            <c:numRef>
              <c:f>Φύλλο9!$B$4:$N$4</c:f>
              <c:numCache>
                <c:formatCode>###0.0%</c:formatCode>
                <c:ptCount val="13"/>
                <c:pt idx="0">
                  <c:v>0.46566514457375124</c:v>
                </c:pt>
                <c:pt idx="1">
                  <c:v>0.49083326792990778</c:v>
                </c:pt>
                <c:pt idx="2">
                  <c:v>0.44732971669680538</c:v>
                </c:pt>
                <c:pt idx="3">
                  <c:v>0.32537356358983044</c:v>
                </c:pt>
                <c:pt idx="4">
                  <c:v>0.31032162492045495</c:v>
                </c:pt>
                <c:pt idx="5">
                  <c:v>0.36502144754529248</c:v>
                </c:pt>
                <c:pt idx="6">
                  <c:v>0.35175046488830392</c:v>
                </c:pt>
                <c:pt idx="7">
                  <c:v>0.38381843577674307</c:v>
                </c:pt>
                <c:pt idx="8">
                  <c:v>0.47305897756052212</c:v>
                </c:pt>
                <c:pt idx="9">
                  <c:v>0.21797678921538791</c:v>
                </c:pt>
                <c:pt idx="10">
                  <c:v>0.18523116650941074</c:v>
                </c:pt>
                <c:pt idx="11">
                  <c:v>0.1809422382452619</c:v>
                </c:pt>
                <c:pt idx="12">
                  <c:v>0.35262423384834357</c:v>
                </c:pt>
              </c:numCache>
            </c:numRef>
          </c:val>
          <c:extLst xmlns:c16r2="http://schemas.microsoft.com/office/drawing/2015/06/chart">
            <c:ext xmlns:c16="http://schemas.microsoft.com/office/drawing/2014/chart" uri="{C3380CC4-5D6E-409C-BE32-E72D297353CC}">
              <c16:uniqueId val="{00000003-F6E5-4D6F-9E93-769836221897}"/>
            </c:ext>
          </c:extLst>
        </c:ser>
        <c:dLbls>
          <c:showLegendKey val="0"/>
          <c:showVal val="0"/>
          <c:showCatName val="0"/>
          <c:showSerName val="0"/>
          <c:showPercent val="0"/>
          <c:showBubbleSize val="0"/>
        </c:dLbls>
        <c:gapWidth val="219"/>
        <c:overlap val="-27"/>
        <c:axId val="371446168"/>
        <c:axId val="371446560"/>
      </c:barChart>
      <c:catAx>
        <c:axId val="371446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71446560"/>
        <c:crosses val="autoZero"/>
        <c:auto val="1"/>
        <c:lblAlgn val="ctr"/>
        <c:lblOffset val="100"/>
        <c:noMultiLvlLbl val="0"/>
      </c:catAx>
      <c:valAx>
        <c:axId val="3714465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71446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l-GR" sz="1200"/>
              <a:t>ΠΟΣΟΣΤΟ ΚΙΝΔΥΝΟΥ ΦΤΩΧΕΙΑΣ ΜΕΤΑ ΤΙΣ ΚΟΙΝΩΝΙΚΕΣ ΜΕΤΑΒΙΒΑΣΕΙΣ </a:t>
            </a:r>
          </a:p>
        </c:rich>
      </c:tx>
      <c:overlay val="0"/>
    </c:title>
    <c:autoTitleDeleted val="0"/>
    <c:plotArea>
      <c:layout>
        <c:manualLayout>
          <c:layoutTarget val="inner"/>
          <c:xMode val="edge"/>
          <c:yMode val="edge"/>
          <c:x val="0.26337541140690746"/>
          <c:y val="0.1941667403934059"/>
          <c:w val="0.73662458859309499"/>
          <c:h val="0.48368928603025835"/>
        </c:manualLayout>
      </c:layout>
      <c:barChart>
        <c:barDir val="col"/>
        <c:grouping val="clustered"/>
        <c:varyColors val="0"/>
        <c:ser>
          <c:idx val="0"/>
          <c:order val="0"/>
          <c:tx>
            <c:strRef>
              <c:f>Φύλλο4!$L$3</c:f>
              <c:strCache>
                <c:ptCount val="1"/>
                <c:pt idx="0">
                  <c:v>Άτομα με αναπηρία</c:v>
                </c:pt>
              </c:strCache>
            </c:strRef>
          </c:tx>
          <c:invertIfNegative val="0"/>
          <c:cat>
            <c:strRef>
              <c:f>Φύλλο4!$K$4:$K$17</c:f>
              <c:strCache>
                <c:ptCount val="14"/>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 16+</c:v>
                </c:pt>
                <c:pt idx="13">
                  <c:v>ΣΥΝΟΛΟ 16-64</c:v>
                </c:pt>
              </c:strCache>
            </c:strRef>
          </c:cat>
          <c:val>
            <c:numRef>
              <c:f>Φύλλο4!$L$4:$L$17</c:f>
              <c:numCache>
                <c:formatCode>###0.0%</c:formatCode>
                <c:ptCount val="14"/>
                <c:pt idx="0">
                  <c:v>0.52781408859840262</c:v>
                </c:pt>
                <c:pt idx="1">
                  <c:v>0.27456849246732512</c:v>
                </c:pt>
                <c:pt idx="2">
                  <c:v>0.28766107096738741</c:v>
                </c:pt>
                <c:pt idx="3">
                  <c:v>0.30824313072439624</c:v>
                </c:pt>
                <c:pt idx="4">
                  <c:v>0.28445163878065577</c:v>
                </c:pt>
                <c:pt idx="5">
                  <c:v>0.31851310176721553</c:v>
                </c:pt>
                <c:pt idx="6">
                  <c:v>0.30954803950912901</c:v>
                </c:pt>
                <c:pt idx="7">
                  <c:v>0.2978821398140834</c:v>
                </c:pt>
                <c:pt idx="8">
                  <c:v>0.21118065815983883</c:v>
                </c:pt>
                <c:pt idx="9">
                  <c:v>0.21614190947693887</c:v>
                </c:pt>
                <c:pt idx="10">
                  <c:v>0.15696935678863114</c:v>
                </c:pt>
                <c:pt idx="11">
                  <c:v>0.12842041504738549</c:v>
                </c:pt>
                <c:pt idx="12">
                  <c:v>0.1886282615886174</c:v>
                </c:pt>
                <c:pt idx="13">
                  <c:v>0.26691032938756254</c:v>
                </c:pt>
              </c:numCache>
            </c:numRef>
          </c:val>
          <c:extLst xmlns:c16r2="http://schemas.microsoft.com/office/drawing/2015/06/chart">
            <c:ext xmlns:c16="http://schemas.microsoft.com/office/drawing/2014/chart" uri="{C3380CC4-5D6E-409C-BE32-E72D297353CC}">
              <c16:uniqueId val="{00000000-8375-487F-8BA3-0DFDD87D1D1B}"/>
            </c:ext>
          </c:extLst>
        </c:ser>
        <c:ser>
          <c:idx val="1"/>
          <c:order val="1"/>
          <c:tx>
            <c:strRef>
              <c:f>Φύλλο4!$M$3</c:f>
              <c:strCache>
                <c:ptCount val="1"/>
                <c:pt idx="0">
                  <c:v>Άτομα χωρίς αναπηρία</c:v>
                </c:pt>
              </c:strCache>
            </c:strRef>
          </c:tx>
          <c:invertIfNegative val="0"/>
          <c:cat>
            <c:strRef>
              <c:f>Φύλλο4!$K$4:$K$17</c:f>
              <c:strCache>
                <c:ptCount val="14"/>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 16+</c:v>
                </c:pt>
                <c:pt idx="13">
                  <c:v>ΣΥΝΟΛΟ 16-64</c:v>
                </c:pt>
              </c:strCache>
            </c:strRef>
          </c:cat>
          <c:val>
            <c:numRef>
              <c:f>Φύλλο4!$M$4:$M$17</c:f>
              <c:numCache>
                <c:formatCode>###0.0%</c:formatCode>
                <c:ptCount val="14"/>
                <c:pt idx="0">
                  <c:v>0.31396238148613442</c:v>
                </c:pt>
                <c:pt idx="1">
                  <c:v>0.26904565441961004</c:v>
                </c:pt>
                <c:pt idx="2">
                  <c:v>0.23082301664580138</c:v>
                </c:pt>
                <c:pt idx="3">
                  <c:v>0.18467939344487441</c:v>
                </c:pt>
                <c:pt idx="4">
                  <c:v>0.19997887478222784</c:v>
                </c:pt>
                <c:pt idx="5">
                  <c:v>0.25120358906140294</c:v>
                </c:pt>
                <c:pt idx="6">
                  <c:v>0.23544751411388043</c:v>
                </c:pt>
                <c:pt idx="7">
                  <c:v>0.21603785010132684</c:v>
                </c:pt>
                <c:pt idx="8">
                  <c:v>0.18942008276828937</c:v>
                </c:pt>
                <c:pt idx="9">
                  <c:v>0.15937990915401196</c:v>
                </c:pt>
                <c:pt idx="10">
                  <c:v>0.11242486012514247</c:v>
                </c:pt>
                <c:pt idx="11">
                  <c:v>9.940526591262297E-2</c:v>
                </c:pt>
                <c:pt idx="12">
                  <c:v>0.2070635872891744</c:v>
                </c:pt>
                <c:pt idx="13">
                  <c:v>0.22296427847078654</c:v>
                </c:pt>
              </c:numCache>
            </c:numRef>
          </c:val>
          <c:extLst xmlns:c16r2="http://schemas.microsoft.com/office/drawing/2015/06/chart">
            <c:ext xmlns:c16="http://schemas.microsoft.com/office/drawing/2014/chart" uri="{C3380CC4-5D6E-409C-BE32-E72D297353CC}">
              <c16:uniqueId val="{00000001-8375-487F-8BA3-0DFDD87D1D1B}"/>
            </c:ext>
          </c:extLst>
        </c:ser>
        <c:dLbls>
          <c:showLegendKey val="0"/>
          <c:showVal val="0"/>
          <c:showCatName val="0"/>
          <c:showSerName val="0"/>
          <c:showPercent val="0"/>
          <c:showBubbleSize val="0"/>
        </c:dLbls>
        <c:gapWidth val="150"/>
        <c:axId val="375600008"/>
        <c:axId val="375600400"/>
      </c:barChart>
      <c:catAx>
        <c:axId val="375600008"/>
        <c:scaling>
          <c:orientation val="minMax"/>
        </c:scaling>
        <c:delete val="0"/>
        <c:axPos val="b"/>
        <c:numFmt formatCode="General" sourceLinked="0"/>
        <c:majorTickMark val="out"/>
        <c:minorTickMark val="none"/>
        <c:tickLblPos val="nextTo"/>
        <c:crossAx val="375600400"/>
        <c:crosses val="autoZero"/>
        <c:auto val="1"/>
        <c:lblAlgn val="ctr"/>
        <c:lblOffset val="100"/>
        <c:noMultiLvlLbl val="0"/>
      </c:catAx>
      <c:valAx>
        <c:axId val="375600400"/>
        <c:scaling>
          <c:orientation val="minMax"/>
        </c:scaling>
        <c:delete val="0"/>
        <c:axPos val="l"/>
        <c:majorGridlines/>
        <c:numFmt formatCode="###0.0%" sourceLinked="1"/>
        <c:majorTickMark val="out"/>
        <c:minorTickMark val="none"/>
        <c:tickLblPos val="nextTo"/>
        <c:crossAx val="375600008"/>
        <c:crosses val="autoZero"/>
        <c:crossBetween val="between"/>
      </c:valAx>
      <c:dTable>
        <c:showHorzBorder val="1"/>
        <c:showVertBorder val="1"/>
        <c:showOutline val="1"/>
        <c:showKeys val="1"/>
        <c:txPr>
          <a:bodyPr/>
          <a:lstStyle/>
          <a:p>
            <a:pPr rtl="0">
              <a:defRPr sz="900"/>
            </a:pPr>
            <a:endParaRPr lang="el-GR"/>
          </a:p>
        </c:txPr>
      </c:dTable>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r>
              <a:rPr lang="el-GR" cap="all" baseline="0"/>
              <a:t>Ποσοστο πληθυσμου με και χωρισ αναπηρια που διαβιει σε νοικοκυρια με υλικη στερηση ανα ηλικιακη κατηγορια</a:t>
            </a:r>
          </a:p>
        </c:rich>
      </c:tx>
      <c:layout>
        <c:manualLayout>
          <c:xMode val="edge"/>
          <c:yMode val="edge"/>
          <c:x val="0.14294501161662374"/>
          <c:y val="2.6778765361106841E-3"/>
        </c:manualLayout>
      </c:layout>
      <c:overlay val="0"/>
      <c:spPr>
        <a:noFill/>
        <a:ln>
          <a:noFill/>
        </a:ln>
        <a:effectLst/>
      </c:spPr>
    </c:title>
    <c:autoTitleDeleted val="0"/>
    <c:plotArea>
      <c:layout/>
      <c:barChart>
        <c:barDir val="col"/>
        <c:grouping val="clustered"/>
        <c:varyColors val="0"/>
        <c:ser>
          <c:idx val="0"/>
          <c:order val="0"/>
          <c:tx>
            <c:strRef>
              <c:f>Φύλλο4!$B$4</c:f>
              <c:strCache>
                <c:ptCount val="1"/>
                <c:pt idx="0">
                  <c:v>ΑΤΟΜΑ ΜΕ ΑΝΑΠΗΡΙΑ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Φύλλο4!$A$4:$A$17</c:f>
              <c:strCache>
                <c:ptCount val="13"/>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c:v>
                </c:pt>
              </c:strCache>
            </c:strRef>
          </c:cat>
          <c:val>
            <c:numRef>
              <c:f>Φύλλο4!$B$4:$B$17</c:f>
              <c:numCache>
                <c:formatCode>###0.0%</c:formatCode>
                <c:ptCount val="13"/>
                <c:pt idx="0">
                  <c:v>0.49324618736383463</c:v>
                </c:pt>
                <c:pt idx="1">
                  <c:v>0.35112485658702047</c:v>
                </c:pt>
                <c:pt idx="2">
                  <c:v>0.42952522255192876</c:v>
                </c:pt>
                <c:pt idx="3">
                  <c:v>0.36021648626144903</c:v>
                </c:pt>
                <c:pt idx="4">
                  <c:v>0.30035239514095857</c:v>
                </c:pt>
                <c:pt idx="5">
                  <c:v>0.38468007312614305</c:v>
                </c:pt>
                <c:pt idx="6">
                  <c:v>0.36686986800227522</c:v>
                </c:pt>
                <c:pt idx="7">
                  <c:v>0.40038227414736788</c:v>
                </c:pt>
                <c:pt idx="8">
                  <c:v>0.29426997985225029</c:v>
                </c:pt>
                <c:pt idx="9">
                  <c:v>0.26873177699939327</c:v>
                </c:pt>
                <c:pt idx="10">
                  <c:v>0.21754952998939095</c:v>
                </c:pt>
                <c:pt idx="11">
                  <c:v>0.15953253123913491</c:v>
                </c:pt>
                <c:pt idx="12">
                  <c:v>0.23885609383662684</c:v>
                </c:pt>
              </c:numCache>
            </c:numRef>
          </c:val>
          <c:extLst xmlns:c16r2="http://schemas.microsoft.com/office/drawing/2015/06/chart">
            <c:ext xmlns:c16="http://schemas.microsoft.com/office/drawing/2014/chart" uri="{C3380CC4-5D6E-409C-BE32-E72D297353CC}">
              <c16:uniqueId val="{00000000-A5E5-4EF4-B322-789470200BE7}"/>
            </c:ext>
          </c:extLst>
        </c:ser>
        <c:ser>
          <c:idx val="1"/>
          <c:order val="1"/>
          <c:tx>
            <c:strRef>
              <c:f>Φύλλο4!$C$4</c:f>
              <c:strCache>
                <c:ptCount val="1"/>
                <c:pt idx="0">
                  <c:v>ΑΤΟΜΑ ΧΩΡΙΣ ΑΝΑΠΗΡΙΑ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Φύλλο4!$A$4:$A$17</c:f>
              <c:strCache>
                <c:ptCount val="13"/>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c:v>
                </c:pt>
              </c:strCache>
            </c:strRef>
          </c:cat>
          <c:val>
            <c:numRef>
              <c:f>Φύλλο4!$C$4:$C$17</c:f>
              <c:numCache>
                <c:formatCode>###0.0%</c:formatCode>
                <c:ptCount val="13"/>
                <c:pt idx="0">
                  <c:v>0.31648499346778958</c:v>
                </c:pt>
                <c:pt idx="1">
                  <c:v>0.32190220434760536</c:v>
                </c:pt>
                <c:pt idx="2">
                  <c:v>0.25201836138545047</c:v>
                </c:pt>
                <c:pt idx="3">
                  <c:v>0.20979505706862467</c:v>
                </c:pt>
                <c:pt idx="4">
                  <c:v>0.19514720475916641</c:v>
                </c:pt>
                <c:pt idx="5">
                  <c:v>0.24287163996599659</c:v>
                </c:pt>
                <c:pt idx="6">
                  <c:v>0.22764067801238339</c:v>
                </c:pt>
                <c:pt idx="7">
                  <c:v>0.1977425579498939</c:v>
                </c:pt>
                <c:pt idx="8">
                  <c:v>0.17826553635188724</c:v>
                </c:pt>
                <c:pt idx="9">
                  <c:v>0.13793212627805138</c:v>
                </c:pt>
                <c:pt idx="10">
                  <c:v>0.1208436495718614</c:v>
                </c:pt>
                <c:pt idx="11">
                  <c:v>0.11952251618691964</c:v>
                </c:pt>
                <c:pt idx="12">
                  <c:v>0.21063956787348656</c:v>
                </c:pt>
              </c:numCache>
            </c:numRef>
          </c:val>
          <c:extLst xmlns:c16r2="http://schemas.microsoft.com/office/drawing/2015/06/chart">
            <c:ext xmlns:c16="http://schemas.microsoft.com/office/drawing/2014/chart" uri="{C3380CC4-5D6E-409C-BE32-E72D297353CC}">
              <c16:uniqueId val="{00000001-A5E5-4EF4-B322-789470200BE7}"/>
            </c:ext>
          </c:extLst>
        </c:ser>
        <c:dLbls>
          <c:showLegendKey val="0"/>
          <c:showVal val="0"/>
          <c:showCatName val="0"/>
          <c:showSerName val="0"/>
          <c:showPercent val="0"/>
          <c:showBubbleSize val="0"/>
        </c:dLbls>
        <c:gapWidth val="219"/>
        <c:overlap val="-27"/>
        <c:axId val="375601576"/>
        <c:axId val="375601968"/>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Φύλλο4!$D$3</c15:sqref>
                        </c15:formulaRef>
                      </c:ext>
                    </c:extLst>
                    <c:strCache>
                      <c:ptCount val="1"/>
                      <c:pt idx="0">
                        <c:v>ΣΥΝΟΛΟ ΠΛΗΘΥΣΜΟΥ</c:v>
                      </c:pt>
                    </c:strCache>
                  </c:strRef>
                </c:tx>
                <c:spPr>
                  <a:solidFill>
                    <a:schemeClr val="accent3"/>
                  </a:solidFill>
                  <a:ln>
                    <a:noFill/>
                  </a:ln>
                  <a:effectLst/>
                </c:spPr>
                <c:invertIfNegative val="0"/>
                <c:cat>
                  <c:strRef>
                    <c:extLst xmlns:c16r2="http://schemas.microsoft.com/office/drawing/2015/06/chart">
                      <c:ext uri="{02D57815-91ED-43cb-92C2-25804820EDAC}">
                        <c15:formulaRef>
                          <c15:sqref>Φύλλο4!$A$4:$A$17</c15:sqref>
                        </c15:formulaRef>
                      </c:ext>
                    </c:extLst>
                    <c:strCache>
                      <c:ptCount val="13"/>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c:v>
                      </c:pt>
                    </c:strCache>
                  </c:strRef>
                </c:cat>
                <c:val>
                  <c:numRef>
                    <c:extLst xmlns:c16r2="http://schemas.microsoft.com/office/drawing/2015/06/chart">
                      <c:ext uri="{02D57815-91ED-43cb-92C2-25804820EDAC}">
                        <c15:formulaRef>
                          <c15:sqref>Φύλλο4!$D$4:$D$17</c15:sqref>
                        </c15:formulaRef>
                      </c:ext>
                    </c:extLst>
                    <c:numCache>
                      <c:formatCode>###0.0%</c:formatCode>
                      <c:ptCount val="13"/>
                      <c:pt idx="0">
                        <c:v>0.32238470245756401</c:v>
                      </c:pt>
                      <c:pt idx="1">
                        <c:v>0.32309417085979253</c:v>
                      </c:pt>
                      <c:pt idx="2">
                        <c:v>0.26324293614514976</c:v>
                      </c:pt>
                      <c:pt idx="3">
                        <c:v>0.22309906120296807</c:v>
                      </c:pt>
                      <c:pt idx="4">
                        <c:v>0.20392510742053271</c:v>
                      </c:pt>
                      <c:pt idx="5">
                        <c:v>0.25744411978723752</c:v>
                      </c:pt>
                      <c:pt idx="6">
                        <c:v>0.24439990200128744</c:v>
                      </c:pt>
                      <c:pt idx="7">
                        <c:v>0.23296129185466635</c:v>
                      </c:pt>
                      <c:pt idx="8">
                        <c:v>0.2059613539459304</c:v>
                      </c:pt>
                      <c:pt idx="9">
                        <c:v>0.18140709400680979</c:v>
                      </c:pt>
                      <c:pt idx="10">
                        <c:v>0.16281345156432994</c:v>
                      </c:pt>
                      <c:pt idx="11">
                        <c:v>0.14632134752137449</c:v>
                      </c:pt>
                      <c:pt idx="12">
                        <c:v>0.21762214367019894</c:v>
                      </c:pt>
                    </c:numCache>
                  </c:numRef>
                </c:val>
                <c:extLst xmlns:c16r2="http://schemas.microsoft.com/office/drawing/2015/06/chart">
                  <c:ext xmlns:c16="http://schemas.microsoft.com/office/drawing/2014/chart" uri="{C3380CC4-5D6E-409C-BE32-E72D297353CC}">
                    <c16:uniqueId val="{00000002-A5E5-4EF4-B322-789470200BE7}"/>
                  </c:ext>
                </c:extLst>
              </c15:ser>
            </c15:filteredBarSeries>
          </c:ext>
        </c:extLst>
      </c:barChart>
      <c:catAx>
        <c:axId val="37560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75601968"/>
        <c:crosses val="autoZero"/>
        <c:auto val="1"/>
        <c:lblAlgn val="ctr"/>
        <c:lblOffset val="100"/>
        <c:noMultiLvlLbl val="0"/>
      </c:catAx>
      <c:valAx>
        <c:axId val="375601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75601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B3D756-27BE-4EF6-9ECC-BB9E20CA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5433</Words>
  <Characters>29341</Characters>
  <Application>Microsoft Office Word</Application>
  <DocSecurity>0</DocSecurity>
  <Lines>244</Lines>
  <Paragraphs>69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34705</CharactersWithSpaces>
  <SharedDoc>false</SharedDoc>
  <HLinks>
    <vt:vector size="12" baseType="variant">
      <vt:variant>
        <vt:i4>1441864</vt:i4>
      </vt:variant>
      <vt:variant>
        <vt:i4>36</vt:i4>
      </vt:variant>
      <vt:variant>
        <vt:i4>0</vt:i4>
      </vt:variant>
      <vt:variant>
        <vt:i4>5</vt:i4>
      </vt:variant>
      <vt:variant>
        <vt:lpwstr>http://www.esamea.gr/</vt:lpwstr>
      </vt:variant>
      <vt:variant>
        <vt:lpwstr/>
      </vt:variant>
      <vt:variant>
        <vt:i4>393242</vt:i4>
      </vt:variant>
      <vt:variant>
        <vt:i4>33</vt:i4>
      </vt:variant>
      <vt:variant>
        <vt:i4>0</vt:i4>
      </vt:variant>
      <vt:variant>
        <vt:i4>5</vt:i4>
      </vt:variant>
      <vt:variant>
        <vt:lpwstr>http://www.esaea.gr/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10</cp:revision>
  <cp:lastPrinted>2017-11-29T12:23:00Z</cp:lastPrinted>
  <dcterms:created xsi:type="dcterms:W3CDTF">2017-11-29T17:38:00Z</dcterms:created>
  <dcterms:modified xsi:type="dcterms:W3CDTF">2017-11-30T07:24:00Z</dcterms:modified>
</cp:coreProperties>
</file>