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21A51" w14:textId="32632796" w:rsidR="00B14FB2" w:rsidRPr="00D86375" w:rsidRDefault="00B14FB2" w:rsidP="006715DA">
      <w:pPr>
        <w:spacing w:before="480"/>
        <w:ind w:left="425"/>
        <w:jc w:val="right"/>
        <w:rPr>
          <w:b/>
          <w:lang w:val="el-GR"/>
        </w:rPr>
      </w:pPr>
      <w:r w:rsidRPr="00CB77DA">
        <w:rPr>
          <w:b/>
          <w:lang w:val="el-GR"/>
        </w:rPr>
        <w:t xml:space="preserve">Αθήνα: </w:t>
      </w:r>
      <w:r w:rsidR="004A6D4E">
        <w:rPr>
          <w:b/>
          <w:lang w:val="el-GR"/>
        </w:rPr>
        <w:t>26</w:t>
      </w:r>
      <w:r w:rsidR="00D415F4">
        <w:rPr>
          <w:b/>
          <w:lang w:val="el-GR"/>
        </w:rPr>
        <w:t>/</w:t>
      </w:r>
      <w:r w:rsidR="007874AF" w:rsidRPr="00DE0303">
        <w:rPr>
          <w:b/>
          <w:lang w:val="el-GR"/>
        </w:rPr>
        <w:t>10</w:t>
      </w:r>
      <w:r w:rsidRPr="006C7DBD">
        <w:rPr>
          <w:b/>
          <w:lang w:val="el-GR"/>
        </w:rPr>
        <w:t>/</w:t>
      </w:r>
      <w:r w:rsidR="00D415F4">
        <w:rPr>
          <w:b/>
          <w:lang w:val="el-GR"/>
        </w:rPr>
        <w:t>2020</w:t>
      </w:r>
    </w:p>
    <w:p w14:paraId="32E13A6B" w14:textId="6C820F0C" w:rsidR="00481697" w:rsidRPr="00D05BA9" w:rsidRDefault="00D415F4" w:rsidP="006715DA">
      <w:pPr>
        <w:pStyle w:val="a5"/>
        <w:spacing w:after="360"/>
        <w:contextualSpacing w:val="0"/>
        <w:jc w:val="center"/>
        <w:rPr>
          <w:sz w:val="30"/>
          <w:szCs w:val="30"/>
          <w:lang w:val="el-GR"/>
        </w:rPr>
      </w:pPr>
      <w:r w:rsidRPr="00D415F4">
        <w:rPr>
          <w:b/>
          <w:bCs/>
          <w:sz w:val="30"/>
          <w:szCs w:val="30"/>
          <w:lang w:val="el-GR"/>
        </w:rPr>
        <w:t>7</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t>«</w:t>
      </w:r>
      <w:r>
        <w:rPr>
          <w:b/>
          <w:bCs/>
          <w:sz w:val="30"/>
          <w:szCs w:val="30"/>
          <w:lang w:val="el-GR"/>
        </w:rPr>
        <w:t>ΚΟΙΝΩΝΙΚΗ ΠΡΟΣΤΑΣΙΑ»</w:t>
      </w:r>
    </w:p>
    <w:p w14:paraId="058AFB9B" w14:textId="77777777" w:rsidR="00B14FB2" w:rsidRPr="00CB77DA" w:rsidRDefault="00B14FB2" w:rsidP="006715DA">
      <w:pPr>
        <w:pBdr>
          <w:top w:val="single" w:sz="12" w:space="1" w:color="auto"/>
          <w:left w:val="single" w:sz="12" w:space="4" w:color="auto"/>
          <w:bottom w:val="single" w:sz="48" w:space="1" w:color="auto"/>
          <w:right w:val="single" w:sz="12" w:space="4" w:color="auto"/>
        </w:pBdr>
        <w:shd w:val="clear" w:color="auto" w:fill="EBF1DE"/>
        <w:spacing w:after="200" w:line="252" w:lineRule="auto"/>
        <w:jc w:val="center"/>
        <w:rPr>
          <w:b/>
          <w:lang w:val="el-GR"/>
        </w:rPr>
      </w:pPr>
      <w:r w:rsidRPr="00CB77DA">
        <w:rPr>
          <w:b/>
          <w:lang w:val="el-GR"/>
        </w:rPr>
        <w:t>ΠΑΡΑΤΗΡΗΤΗΡΙΟ ΘΕΜΑΤΩΝ ΑΝΑΠΗΡΙΑΣ</w:t>
      </w:r>
    </w:p>
    <w:p w14:paraId="3FE32FE4" w14:textId="2D901723" w:rsidR="00B14FB2" w:rsidRPr="00CB77DA" w:rsidRDefault="00B14FB2" w:rsidP="006715DA">
      <w:pPr>
        <w:pBdr>
          <w:top w:val="single" w:sz="12" w:space="1" w:color="auto"/>
          <w:left w:val="single" w:sz="12" w:space="4" w:color="auto"/>
          <w:bottom w:val="single" w:sz="48" w:space="1" w:color="auto"/>
          <w:right w:val="single" w:sz="12" w:space="4" w:color="auto"/>
        </w:pBdr>
        <w:shd w:val="clear" w:color="auto" w:fill="EBF1DE"/>
        <w:spacing w:after="200" w:line="252" w:lineRule="auto"/>
        <w:jc w:val="both"/>
        <w:rPr>
          <w:lang w:val="el-GR"/>
        </w:rPr>
      </w:pPr>
      <w:r w:rsidRPr="00CB77DA">
        <w:rPr>
          <w:lang w:val="el-GR"/>
        </w:rPr>
        <w:t>Το Παρατηρητήριο Θεμάτων Αναπηρίας της Εθνικής Συνομοσπονδίας Ατόμων με Αναπηρία (Ε.Σ.</w:t>
      </w:r>
      <w:r>
        <w:rPr>
          <w:lang w:val="el-GR"/>
        </w:rPr>
        <w:t>Α.μεΑ.), εφεξής «Παρατηρητήριο»</w:t>
      </w:r>
      <w:r w:rsidRPr="00CB77DA">
        <w:rPr>
          <w:lang w:val="el-GR"/>
        </w:rPr>
        <w:t xml:space="preserve">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θα συμβάλλει </w:t>
      </w:r>
      <w:r w:rsidRPr="0059663C">
        <w:rPr>
          <w:lang w:val="el-GR"/>
        </w:rPr>
        <w:t>στη</w:t>
      </w:r>
      <w:r w:rsidR="00D66724" w:rsidRPr="0059663C">
        <w:rPr>
          <w:lang w:val="el-GR"/>
        </w:rPr>
        <w:t>ν</w:t>
      </w:r>
      <w:r w:rsidRPr="0059663C">
        <w:rPr>
          <w:lang w:val="el-GR"/>
        </w:rPr>
        <w:t xml:space="preserve"> παρακολούθηση, στη</w:t>
      </w:r>
      <w:r w:rsidR="00631302" w:rsidRPr="0059663C">
        <w:rPr>
          <w:lang w:val="el-GR"/>
        </w:rPr>
        <w:t>ν</w:t>
      </w:r>
      <w:r w:rsidRPr="0059663C">
        <w:rPr>
          <w:lang w:val="el-GR"/>
        </w:rPr>
        <w:t xml:space="preserve"> προστασία και στη</w:t>
      </w:r>
      <w:r w:rsidR="00631302" w:rsidRPr="0059663C">
        <w:rPr>
          <w:lang w:val="el-GR"/>
        </w:rPr>
        <w:t>ν</w:t>
      </w:r>
      <w:r w:rsidRPr="0059663C">
        <w:rPr>
          <w:lang w:val="el-GR"/>
        </w:rPr>
        <w:t xml:space="preserve"> προώθηση </w:t>
      </w:r>
      <w:r w:rsidRPr="00CB77DA">
        <w:rPr>
          <w:lang w:val="el-GR"/>
        </w:rPr>
        <w:t>των δικαιωμάτων των ατόμων με αναπηρία, χρόνιες παθήσεις και των οικογενειών τους.</w:t>
      </w:r>
    </w:p>
    <w:p w14:paraId="09B11BB8" w14:textId="51D4B141" w:rsidR="00B14FB2" w:rsidRPr="00CB77DA" w:rsidRDefault="00F30C85" w:rsidP="006715DA">
      <w:pPr>
        <w:pBdr>
          <w:top w:val="single" w:sz="12" w:space="1" w:color="auto"/>
          <w:left w:val="single" w:sz="12" w:space="4" w:color="auto"/>
          <w:bottom w:val="single" w:sz="48" w:space="1" w:color="auto"/>
          <w:right w:val="single" w:sz="12" w:space="4" w:color="auto"/>
        </w:pBdr>
        <w:shd w:val="clear" w:color="auto" w:fill="EBF1DE"/>
        <w:spacing w:after="200" w:line="252" w:lineRule="auto"/>
        <w:jc w:val="both"/>
        <w:rPr>
          <w:lang w:val="el-GR"/>
        </w:rPr>
      </w:pPr>
      <w:r>
        <w:rPr>
          <w:lang w:val="el-GR"/>
        </w:rPr>
        <w:t>Βασικός πυλώνας στη</w:t>
      </w:r>
      <w:r w:rsidR="00B14FB2" w:rsidRPr="00CB77DA">
        <w:rPr>
          <w:lang w:val="el-GR"/>
        </w:rPr>
        <w:t xml:space="preserve"> δραστηριότητα του Παρατηρητηρίου</w:t>
      </w:r>
      <w:r w:rsidR="00B14FB2" w:rsidRPr="00BC3FEE">
        <w:rPr>
          <w:lang w:val="el-GR"/>
        </w:rPr>
        <w:t xml:space="preserve">, </w:t>
      </w:r>
      <w:r w:rsidR="00B14FB2" w:rsidRPr="00CB77DA">
        <w:rPr>
          <w:lang w:val="el-GR"/>
        </w:rPr>
        <w:t>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6A8105CF" w14:textId="27CB539D" w:rsidR="00B14FB2" w:rsidRPr="00CB77DA" w:rsidRDefault="00B14FB2" w:rsidP="006715DA">
      <w:pPr>
        <w:pBdr>
          <w:top w:val="single" w:sz="12" w:space="1" w:color="auto"/>
          <w:left w:val="single" w:sz="12" w:space="4" w:color="auto"/>
          <w:bottom w:val="single" w:sz="48" w:space="1" w:color="auto"/>
          <w:right w:val="single" w:sz="12" w:space="4" w:color="auto"/>
        </w:pBdr>
        <w:shd w:val="clear" w:color="auto" w:fill="EBF1DE"/>
        <w:spacing w:after="200" w:line="252" w:lineRule="auto"/>
        <w:jc w:val="both"/>
        <w:rPr>
          <w:lang w:val="el-GR"/>
        </w:rPr>
      </w:pPr>
      <w:r w:rsidRPr="00CB77DA">
        <w:rPr>
          <w:lang w:val="el-GR"/>
        </w:rPr>
        <w:t>Επιπρόσθετα, το «Παρατηρητήριο», καλείται να διαδραματίσει σημαντικό ρόλο στην ανάπτυξη των εθνικών στατιστικών γι</w:t>
      </w:r>
      <w:r w:rsidR="002A09DB">
        <w:rPr>
          <w:lang w:val="el-GR"/>
        </w:rPr>
        <w:t>α την αναπηρία. Με το</w:t>
      </w:r>
      <w:r w:rsidR="00C83319">
        <w:rPr>
          <w:lang w:val="el-GR"/>
        </w:rPr>
        <w:t>ν</w:t>
      </w:r>
      <w:r w:rsidR="002A09DB">
        <w:rPr>
          <w:lang w:val="el-GR"/>
        </w:rPr>
        <w:t xml:space="preserve"> </w:t>
      </w:r>
      <w:r w:rsidRPr="00CB77DA">
        <w:rPr>
          <w:lang w:val="el-GR"/>
        </w:rPr>
        <w:t>νόμο ν.4488/2017, το Παρατηρητήριο της Ε</w:t>
      </w:r>
      <w:r w:rsidRPr="004D54A3">
        <w:rPr>
          <w:lang w:val="el-GR"/>
        </w:rPr>
        <w:t>.</w:t>
      </w:r>
      <w:r w:rsidRPr="00CB77DA">
        <w:rPr>
          <w:lang w:val="el-GR"/>
        </w:rPr>
        <w:t>Σ</w:t>
      </w:r>
      <w:r w:rsidRPr="004D54A3">
        <w:rPr>
          <w:lang w:val="el-GR"/>
        </w:rPr>
        <w:t>.</w:t>
      </w:r>
      <w:r w:rsidRPr="00CB77DA">
        <w:rPr>
          <w:lang w:val="el-GR"/>
        </w:rPr>
        <w:t>Α</w:t>
      </w:r>
      <w:r w:rsidRPr="004D54A3">
        <w:rPr>
          <w:lang w:val="el-GR"/>
        </w:rPr>
        <w:t>.</w:t>
      </w:r>
      <w:r w:rsidRPr="00CB77DA">
        <w:rPr>
          <w:lang w:val="el-GR"/>
        </w:rPr>
        <w:t>μεΑ</w:t>
      </w:r>
      <w:r w:rsidRPr="004D54A3">
        <w:rPr>
          <w:lang w:val="el-GR"/>
        </w:rPr>
        <w:t>.</w:t>
      </w:r>
      <w:r w:rsidRPr="00CB77DA">
        <w:rPr>
          <w:lang w:val="el-GR"/>
        </w:rPr>
        <w:t xml:space="preserve">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Pr>
          <w:lang w:val="el-GR"/>
        </w:rPr>
        <w:t xml:space="preserve"> </w:t>
      </w:r>
      <w:r w:rsidRPr="00CB77DA">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Pr>
          <w:lang w:val="el-GR"/>
        </w:rPr>
        <w:t xml:space="preserve">διαβούλευση με το Παρατηρητήριο Θεμάτων Αναπηρίας </w:t>
      </w:r>
      <w:r w:rsidRPr="00CB77DA">
        <w:rPr>
          <w:lang w:val="el-GR"/>
        </w:rPr>
        <w:t>της Εθνικής Συνομοσπονδίας Ατόμων με Αναπηρία (Ε.Σ.Α.μεΑ.).</w:t>
      </w:r>
    </w:p>
    <w:p w14:paraId="72C8B73B" w14:textId="7F4FB760" w:rsidR="00B14FB2" w:rsidRPr="00CB77DA" w:rsidRDefault="00B14FB2" w:rsidP="006715DA">
      <w:pPr>
        <w:pBdr>
          <w:top w:val="single" w:sz="12" w:space="1" w:color="auto"/>
          <w:left w:val="single" w:sz="12" w:space="4" w:color="auto"/>
          <w:bottom w:val="single" w:sz="48" w:space="1" w:color="auto"/>
          <w:right w:val="single" w:sz="12" w:space="4" w:color="auto"/>
        </w:pBdr>
        <w:shd w:val="clear" w:color="auto" w:fill="EBF1DE"/>
        <w:spacing w:after="200" w:line="252" w:lineRule="auto"/>
        <w:jc w:val="both"/>
        <w:rPr>
          <w:lang w:val="el-GR"/>
        </w:rPr>
      </w:pPr>
      <w:r w:rsidRPr="00CB77DA">
        <w:rPr>
          <w:lang w:val="el-GR"/>
        </w:rPr>
        <w:t>Στο πλαίσιο υλοποίησης της Δράσης 1.2</w:t>
      </w:r>
      <w:r w:rsidRPr="002B5DC1">
        <w:rPr>
          <w:lang w:val="el-GR"/>
        </w:rPr>
        <w:t xml:space="preserve"> (</w:t>
      </w:r>
      <w:r>
        <w:rPr>
          <w:lang w:val="el-GR"/>
        </w:rPr>
        <w:t>Π.Ε.2)</w:t>
      </w:r>
      <w:r w:rsidRPr="00CB77DA">
        <w:rPr>
          <w:lang w:val="el-GR"/>
        </w:rPr>
        <w:t xml:space="preserve"> του Υποέργου 1 της Πράξης «Παρατηρητήριο Θεμάτων Αναπηρίας» που υλοποιεί η Ε</w:t>
      </w:r>
      <w:r w:rsidRPr="000720E7">
        <w:rPr>
          <w:lang w:val="el-GR"/>
        </w:rPr>
        <w:t>.</w:t>
      </w:r>
      <w:r w:rsidRPr="00CB77DA">
        <w:rPr>
          <w:lang w:val="el-GR"/>
        </w:rPr>
        <w:t>Σ</w:t>
      </w:r>
      <w:r w:rsidRPr="000720E7">
        <w:rPr>
          <w:lang w:val="el-GR"/>
        </w:rPr>
        <w:t>.</w:t>
      </w:r>
      <w:r w:rsidRPr="00CB77DA">
        <w:rPr>
          <w:lang w:val="el-GR"/>
        </w:rPr>
        <w:t>Α</w:t>
      </w:r>
      <w:r w:rsidRPr="000720E7">
        <w:rPr>
          <w:lang w:val="el-GR"/>
        </w:rPr>
        <w:t>.</w:t>
      </w:r>
      <w:r w:rsidRPr="00CB77DA">
        <w:rPr>
          <w:lang w:val="el-GR"/>
        </w:rPr>
        <w:t>μεΑ</w:t>
      </w:r>
      <w:r w:rsidRPr="000720E7">
        <w:rPr>
          <w:lang w:val="el-GR"/>
        </w:rPr>
        <w:t>.</w:t>
      </w:r>
      <w:r w:rsidRPr="00CB77DA">
        <w:rPr>
          <w:lang w:val="el-GR"/>
        </w:rPr>
        <w:t xml:space="preserve">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w:t>
      </w:r>
      <w:r w:rsidRPr="00A56862">
        <w:rPr>
          <w:lang w:val="el-GR"/>
        </w:rPr>
        <w:t>μέσω της επεξεργασίας</w:t>
      </w:r>
      <w:r w:rsidRPr="00E94AF4">
        <w:rPr>
          <w:color w:val="FF0000"/>
          <w:lang w:val="el-GR"/>
        </w:rPr>
        <w:t xml:space="preserve"> </w:t>
      </w:r>
      <w:r w:rsidRPr="00CB77DA">
        <w:rPr>
          <w:lang w:val="el-GR"/>
        </w:rPr>
        <w:t xml:space="preserve">των διαθέσιμων </w:t>
      </w:r>
      <w:r w:rsidR="00A56862">
        <w:rPr>
          <w:lang w:val="el-GR"/>
        </w:rPr>
        <w:t xml:space="preserve">στατιστικών </w:t>
      </w:r>
      <w:r w:rsidRPr="00CB77DA">
        <w:rPr>
          <w:lang w:val="el-GR"/>
        </w:rPr>
        <w:t xml:space="preserve">στοιχείων. </w:t>
      </w:r>
    </w:p>
    <w:p w14:paraId="192A34E4" w14:textId="77777777" w:rsidR="00B14FB2" w:rsidRDefault="00B14FB2" w:rsidP="006715DA">
      <w:pPr>
        <w:pBdr>
          <w:top w:val="single" w:sz="12" w:space="1" w:color="auto"/>
          <w:left w:val="single" w:sz="12" w:space="4" w:color="auto"/>
          <w:bottom w:val="single" w:sz="48" w:space="1" w:color="auto"/>
          <w:right w:val="single" w:sz="12" w:space="4" w:color="auto"/>
        </w:pBdr>
        <w:shd w:val="clear" w:color="auto" w:fill="EBF1DE"/>
        <w:spacing w:after="200" w:line="252" w:lineRule="auto"/>
        <w:jc w:val="both"/>
        <w:rPr>
          <w:lang w:val="el-GR"/>
        </w:rPr>
      </w:pPr>
      <w:r w:rsidRPr="00CB77DA">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CB77DA">
          <w:rPr>
            <w:rStyle w:val="-"/>
            <w:lang w:val="el-GR"/>
          </w:rPr>
          <w:t>www.paratiritirioanapirias.gr</w:t>
        </w:r>
      </w:hyperlink>
      <w:r w:rsidRPr="00CB77DA">
        <w:rPr>
          <w:lang w:val="el-GR"/>
        </w:rPr>
        <w:t>.</w:t>
      </w:r>
    </w:p>
    <w:p w14:paraId="033BDC62" w14:textId="36771104" w:rsidR="00544395" w:rsidRDefault="00544395" w:rsidP="00B14FB2">
      <w:pPr>
        <w:ind w:right="-1"/>
        <w:rPr>
          <w:lang w:val="el-GR"/>
        </w:rPr>
      </w:pPr>
    </w:p>
    <w:p w14:paraId="2A824F01" w14:textId="4E21EBD6" w:rsidR="006715DA" w:rsidRDefault="006715DA">
      <w:pPr>
        <w:rPr>
          <w:lang w:val="el-GR"/>
        </w:rPr>
      </w:pPr>
      <w:r>
        <w:rPr>
          <w:lang w:val="el-GR"/>
        </w:rPr>
        <w:br w:type="page"/>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14:paraId="641DA411" w14:textId="2E2FF8BB" w:rsidR="005C287C" w:rsidRPr="006715DA" w:rsidRDefault="006715DA" w:rsidP="00660C45">
          <w:pPr>
            <w:pStyle w:val="ac"/>
            <w:numPr>
              <w:ilvl w:val="0"/>
              <w:numId w:val="0"/>
            </w:numPr>
            <w:spacing w:after="360"/>
            <w:ind w:left="432" w:hanging="432"/>
            <w:rPr>
              <w:rFonts w:asciiTheme="minorHAnsi" w:hAnsiTheme="minorHAnsi" w:cstheme="minorHAnsi"/>
              <w:b/>
              <w:color w:val="auto"/>
              <w:lang w:val="el-GR"/>
            </w:rPr>
          </w:pPr>
          <w:r w:rsidRPr="006715DA">
            <w:rPr>
              <w:rFonts w:asciiTheme="minorHAnsi" w:hAnsiTheme="minorHAnsi" w:cstheme="minorHAnsi"/>
              <w:b/>
              <w:color w:val="auto"/>
              <w:lang w:val="el-GR"/>
            </w:rPr>
            <w:t>ΠΕΡΙΕΧΟΜΕΝΑ</w:t>
          </w:r>
        </w:p>
        <w:p w14:paraId="675E86F9" w14:textId="7A3995BC" w:rsidR="009F74A0" w:rsidRPr="006715DA" w:rsidRDefault="005C287C">
          <w:pPr>
            <w:pStyle w:val="12"/>
            <w:tabs>
              <w:tab w:val="right" w:leader="dot" w:pos="9203"/>
            </w:tabs>
            <w:rPr>
              <w:rFonts w:asciiTheme="majorHAnsi" w:eastAsiaTheme="minorEastAsia" w:hAnsiTheme="majorHAnsi" w:cstheme="majorHAnsi"/>
              <w:noProof/>
              <w:lang w:val="el-GR" w:eastAsia="el-GR"/>
            </w:rPr>
          </w:pPr>
          <w:r w:rsidRPr="006715DA">
            <w:rPr>
              <w:rFonts w:asciiTheme="majorHAnsi" w:hAnsiTheme="majorHAnsi" w:cstheme="majorHAnsi"/>
            </w:rPr>
            <w:fldChar w:fldCharType="begin"/>
          </w:r>
          <w:r w:rsidRPr="006715DA">
            <w:rPr>
              <w:rFonts w:asciiTheme="majorHAnsi" w:hAnsiTheme="majorHAnsi" w:cstheme="majorHAnsi"/>
            </w:rPr>
            <w:instrText xml:space="preserve"> TOC \o "1-3" \h \z \u </w:instrText>
          </w:r>
          <w:r w:rsidRPr="006715DA">
            <w:rPr>
              <w:rFonts w:asciiTheme="majorHAnsi" w:hAnsiTheme="majorHAnsi" w:cstheme="majorHAnsi"/>
            </w:rPr>
            <w:fldChar w:fldCharType="separate"/>
          </w:r>
          <w:hyperlink w:anchor="_Toc53409338" w:history="1">
            <w:r w:rsidR="009F74A0" w:rsidRPr="006715DA">
              <w:rPr>
                <w:rStyle w:val="-"/>
                <w:rFonts w:asciiTheme="majorHAnsi" w:hAnsiTheme="majorHAnsi" w:cstheme="majorHAnsi"/>
                <w:noProof/>
                <w:lang w:val="el-GR"/>
              </w:rPr>
              <w:t>ΕΙΣΑΓΩΓΗ</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_Toc53409338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3</w:t>
            </w:r>
            <w:r w:rsidR="009F74A0" w:rsidRPr="006715DA">
              <w:rPr>
                <w:rFonts w:asciiTheme="majorHAnsi" w:hAnsiTheme="majorHAnsi" w:cstheme="majorHAnsi"/>
                <w:noProof/>
                <w:webHidden/>
              </w:rPr>
              <w:fldChar w:fldCharType="end"/>
            </w:r>
          </w:hyperlink>
        </w:p>
        <w:p w14:paraId="306CE8C8" w14:textId="5A9EB5A9" w:rsidR="009F74A0" w:rsidRPr="006715DA" w:rsidRDefault="001F3A35">
          <w:pPr>
            <w:pStyle w:val="12"/>
            <w:tabs>
              <w:tab w:val="right" w:leader="dot" w:pos="9203"/>
            </w:tabs>
            <w:rPr>
              <w:rFonts w:asciiTheme="majorHAnsi" w:eastAsiaTheme="minorEastAsia" w:hAnsiTheme="majorHAnsi" w:cstheme="majorHAnsi"/>
              <w:noProof/>
              <w:lang w:val="el-GR" w:eastAsia="el-GR"/>
            </w:rPr>
          </w:pPr>
          <w:hyperlink w:anchor="_Toc53409339" w:history="1">
            <w:r w:rsidR="009F74A0" w:rsidRPr="006715DA">
              <w:rPr>
                <w:rStyle w:val="-"/>
                <w:rFonts w:asciiTheme="majorHAnsi" w:hAnsiTheme="majorHAnsi" w:cstheme="majorHAnsi"/>
                <w:noProof/>
                <w:lang w:val="el-GR"/>
              </w:rPr>
              <w:t>ΒΑΣΙΚΑ ΕΥΡΥΜΑΤΑ</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_Toc53409339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7</w:t>
            </w:r>
            <w:r w:rsidR="009F74A0" w:rsidRPr="006715DA">
              <w:rPr>
                <w:rFonts w:asciiTheme="majorHAnsi" w:hAnsiTheme="majorHAnsi" w:cstheme="majorHAnsi"/>
                <w:noProof/>
                <w:webHidden/>
              </w:rPr>
              <w:fldChar w:fldCharType="end"/>
            </w:r>
          </w:hyperlink>
        </w:p>
        <w:p w14:paraId="5D2B10D4" w14:textId="3FD77906" w:rsidR="009F74A0" w:rsidRPr="006715DA" w:rsidRDefault="001F3A35">
          <w:pPr>
            <w:pStyle w:val="12"/>
            <w:tabs>
              <w:tab w:val="right" w:leader="dot" w:pos="9203"/>
            </w:tabs>
            <w:rPr>
              <w:rFonts w:asciiTheme="majorHAnsi" w:eastAsiaTheme="minorEastAsia" w:hAnsiTheme="majorHAnsi" w:cstheme="majorHAnsi"/>
              <w:noProof/>
              <w:lang w:val="el-GR" w:eastAsia="el-GR"/>
            </w:rPr>
          </w:pPr>
          <w:hyperlink w:anchor="_Toc53409340" w:history="1">
            <w:r w:rsidR="009F74A0" w:rsidRPr="006715DA">
              <w:rPr>
                <w:rStyle w:val="-"/>
                <w:rFonts w:asciiTheme="majorHAnsi" w:hAnsiTheme="majorHAnsi" w:cstheme="majorHAnsi"/>
                <w:noProof/>
                <w:lang w:val="el-GR"/>
              </w:rPr>
              <w:t>ΑΝΑΛΥΣΗ ΕΥΡΥΜΑΤΩΝ</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_Toc53409340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10</w:t>
            </w:r>
            <w:r w:rsidR="009F74A0" w:rsidRPr="006715DA">
              <w:rPr>
                <w:rFonts w:asciiTheme="majorHAnsi" w:hAnsiTheme="majorHAnsi" w:cstheme="majorHAnsi"/>
                <w:noProof/>
                <w:webHidden/>
              </w:rPr>
              <w:fldChar w:fldCharType="end"/>
            </w:r>
          </w:hyperlink>
        </w:p>
        <w:p w14:paraId="58317C7E" w14:textId="292706E5" w:rsidR="009F74A0" w:rsidRPr="006715DA" w:rsidRDefault="001F3A35">
          <w:pPr>
            <w:pStyle w:val="12"/>
            <w:tabs>
              <w:tab w:val="left" w:pos="440"/>
              <w:tab w:val="right" w:leader="dot" w:pos="9203"/>
            </w:tabs>
            <w:rPr>
              <w:rFonts w:asciiTheme="majorHAnsi" w:eastAsiaTheme="minorEastAsia" w:hAnsiTheme="majorHAnsi" w:cstheme="majorHAnsi"/>
              <w:noProof/>
              <w:lang w:val="el-GR" w:eastAsia="el-GR"/>
            </w:rPr>
          </w:pPr>
          <w:hyperlink w:anchor="_Toc53409341" w:history="1">
            <w:r w:rsidR="009F74A0" w:rsidRPr="006715DA">
              <w:rPr>
                <w:rStyle w:val="-"/>
                <w:rFonts w:asciiTheme="majorHAnsi" w:hAnsiTheme="majorHAnsi" w:cstheme="majorHAnsi"/>
                <w:noProof/>
                <w:lang w:val="el-GR"/>
              </w:rPr>
              <w:t>1.</w:t>
            </w:r>
            <w:r w:rsidR="009F74A0" w:rsidRPr="006715DA">
              <w:rPr>
                <w:rFonts w:asciiTheme="majorHAnsi" w:eastAsiaTheme="minorEastAsia" w:hAnsiTheme="majorHAnsi" w:cstheme="majorHAnsi"/>
                <w:noProof/>
                <w:lang w:val="el-GR" w:eastAsia="el-GR"/>
              </w:rPr>
              <w:tab/>
            </w:r>
            <w:r w:rsidR="009F74A0" w:rsidRPr="006715DA">
              <w:rPr>
                <w:rStyle w:val="-"/>
                <w:rFonts w:asciiTheme="majorHAnsi" w:hAnsiTheme="majorHAnsi" w:cstheme="majorHAnsi"/>
                <w:noProof/>
                <w:lang w:val="el-GR"/>
              </w:rPr>
              <w:t>Δαπάνες για παροχές κοινωνικής προστασίας</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_Toc53409341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10</w:t>
            </w:r>
            <w:r w:rsidR="009F74A0" w:rsidRPr="006715DA">
              <w:rPr>
                <w:rFonts w:asciiTheme="majorHAnsi" w:hAnsiTheme="majorHAnsi" w:cstheme="majorHAnsi"/>
                <w:noProof/>
                <w:webHidden/>
              </w:rPr>
              <w:fldChar w:fldCharType="end"/>
            </w:r>
          </w:hyperlink>
        </w:p>
        <w:p w14:paraId="7D81C1B1" w14:textId="613293B4" w:rsidR="009F74A0" w:rsidRPr="006715DA" w:rsidRDefault="001F3A35">
          <w:pPr>
            <w:pStyle w:val="12"/>
            <w:tabs>
              <w:tab w:val="right" w:leader="dot" w:pos="9203"/>
            </w:tabs>
            <w:rPr>
              <w:rFonts w:asciiTheme="majorHAnsi" w:eastAsiaTheme="minorEastAsia" w:hAnsiTheme="majorHAnsi" w:cstheme="majorHAnsi"/>
              <w:noProof/>
              <w:lang w:val="el-GR" w:eastAsia="el-GR"/>
            </w:rPr>
          </w:pPr>
          <w:hyperlink w:anchor="_Toc53409342" w:history="1">
            <w:r w:rsidR="009F74A0" w:rsidRPr="006715DA">
              <w:rPr>
                <w:rStyle w:val="-"/>
                <w:rFonts w:asciiTheme="majorHAnsi" w:hAnsiTheme="majorHAnsi" w:cstheme="majorHAnsi"/>
                <w:noProof/>
                <w:lang w:val="el-GR"/>
              </w:rPr>
              <w:t>2. Κατανομή δαπανών κοινωνικής προστασίας ανά λειτουργία</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_Toc53409342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14</w:t>
            </w:r>
            <w:r w:rsidR="009F74A0" w:rsidRPr="006715DA">
              <w:rPr>
                <w:rFonts w:asciiTheme="majorHAnsi" w:hAnsiTheme="majorHAnsi" w:cstheme="majorHAnsi"/>
                <w:noProof/>
                <w:webHidden/>
              </w:rPr>
              <w:fldChar w:fldCharType="end"/>
            </w:r>
          </w:hyperlink>
        </w:p>
        <w:p w14:paraId="75F08DEC" w14:textId="56742960" w:rsidR="009F74A0" w:rsidRPr="006715DA" w:rsidRDefault="001F3A35">
          <w:pPr>
            <w:pStyle w:val="12"/>
            <w:tabs>
              <w:tab w:val="right" w:leader="dot" w:pos="9203"/>
            </w:tabs>
            <w:rPr>
              <w:rFonts w:asciiTheme="majorHAnsi" w:eastAsiaTheme="minorEastAsia" w:hAnsiTheme="majorHAnsi" w:cstheme="majorHAnsi"/>
              <w:noProof/>
              <w:lang w:val="el-GR" w:eastAsia="el-GR"/>
            </w:rPr>
          </w:pPr>
          <w:hyperlink w:anchor="_Toc53409343" w:history="1">
            <w:r w:rsidR="009F74A0" w:rsidRPr="006715DA">
              <w:rPr>
                <w:rStyle w:val="-"/>
                <w:rFonts w:asciiTheme="majorHAnsi" w:hAnsiTheme="majorHAnsi" w:cstheme="majorHAnsi"/>
                <w:noProof/>
                <w:lang w:val="el-GR"/>
              </w:rPr>
              <w:t>2. Διαχρονική εξέλιξη δαπανών κοινωνικής προστασίας για την αναπηρία το διάστημα 2008-2017</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_Toc53409343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15</w:t>
            </w:r>
            <w:r w:rsidR="009F74A0" w:rsidRPr="006715DA">
              <w:rPr>
                <w:rFonts w:asciiTheme="majorHAnsi" w:hAnsiTheme="majorHAnsi" w:cstheme="majorHAnsi"/>
                <w:noProof/>
                <w:webHidden/>
              </w:rPr>
              <w:fldChar w:fldCharType="end"/>
            </w:r>
          </w:hyperlink>
        </w:p>
        <w:p w14:paraId="288182DC" w14:textId="539CF3BC" w:rsidR="009F74A0" w:rsidRPr="006715DA" w:rsidRDefault="001F3A35">
          <w:pPr>
            <w:pStyle w:val="12"/>
            <w:tabs>
              <w:tab w:val="right" w:leader="dot" w:pos="9203"/>
            </w:tabs>
            <w:rPr>
              <w:rFonts w:asciiTheme="majorHAnsi" w:eastAsiaTheme="minorEastAsia" w:hAnsiTheme="majorHAnsi" w:cstheme="majorHAnsi"/>
              <w:noProof/>
              <w:lang w:val="el-GR" w:eastAsia="el-GR"/>
            </w:rPr>
          </w:pPr>
          <w:hyperlink w:anchor="_Toc53409344" w:history="1">
            <w:r w:rsidR="009F74A0" w:rsidRPr="006715DA">
              <w:rPr>
                <w:rStyle w:val="-"/>
                <w:rFonts w:asciiTheme="majorHAnsi" w:hAnsiTheme="majorHAnsi" w:cstheme="majorHAnsi"/>
                <w:noProof/>
                <w:lang w:val="el-GR"/>
              </w:rPr>
              <w:t>3. Αναλυτική κατανομή δαπανών για παροχές κοινωνικής προστασίας για την αναπηρία</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_Toc53409344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16</w:t>
            </w:r>
            <w:r w:rsidR="009F74A0" w:rsidRPr="006715DA">
              <w:rPr>
                <w:rFonts w:asciiTheme="majorHAnsi" w:hAnsiTheme="majorHAnsi" w:cstheme="majorHAnsi"/>
                <w:noProof/>
                <w:webHidden/>
              </w:rPr>
              <w:fldChar w:fldCharType="end"/>
            </w:r>
          </w:hyperlink>
        </w:p>
        <w:p w14:paraId="0B85E999" w14:textId="23298EA0" w:rsidR="009F74A0" w:rsidRPr="006715DA" w:rsidRDefault="001F3A35">
          <w:pPr>
            <w:pStyle w:val="12"/>
            <w:tabs>
              <w:tab w:val="right" w:leader="dot" w:pos="9203"/>
            </w:tabs>
            <w:rPr>
              <w:rFonts w:asciiTheme="majorHAnsi" w:eastAsiaTheme="minorEastAsia" w:hAnsiTheme="majorHAnsi" w:cstheme="majorHAnsi"/>
              <w:noProof/>
              <w:lang w:val="el-GR" w:eastAsia="el-GR"/>
            </w:rPr>
          </w:pPr>
          <w:hyperlink w:anchor="_Toc53409345" w:history="1">
            <w:r w:rsidR="009F74A0" w:rsidRPr="006715DA">
              <w:rPr>
                <w:rStyle w:val="-"/>
                <w:rFonts w:asciiTheme="majorHAnsi" w:hAnsiTheme="majorHAnsi" w:cstheme="majorHAnsi"/>
                <w:noProof/>
                <w:lang w:val="el-GR"/>
              </w:rPr>
              <w:t>4. Συγκριτικοί δείκτες δαπανών για την αναπηρία στην Ελλάδα και την Ε.Ε.</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_Toc53409345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18</w:t>
            </w:r>
            <w:r w:rsidR="009F74A0" w:rsidRPr="006715DA">
              <w:rPr>
                <w:rFonts w:asciiTheme="majorHAnsi" w:hAnsiTheme="majorHAnsi" w:cstheme="majorHAnsi"/>
                <w:noProof/>
                <w:webHidden/>
              </w:rPr>
              <w:fldChar w:fldCharType="end"/>
            </w:r>
          </w:hyperlink>
        </w:p>
        <w:p w14:paraId="2B5F447C" w14:textId="065E9615" w:rsidR="009F74A0" w:rsidRPr="006715DA" w:rsidRDefault="001F3A35">
          <w:pPr>
            <w:pStyle w:val="12"/>
            <w:tabs>
              <w:tab w:val="right" w:leader="dot" w:pos="9203"/>
            </w:tabs>
            <w:rPr>
              <w:rFonts w:asciiTheme="majorHAnsi" w:eastAsiaTheme="minorEastAsia" w:hAnsiTheme="majorHAnsi" w:cstheme="majorHAnsi"/>
              <w:noProof/>
              <w:lang w:val="el-GR" w:eastAsia="el-GR"/>
            </w:rPr>
          </w:pPr>
          <w:hyperlink w:anchor="_Toc53409346" w:history="1">
            <w:r w:rsidR="009F74A0" w:rsidRPr="006715DA">
              <w:rPr>
                <w:rStyle w:val="-"/>
                <w:rFonts w:asciiTheme="majorHAnsi" w:hAnsiTheme="majorHAnsi" w:cstheme="majorHAnsi"/>
                <w:noProof/>
                <w:lang w:val="el-GR"/>
              </w:rPr>
              <w:t>4. Δικαιούχοι σύνταξης αναπηρίας</w:t>
            </w:r>
            <w:r w:rsidR="009F74A0" w:rsidRPr="006715DA">
              <w:rPr>
                <w:rFonts w:asciiTheme="majorHAnsi" w:hAnsiTheme="majorHAnsi" w:cstheme="majorHAnsi"/>
                <w:noProof/>
                <w:webHidden/>
              </w:rPr>
              <w:tab/>
            </w:r>
            <w:r w:rsidR="009F74A0" w:rsidRPr="006715DA">
              <w:rPr>
                <w:rFonts w:asciiTheme="majorHAnsi" w:hAnsiTheme="majorHAnsi" w:cstheme="majorHAnsi"/>
                <w:noProof/>
                <w:webHidden/>
              </w:rPr>
              <w:fldChar w:fldCharType="begin"/>
            </w:r>
            <w:r w:rsidR="009F74A0" w:rsidRPr="006715DA">
              <w:rPr>
                <w:rFonts w:asciiTheme="majorHAnsi" w:hAnsiTheme="majorHAnsi" w:cstheme="majorHAnsi"/>
                <w:noProof/>
                <w:webHidden/>
              </w:rPr>
              <w:instrText xml:space="preserve"> PAGEREF _Toc53409346 \h </w:instrText>
            </w:r>
            <w:r w:rsidR="009F74A0" w:rsidRPr="006715DA">
              <w:rPr>
                <w:rFonts w:asciiTheme="majorHAnsi" w:hAnsiTheme="majorHAnsi" w:cstheme="majorHAnsi"/>
                <w:noProof/>
                <w:webHidden/>
              </w:rPr>
            </w:r>
            <w:r w:rsidR="009F74A0" w:rsidRPr="006715DA">
              <w:rPr>
                <w:rFonts w:asciiTheme="majorHAnsi" w:hAnsiTheme="majorHAnsi" w:cstheme="majorHAnsi"/>
                <w:noProof/>
                <w:webHidden/>
              </w:rPr>
              <w:fldChar w:fldCharType="separate"/>
            </w:r>
            <w:r w:rsidR="009F74A0" w:rsidRPr="006715DA">
              <w:rPr>
                <w:rFonts w:asciiTheme="majorHAnsi" w:hAnsiTheme="majorHAnsi" w:cstheme="majorHAnsi"/>
                <w:noProof/>
                <w:webHidden/>
              </w:rPr>
              <w:t>21</w:t>
            </w:r>
            <w:r w:rsidR="009F74A0" w:rsidRPr="006715DA">
              <w:rPr>
                <w:rFonts w:asciiTheme="majorHAnsi" w:hAnsiTheme="majorHAnsi" w:cstheme="majorHAnsi"/>
                <w:noProof/>
                <w:webHidden/>
              </w:rPr>
              <w:fldChar w:fldCharType="end"/>
            </w:r>
          </w:hyperlink>
        </w:p>
        <w:p w14:paraId="5F83A433" w14:textId="00D321D7" w:rsidR="005C287C" w:rsidRDefault="005C287C" w:rsidP="005C287C">
          <w:pPr>
            <w:pStyle w:val="12"/>
            <w:tabs>
              <w:tab w:val="right" w:leader="dot" w:pos="9016"/>
            </w:tabs>
            <w:rPr>
              <w:b/>
              <w:bCs/>
              <w:lang w:val="el-GR"/>
            </w:rPr>
          </w:pPr>
          <w:r w:rsidRPr="006715DA">
            <w:rPr>
              <w:rFonts w:asciiTheme="majorHAnsi" w:hAnsiTheme="majorHAnsi" w:cstheme="majorHAnsi"/>
              <w:bCs/>
              <w:lang w:val="el-GR"/>
            </w:rPr>
            <w:fldChar w:fldCharType="end"/>
          </w:r>
        </w:p>
      </w:sdtContent>
    </w:sdt>
    <w:p w14:paraId="27C53716" w14:textId="46A294FE" w:rsidR="006715DA" w:rsidRDefault="006715DA" w:rsidP="006715DA">
      <w:pPr>
        <w:spacing w:before="3000"/>
        <w:rPr>
          <w:rFonts w:cstheme="minorHAnsi"/>
          <w:b/>
          <w:lang w:val="el-GR"/>
        </w:rPr>
      </w:pPr>
    </w:p>
    <w:tbl>
      <w:tblPr>
        <w:tblStyle w:val="ab"/>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6715DA" w:rsidRPr="004A6D4E" w14:paraId="390D78EC" w14:textId="77777777" w:rsidTr="006715DA">
        <w:trPr>
          <w:jc w:val="center"/>
        </w:trPr>
        <w:tc>
          <w:tcPr>
            <w:tcW w:w="1948" w:type="dxa"/>
            <w:shd w:val="clear" w:color="auto" w:fill="F2F2F2" w:themeFill="background1" w:themeFillShade="F2"/>
          </w:tcPr>
          <w:p w14:paraId="7278D440" w14:textId="77777777" w:rsidR="006715DA" w:rsidRDefault="006715DA" w:rsidP="006715DA">
            <w:pPr>
              <w:spacing w:before="60" w:after="60"/>
              <w:jc w:val="right"/>
              <w:rPr>
                <w:sz w:val="24"/>
                <w:szCs w:val="24"/>
                <w:lang w:val="el-GR"/>
              </w:rPr>
            </w:pPr>
            <w:r>
              <w:rPr>
                <w:noProof/>
                <w:sz w:val="24"/>
                <w:szCs w:val="24"/>
                <w:lang w:val="el-GR" w:eastAsia="el-GR"/>
              </w:rPr>
              <w:drawing>
                <wp:inline distT="0" distB="0" distL="0" distR="0" wp14:anchorId="671EE18A" wp14:editId="26BF6472">
                  <wp:extent cx="914400" cy="914400"/>
                  <wp:effectExtent l="0" t="0" r="0" b="0"/>
                  <wp:docPr id="2" name="Εικόνα 2"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20738D98" w14:textId="77777777" w:rsidR="006715DA" w:rsidRPr="003F7C4B" w:rsidRDefault="006715DA" w:rsidP="006715DA">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sidRPr="000D2D4C">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0C0BBAE4" w14:textId="77777777" w:rsidR="006715DA" w:rsidRPr="003F7C4B" w:rsidRDefault="006715DA" w:rsidP="006715DA">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sidRPr="000D2D4C">
              <w:rPr>
                <w:i/>
                <w:sz w:val="20"/>
                <w:szCs w:val="20"/>
                <w:lang w:val="el-GR"/>
              </w:rPr>
              <w:t xml:space="preserve"> </w:t>
            </w:r>
            <w:r w:rsidRPr="00CE232E">
              <w:rPr>
                <w:i/>
                <w:sz w:val="20"/>
                <w:szCs w:val="20"/>
                <w:lang w:val="en-GB"/>
              </w:rPr>
              <w:t>Accessibility</w:t>
            </w:r>
            <w:r w:rsidRPr="000D2D4C">
              <w:rPr>
                <w:i/>
                <w:sz w:val="20"/>
                <w:szCs w:val="20"/>
                <w:lang w:val="el-GR"/>
              </w:rPr>
              <w:t xml:space="preserve"> </w:t>
            </w:r>
            <w:r w:rsidRPr="00CE232E">
              <w:rPr>
                <w:i/>
                <w:sz w:val="20"/>
                <w:szCs w:val="20"/>
                <w:lang w:val="en-GB"/>
              </w:rPr>
              <w:t>Checker</w:t>
            </w:r>
            <w:r w:rsidRPr="00CE232E">
              <w:rPr>
                <w:sz w:val="20"/>
                <w:szCs w:val="20"/>
                <w:lang w:val="el-GR"/>
              </w:rPr>
              <w:t xml:space="preserve"> </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3F2526E9" w14:textId="420FCE17"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2D9CB1B6" w14:textId="77777777" w:rsidR="006715DA" w:rsidRPr="004A6D4E" w:rsidRDefault="006715DA" w:rsidP="006715DA">
      <w:pPr>
        <w:pStyle w:val="a9"/>
        <w:spacing w:after="200" w:line="276" w:lineRule="auto"/>
        <w:ind w:left="0"/>
        <w:contextualSpacing w:val="0"/>
        <w:jc w:val="both"/>
        <w:rPr>
          <w:rStyle w:val="tlid-translation"/>
          <w:sz w:val="24"/>
          <w:szCs w:val="24"/>
          <w:lang w:val="el-GR"/>
        </w:rPr>
      </w:pPr>
      <w:bookmarkStart w:id="0" w:name="_Toc53409338"/>
    </w:p>
    <w:p w14:paraId="0F528EAA" w14:textId="0154CF2D" w:rsidR="005C287C" w:rsidRDefault="005C287C" w:rsidP="00660C45">
      <w:pPr>
        <w:pStyle w:val="10"/>
        <w:numPr>
          <w:ilvl w:val="0"/>
          <w:numId w:val="0"/>
        </w:numPr>
        <w:spacing w:before="840" w:after="360" w:line="276" w:lineRule="auto"/>
        <w:ind w:left="432" w:hanging="432"/>
        <w:rPr>
          <w:rFonts w:asciiTheme="minorHAnsi" w:hAnsiTheme="minorHAnsi" w:cstheme="minorHAnsi"/>
          <w:b/>
          <w:color w:val="auto"/>
          <w:lang w:val="el-GR"/>
        </w:rPr>
      </w:pPr>
      <w:r w:rsidRPr="00CB77DA">
        <w:rPr>
          <w:rFonts w:asciiTheme="minorHAnsi" w:hAnsiTheme="minorHAnsi" w:cstheme="minorHAnsi"/>
          <w:b/>
          <w:color w:val="auto"/>
          <w:lang w:val="el-GR"/>
        </w:rPr>
        <w:t>ΕΙΣΑΓΩΓΗ</w:t>
      </w:r>
      <w:bookmarkEnd w:id="0"/>
    </w:p>
    <w:p w14:paraId="2E27D14D" w14:textId="63DF0006" w:rsidR="00FD67D1" w:rsidRPr="00275014" w:rsidRDefault="0016570D" w:rsidP="006715DA">
      <w:pPr>
        <w:pStyle w:val="a9"/>
        <w:spacing w:after="200" w:line="276" w:lineRule="auto"/>
        <w:ind w:left="0"/>
        <w:contextualSpacing w:val="0"/>
        <w:jc w:val="both"/>
        <w:rPr>
          <w:rStyle w:val="tlid-translation"/>
          <w:sz w:val="24"/>
          <w:szCs w:val="24"/>
          <w:lang w:val="el-GR"/>
        </w:rPr>
      </w:pPr>
      <w:r>
        <w:rPr>
          <w:rStyle w:val="tlid-translation"/>
          <w:sz w:val="24"/>
          <w:szCs w:val="24"/>
          <w:lang w:val="el-GR"/>
        </w:rPr>
        <w:t xml:space="preserve">Αντικείμενο του παρόντος </w:t>
      </w:r>
      <w:r w:rsidR="00275014">
        <w:rPr>
          <w:rStyle w:val="tlid-translation"/>
          <w:sz w:val="24"/>
          <w:szCs w:val="24"/>
          <w:lang w:val="el-GR"/>
        </w:rPr>
        <w:t>είναι οι παροχές</w:t>
      </w:r>
      <w:r>
        <w:rPr>
          <w:rStyle w:val="tlid-translation"/>
          <w:sz w:val="24"/>
          <w:szCs w:val="24"/>
          <w:lang w:val="el-GR"/>
        </w:rPr>
        <w:t xml:space="preserve"> κοινωνική</w:t>
      </w:r>
      <w:r w:rsidR="00275014">
        <w:rPr>
          <w:rStyle w:val="tlid-translation"/>
          <w:sz w:val="24"/>
          <w:szCs w:val="24"/>
          <w:lang w:val="el-GR"/>
        </w:rPr>
        <w:t>ς</w:t>
      </w:r>
      <w:r>
        <w:rPr>
          <w:rStyle w:val="tlid-translation"/>
          <w:sz w:val="24"/>
          <w:szCs w:val="24"/>
          <w:lang w:val="el-GR"/>
        </w:rPr>
        <w:t xml:space="preserve"> προστασία</w:t>
      </w:r>
      <w:r w:rsidR="00275014">
        <w:rPr>
          <w:rStyle w:val="tlid-translation"/>
          <w:sz w:val="24"/>
          <w:szCs w:val="24"/>
          <w:lang w:val="el-GR"/>
        </w:rPr>
        <w:t xml:space="preserve">ς </w:t>
      </w:r>
      <w:r w:rsidR="00B05F86">
        <w:rPr>
          <w:rStyle w:val="tlid-translation"/>
          <w:sz w:val="24"/>
          <w:szCs w:val="24"/>
          <w:lang w:val="el-GR"/>
        </w:rPr>
        <w:t xml:space="preserve">προς </w:t>
      </w:r>
      <w:r w:rsidR="00275014">
        <w:rPr>
          <w:rStyle w:val="tlid-translation"/>
          <w:sz w:val="24"/>
          <w:szCs w:val="24"/>
          <w:lang w:val="el-GR"/>
        </w:rPr>
        <w:t>τα άτομα με αναπηρία</w:t>
      </w:r>
      <w:r w:rsidR="00F26D12">
        <w:rPr>
          <w:rStyle w:val="tlid-translation"/>
          <w:sz w:val="24"/>
          <w:szCs w:val="24"/>
          <w:lang w:val="el-GR"/>
        </w:rPr>
        <w:t xml:space="preserve"> στην Ελλάδα.</w:t>
      </w:r>
      <w:r w:rsidR="00275014">
        <w:rPr>
          <w:rStyle w:val="tlid-translation"/>
          <w:sz w:val="24"/>
          <w:szCs w:val="24"/>
          <w:lang w:val="el-GR"/>
        </w:rPr>
        <w:t xml:space="preserve"> </w:t>
      </w:r>
      <w:r w:rsidR="00F26D12">
        <w:rPr>
          <w:rStyle w:val="tlid-translation"/>
          <w:sz w:val="24"/>
          <w:szCs w:val="24"/>
          <w:lang w:val="el-GR"/>
        </w:rPr>
        <w:t>Σ</w:t>
      </w:r>
      <w:r w:rsidR="00275014">
        <w:rPr>
          <w:rStyle w:val="tlid-translation"/>
          <w:sz w:val="24"/>
          <w:szCs w:val="24"/>
          <w:lang w:val="el-GR"/>
        </w:rPr>
        <w:t>το δελτίο</w:t>
      </w:r>
      <w:r w:rsidR="00C70007">
        <w:rPr>
          <w:rStyle w:val="tlid-translation"/>
          <w:sz w:val="24"/>
          <w:szCs w:val="24"/>
          <w:lang w:val="el-GR"/>
        </w:rPr>
        <w:t>,</w:t>
      </w:r>
      <w:r w:rsidR="00275014">
        <w:rPr>
          <w:rStyle w:val="tlid-translation"/>
          <w:sz w:val="24"/>
          <w:szCs w:val="24"/>
          <w:lang w:val="el-GR"/>
        </w:rPr>
        <w:t xml:space="preserve"> παρουσιάζονται διαχρονικά</w:t>
      </w:r>
      <w:r>
        <w:rPr>
          <w:rStyle w:val="tlid-translation"/>
          <w:sz w:val="24"/>
          <w:szCs w:val="24"/>
          <w:lang w:val="el-GR"/>
        </w:rPr>
        <w:t xml:space="preserve"> δεδομένα</w:t>
      </w:r>
      <w:r w:rsidR="00275014">
        <w:rPr>
          <w:rStyle w:val="tlid-translation"/>
          <w:sz w:val="24"/>
          <w:szCs w:val="24"/>
          <w:lang w:val="el-GR"/>
        </w:rPr>
        <w:t xml:space="preserve"> </w:t>
      </w:r>
      <w:r w:rsidR="00C70007">
        <w:rPr>
          <w:rStyle w:val="tlid-translation"/>
          <w:sz w:val="24"/>
          <w:szCs w:val="24"/>
          <w:lang w:val="el-GR"/>
        </w:rPr>
        <w:t xml:space="preserve">από το </w:t>
      </w:r>
      <w:bookmarkStart w:id="1" w:name="_Hlk44944122"/>
      <w:r w:rsidR="00C70007" w:rsidRPr="00F943F3">
        <w:rPr>
          <w:rStyle w:val="tlid-translation"/>
          <w:sz w:val="24"/>
          <w:szCs w:val="24"/>
          <w:lang w:val="el-GR"/>
        </w:rPr>
        <w:t>Ευρωπαϊκό Σύστημα</w:t>
      </w:r>
      <w:r w:rsidR="00275014" w:rsidRPr="00F943F3">
        <w:rPr>
          <w:rStyle w:val="tlid-translation"/>
          <w:sz w:val="24"/>
          <w:szCs w:val="24"/>
          <w:lang w:val="el-GR"/>
        </w:rPr>
        <w:t xml:space="preserve"> Ολοκληρωμένων Στατιστικών Κοινωνικής Προστασίας</w:t>
      </w:r>
      <w:r w:rsidR="00275014" w:rsidRPr="0016570D">
        <w:rPr>
          <w:rStyle w:val="tlid-translation"/>
          <w:sz w:val="24"/>
          <w:szCs w:val="24"/>
          <w:lang w:val="el-GR"/>
        </w:rPr>
        <w:t xml:space="preserve"> (</w:t>
      </w:r>
      <w:r w:rsidR="00275014" w:rsidRPr="00F943F3">
        <w:rPr>
          <w:rStyle w:val="tlid-translation"/>
          <w:sz w:val="24"/>
          <w:szCs w:val="24"/>
          <w:lang w:val="el-GR"/>
        </w:rPr>
        <w:t>ESSPROS)</w:t>
      </w:r>
      <w:bookmarkEnd w:id="1"/>
      <w:r w:rsidR="00275014">
        <w:rPr>
          <w:rStyle w:val="tlid-translation"/>
          <w:sz w:val="24"/>
          <w:szCs w:val="24"/>
          <w:lang w:val="el-GR"/>
        </w:rPr>
        <w:t xml:space="preserve"> </w:t>
      </w:r>
      <w:r w:rsidR="00C70007">
        <w:rPr>
          <w:rStyle w:val="tlid-translation"/>
          <w:sz w:val="24"/>
          <w:szCs w:val="24"/>
          <w:lang w:val="el-GR"/>
        </w:rPr>
        <w:t xml:space="preserve">σχετικά με τις </w:t>
      </w:r>
      <w:r w:rsidR="00275014">
        <w:rPr>
          <w:rStyle w:val="tlid-translation"/>
          <w:sz w:val="24"/>
          <w:szCs w:val="24"/>
          <w:lang w:val="el-GR"/>
        </w:rPr>
        <w:t>δαπ</w:t>
      </w:r>
      <w:r w:rsidR="001D6A57">
        <w:rPr>
          <w:rStyle w:val="tlid-translation"/>
          <w:sz w:val="24"/>
          <w:szCs w:val="24"/>
          <w:lang w:val="el-GR"/>
        </w:rPr>
        <w:t>άνες</w:t>
      </w:r>
      <w:r>
        <w:rPr>
          <w:rStyle w:val="tlid-translation"/>
          <w:sz w:val="24"/>
          <w:szCs w:val="24"/>
          <w:lang w:val="el-GR"/>
        </w:rPr>
        <w:t xml:space="preserve"> </w:t>
      </w:r>
      <w:r w:rsidR="00C70007">
        <w:rPr>
          <w:rStyle w:val="tlid-translation"/>
          <w:sz w:val="24"/>
          <w:szCs w:val="24"/>
          <w:lang w:val="el-GR"/>
        </w:rPr>
        <w:t xml:space="preserve">για </w:t>
      </w:r>
      <w:r w:rsidR="00275014">
        <w:rPr>
          <w:rStyle w:val="tlid-translation"/>
          <w:sz w:val="24"/>
          <w:szCs w:val="24"/>
          <w:lang w:val="el-GR"/>
        </w:rPr>
        <w:t>κοινωνικ</w:t>
      </w:r>
      <w:r w:rsidR="00C70007">
        <w:rPr>
          <w:rStyle w:val="tlid-translation"/>
          <w:sz w:val="24"/>
          <w:szCs w:val="24"/>
          <w:lang w:val="el-GR"/>
        </w:rPr>
        <w:t>ή</w:t>
      </w:r>
      <w:r w:rsidR="00275014">
        <w:rPr>
          <w:rStyle w:val="tlid-translation"/>
          <w:sz w:val="24"/>
          <w:szCs w:val="24"/>
          <w:lang w:val="el-GR"/>
        </w:rPr>
        <w:t xml:space="preserve"> προστασ</w:t>
      </w:r>
      <w:r w:rsidR="00C70007">
        <w:rPr>
          <w:rStyle w:val="tlid-translation"/>
          <w:sz w:val="24"/>
          <w:szCs w:val="24"/>
          <w:lang w:val="el-GR"/>
        </w:rPr>
        <w:t>ία</w:t>
      </w:r>
      <w:r w:rsidR="001D6A57">
        <w:rPr>
          <w:rStyle w:val="tlid-translation"/>
          <w:sz w:val="24"/>
          <w:szCs w:val="24"/>
          <w:lang w:val="el-GR"/>
        </w:rPr>
        <w:t>,</w:t>
      </w:r>
      <w:r w:rsidR="00275014">
        <w:rPr>
          <w:rStyle w:val="tlid-translation"/>
          <w:sz w:val="24"/>
          <w:szCs w:val="24"/>
          <w:lang w:val="el-GR"/>
        </w:rPr>
        <w:t xml:space="preserve"> </w:t>
      </w:r>
      <w:r w:rsidR="00FD67D1" w:rsidRPr="00275014">
        <w:rPr>
          <w:rStyle w:val="tlid-translation"/>
          <w:sz w:val="24"/>
          <w:szCs w:val="24"/>
          <w:lang w:val="el-GR"/>
        </w:rPr>
        <w:t>διερευν</w:t>
      </w:r>
      <w:r w:rsidR="006424BB" w:rsidRPr="00275014">
        <w:rPr>
          <w:rStyle w:val="tlid-translation"/>
          <w:sz w:val="24"/>
          <w:szCs w:val="24"/>
          <w:lang w:val="el-GR"/>
        </w:rPr>
        <w:t xml:space="preserve">άται </w:t>
      </w:r>
      <w:r w:rsidR="00FD67D1" w:rsidRPr="00275014">
        <w:rPr>
          <w:rStyle w:val="tlid-translation"/>
          <w:sz w:val="24"/>
          <w:szCs w:val="24"/>
          <w:lang w:val="el-GR"/>
        </w:rPr>
        <w:t xml:space="preserve">η </w:t>
      </w:r>
      <w:r w:rsidR="0079481B" w:rsidRPr="00275014">
        <w:rPr>
          <w:rStyle w:val="tlid-translation"/>
          <w:sz w:val="24"/>
          <w:szCs w:val="24"/>
          <w:lang w:val="el-GR"/>
        </w:rPr>
        <w:t xml:space="preserve">εξέλιξη </w:t>
      </w:r>
      <w:r w:rsidR="00275014">
        <w:rPr>
          <w:rStyle w:val="tlid-translation"/>
          <w:sz w:val="24"/>
          <w:szCs w:val="24"/>
          <w:lang w:val="el-GR"/>
        </w:rPr>
        <w:t xml:space="preserve">αυτών </w:t>
      </w:r>
      <w:r w:rsidR="00FD67D1" w:rsidRPr="00275014">
        <w:rPr>
          <w:rStyle w:val="tlid-translation"/>
          <w:sz w:val="24"/>
          <w:szCs w:val="24"/>
          <w:lang w:val="el-GR"/>
        </w:rPr>
        <w:t>των μεγεθών</w:t>
      </w:r>
      <w:r w:rsidR="0079481B" w:rsidRPr="00275014">
        <w:rPr>
          <w:rStyle w:val="tlid-translation"/>
          <w:sz w:val="24"/>
          <w:szCs w:val="24"/>
          <w:lang w:val="el-GR"/>
        </w:rPr>
        <w:t xml:space="preserve"> τα χρόνια της κρίσης</w:t>
      </w:r>
      <w:r w:rsidR="001D6A57">
        <w:rPr>
          <w:rStyle w:val="tlid-translation"/>
          <w:sz w:val="24"/>
          <w:szCs w:val="24"/>
          <w:lang w:val="el-GR"/>
        </w:rPr>
        <w:t>, και</w:t>
      </w:r>
      <w:r w:rsidR="00FD67D1" w:rsidRPr="00275014">
        <w:rPr>
          <w:rStyle w:val="tlid-translation"/>
          <w:sz w:val="24"/>
          <w:szCs w:val="24"/>
          <w:lang w:val="el-GR"/>
        </w:rPr>
        <w:t xml:space="preserve"> </w:t>
      </w:r>
      <w:r w:rsidR="00C70007">
        <w:rPr>
          <w:rStyle w:val="tlid-translation"/>
          <w:sz w:val="24"/>
          <w:szCs w:val="24"/>
          <w:lang w:val="el-GR"/>
        </w:rPr>
        <w:t xml:space="preserve">παρουσιάζεται </w:t>
      </w:r>
      <w:r w:rsidR="00FD67D1" w:rsidRPr="00275014">
        <w:rPr>
          <w:rStyle w:val="tlid-translation"/>
          <w:sz w:val="24"/>
          <w:szCs w:val="24"/>
          <w:lang w:val="el-GR"/>
        </w:rPr>
        <w:t xml:space="preserve">η </w:t>
      </w:r>
      <w:r w:rsidR="0079481B" w:rsidRPr="00275014">
        <w:rPr>
          <w:rStyle w:val="tlid-translation"/>
          <w:sz w:val="24"/>
          <w:szCs w:val="24"/>
          <w:lang w:val="el-GR"/>
        </w:rPr>
        <w:t>θέση της χώρας</w:t>
      </w:r>
      <w:r w:rsidR="001D6A57">
        <w:rPr>
          <w:rStyle w:val="tlid-translation"/>
          <w:sz w:val="24"/>
          <w:szCs w:val="24"/>
          <w:lang w:val="el-GR"/>
        </w:rPr>
        <w:t xml:space="preserve"> </w:t>
      </w:r>
      <w:r w:rsidR="001D6A57" w:rsidRPr="00275014">
        <w:rPr>
          <w:rStyle w:val="tlid-translation"/>
          <w:sz w:val="24"/>
          <w:szCs w:val="24"/>
          <w:lang w:val="el-GR"/>
        </w:rPr>
        <w:t>συγκριτικά με τα υπόλοιπα κράτη της Ευρώπης</w:t>
      </w:r>
      <w:r w:rsidR="00B05F86">
        <w:rPr>
          <w:rStyle w:val="tlid-translation"/>
          <w:sz w:val="24"/>
          <w:szCs w:val="24"/>
          <w:lang w:val="el-GR"/>
        </w:rPr>
        <w:t xml:space="preserve"> </w:t>
      </w:r>
      <w:r w:rsidR="0079481B" w:rsidRPr="00275014">
        <w:rPr>
          <w:rStyle w:val="tlid-translation"/>
          <w:sz w:val="24"/>
          <w:szCs w:val="24"/>
          <w:lang w:val="el-GR"/>
        </w:rPr>
        <w:t xml:space="preserve">ως προς το επίπεδο των </w:t>
      </w:r>
      <w:r w:rsidR="001D6A57">
        <w:rPr>
          <w:rStyle w:val="tlid-translation"/>
          <w:sz w:val="24"/>
          <w:szCs w:val="24"/>
          <w:lang w:val="el-GR"/>
        </w:rPr>
        <w:t xml:space="preserve">κοινωνικών </w:t>
      </w:r>
      <w:r w:rsidR="0079481B" w:rsidRPr="00275014">
        <w:rPr>
          <w:rStyle w:val="tlid-translation"/>
          <w:sz w:val="24"/>
          <w:szCs w:val="24"/>
          <w:lang w:val="el-GR"/>
        </w:rPr>
        <w:t xml:space="preserve">παροχών. </w:t>
      </w:r>
    </w:p>
    <w:p w14:paraId="351A20DA" w14:textId="6CB4EF13" w:rsidR="00946312" w:rsidRDefault="00CE6997" w:rsidP="006715DA">
      <w:pPr>
        <w:pStyle w:val="a9"/>
        <w:spacing w:after="200" w:line="276" w:lineRule="auto"/>
        <w:ind w:left="0"/>
        <w:contextualSpacing w:val="0"/>
        <w:jc w:val="both"/>
        <w:rPr>
          <w:rStyle w:val="tlid-translation"/>
          <w:sz w:val="24"/>
          <w:szCs w:val="24"/>
          <w:lang w:val="el-GR"/>
        </w:rPr>
      </w:pPr>
      <w:r>
        <w:rPr>
          <w:rStyle w:val="tlid-translation"/>
          <w:sz w:val="24"/>
          <w:szCs w:val="24"/>
          <w:lang w:val="el-GR"/>
        </w:rPr>
        <w:t xml:space="preserve">Στη </w:t>
      </w:r>
      <w:r w:rsidR="00946312">
        <w:rPr>
          <w:rStyle w:val="tlid-translation"/>
          <w:sz w:val="24"/>
          <w:szCs w:val="24"/>
          <w:lang w:val="el-GR"/>
        </w:rPr>
        <w:t xml:space="preserve">πρωτόγνωρη </w:t>
      </w:r>
      <w:r>
        <w:rPr>
          <w:rStyle w:val="tlid-translation"/>
          <w:sz w:val="24"/>
          <w:szCs w:val="24"/>
          <w:lang w:val="el-GR"/>
        </w:rPr>
        <w:t>συγκυρία της</w:t>
      </w:r>
      <w:r w:rsidR="00946312">
        <w:rPr>
          <w:rStyle w:val="tlid-translation"/>
          <w:sz w:val="24"/>
          <w:szCs w:val="24"/>
          <w:lang w:val="el-GR"/>
        </w:rPr>
        <w:t xml:space="preserve"> </w:t>
      </w:r>
      <w:r w:rsidR="00E85484">
        <w:rPr>
          <w:rStyle w:val="tlid-translation"/>
          <w:sz w:val="24"/>
          <w:szCs w:val="24"/>
          <w:lang w:val="el-GR"/>
        </w:rPr>
        <w:t xml:space="preserve">πανδημίας του </w:t>
      </w:r>
      <w:r w:rsidR="00E85484">
        <w:rPr>
          <w:rStyle w:val="tlid-translation"/>
          <w:sz w:val="24"/>
          <w:szCs w:val="24"/>
        </w:rPr>
        <w:t>Covid</w:t>
      </w:r>
      <w:r w:rsidR="00E85484" w:rsidRPr="00E85484">
        <w:rPr>
          <w:rStyle w:val="tlid-translation"/>
          <w:sz w:val="24"/>
          <w:szCs w:val="24"/>
          <w:lang w:val="el-GR"/>
        </w:rPr>
        <w:t xml:space="preserve">-19, </w:t>
      </w:r>
      <w:r>
        <w:rPr>
          <w:rStyle w:val="tlid-translation"/>
          <w:sz w:val="24"/>
          <w:szCs w:val="24"/>
          <w:lang w:val="el-GR"/>
        </w:rPr>
        <w:t>και της βαθι</w:t>
      </w:r>
      <w:r w:rsidR="00946312">
        <w:rPr>
          <w:rStyle w:val="tlid-translation"/>
          <w:sz w:val="24"/>
          <w:szCs w:val="24"/>
          <w:lang w:val="el-GR"/>
        </w:rPr>
        <w:t xml:space="preserve">άς </w:t>
      </w:r>
      <w:r>
        <w:rPr>
          <w:rStyle w:val="tlid-translation"/>
          <w:sz w:val="24"/>
          <w:szCs w:val="24"/>
          <w:lang w:val="el-GR"/>
        </w:rPr>
        <w:t>οικονομικής ύφεσης που έχει πυροδοτ</w:t>
      </w:r>
      <w:r w:rsidR="00946312">
        <w:rPr>
          <w:rStyle w:val="tlid-translation"/>
          <w:sz w:val="24"/>
          <w:szCs w:val="24"/>
          <w:lang w:val="el-GR"/>
        </w:rPr>
        <w:t xml:space="preserve">ήσει παγκοσμίως, </w:t>
      </w:r>
      <w:r>
        <w:rPr>
          <w:rStyle w:val="tlid-translation"/>
          <w:sz w:val="24"/>
          <w:szCs w:val="24"/>
          <w:lang w:val="el-GR"/>
        </w:rPr>
        <w:t xml:space="preserve">η </w:t>
      </w:r>
      <w:r w:rsidR="00946312">
        <w:rPr>
          <w:rStyle w:val="tlid-translation"/>
          <w:sz w:val="24"/>
          <w:szCs w:val="24"/>
          <w:lang w:val="el-GR"/>
        </w:rPr>
        <w:t xml:space="preserve">αναγκαιότητα </w:t>
      </w:r>
      <w:r w:rsidR="00A04A3F">
        <w:rPr>
          <w:rStyle w:val="tlid-translation"/>
          <w:sz w:val="24"/>
          <w:szCs w:val="24"/>
          <w:lang w:val="el-GR"/>
        </w:rPr>
        <w:t>του</w:t>
      </w:r>
      <w:r w:rsidR="00946312">
        <w:rPr>
          <w:rStyle w:val="tlid-translation"/>
          <w:sz w:val="24"/>
          <w:szCs w:val="24"/>
          <w:lang w:val="el-GR"/>
        </w:rPr>
        <w:t xml:space="preserve"> κράτους πρόνοιας </w:t>
      </w:r>
      <w:r w:rsidR="00A04A3F">
        <w:rPr>
          <w:rStyle w:val="tlid-translation"/>
          <w:sz w:val="24"/>
          <w:szCs w:val="24"/>
          <w:lang w:val="el-GR"/>
        </w:rPr>
        <w:t xml:space="preserve">και των αποτελεσματικών πολιτικών </w:t>
      </w:r>
      <w:r w:rsidR="00150307">
        <w:rPr>
          <w:rStyle w:val="tlid-translation"/>
          <w:sz w:val="24"/>
          <w:szCs w:val="24"/>
          <w:lang w:val="el-GR"/>
        </w:rPr>
        <w:t xml:space="preserve">κοινωνικής </w:t>
      </w:r>
      <w:r>
        <w:rPr>
          <w:rStyle w:val="tlid-translation"/>
          <w:sz w:val="24"/>
          <w:szCs w:val="24"/>
          <w:lang w:val="el-GR"/>
        </w:rPr>
        <w:t>προστασίας</w:t>
      </w:r>
      <w:r w:rsidR="005919BA">
        <w:rPr>
          <w:rStyle w:val="tlid-translation"/>
          <w:sz w:val="24"/>
          <w:szCs w:val="24"/>
          <w:lang w:val="el-GR"/>
        </w:rPr>
        <w:t xml:space="preserve"> </w:t>
      </w:r>
      <w:r w:rsidR="00A04A3F">
        <w:rPr>
          <w:rStyle w:val="tlid-translation"/>
          <w:sz w:val="24"/>
          <w:szCs w:val="24"/>
          <w:lang w:val="el-GR"/>
        </w:rPr>
        <w:t xml:space="preserve">είναι αυταπόδεικτη. </w:t>
      </w:r>
    </w:p>
    <w:p w14:paraId="1981F785" w14:textId="744497A5" w:rsidR="00DC0385" w:rsidRDefault="007A5849" w:rsidP="006715DA">
      <w:pPr>
        <w:pStyle w:val="a9"/>
        <w:spacing w:after="200" w:line="276" w:lineRule="auto"/>
        <w:ind w:left="0"/>
        <w:contextualSpacing w:val="0"/>
        <w:jc w:val="both"/>
        <w:rPr>
          <w:rStyle w:val="tlid-translation"/>
          <w:sz w:val="24"/>
          <w:szCs w:val="24"/>
          <w:lang w:val="el-GR"/>
        </w:rPr>
      </w:pPr>
      <w:r>
        <w:rPr>
          <w:rStyle w:val="tlid-translation"/>
          <w:sz w:val="24"/>
          <w:szCs w:val="24"/>
          <w:lang w:val="el-GR"/>
        </w:rPr>
        <w:t>Η αναμενόμενη ραγδαία αύξηση της</w:t>
      </w:r>
      <w:r w:rsidR="00946312">
        <w:rPr>
          <w:rStyle w:val="tlid-translation"/>
          <w:sz w:val="24"/>
          <w:szCs w:val="24"/>
          <w:lang w:val="el-GR"/>
        </w:rPr>
        <w:t xml:space="preserve"> ανεργίας και της </w:t>
      </w:r>
      <w:r>
        <w:rPr>
          <w:rStyle w:val="tlid-translation"/>
          <w:sz w:val="24"/>
          <w:szCs w:val="24"/>
          <w:lang w:val="el-GR"/>
        </w:rPr>
        <w:t xml:space="preserve">ακραίας </w:t>
      </w:r>
      <w:r w:rsidR="00946312">
        <w:rPr>
          <w:rStyle w:val="tlid-translation"/>
          <w:sz w:val="24"/>
          <w:szCs w:val="24"/>
          <w:lang w:val="el-GR"/>
        </w:rPr>
        <w:t xml:space="preserve">φτώχειας </w:t>
      </w:r>
      <w:r w:rsidR="00C362D4">
        <w:rPr>
          <w:rStyle w:val="tlid-translation"/>
          <w:sz w:val="24"/>
          <w:szCs w:val="24"/>
          <w:lang w:val="el-GR"/>
        </w:rPr>
        <w:t>που έχει ήδη διαφανεί,</w:t>
      </w:r>
      <w:r w:rsidR="009C61A9">
        <w:rPr>
          <w:rStyle w:val="tlid-translation"/>
          <w:sz w:val="24"/>
          <w:szCs w:val="24"/>
          <w:lang w:val="el-GR"/>
        </w:rPr>
        <w:t xml:space="preserve"> </w:t>
      </w:r>
      <w:r w:rsidR="00DE3E65">
        <w:rPr>
          <w:rStyle w:val="tlid-translation"/>
          <w:sz w:val="24"/>
          <w:szCs w:val="24"/>
          <w:lang w:val="el-GR"/>
        </w:rPr>
        <w:t>πλήττει</w:t>
      </w:r>
      <w:r w:rsidR="009C61A9">
        <w:rPr>
          <w:rStyle w:val="tlid-translation"/>
          <w:sz w:val="24"/>
          <w:szCs w:val="24"/>
          <w:lang w:val="el-GR"/>
        </w:rPr>
        <w:t xml:space="preserve"> δυσανάλογα τις ευάλωτες κοινωνικές ομάδες</w:t>
      </w:r>
      <w:r w:rsidR="005919BA">
        <w:rPr>
          <w:rStyle w:val="tlid-translation"/>
          <w:sz w:val="24"/>
          <w:szCs w:val="24"/>
          <w:lang w:val="el-GR"/>
        </w:rPr>
        <w:t xml:space="preserve"> </w:t>
      </w:r>
      <w:r w:rsidR="00166C4F">
        <w:rPr>
          <w:rStyle w:val="tlid-translation"/>
          <w:sz w:val="24"/>
          <w:szCs w:val="24"/>
          <w:lang w:val="el-GR"/>
        </w:rPr>
        <w:t xml:space="preserve">και ιδίως </w:t>
      </w:r>
      <w:r w:rsidR="009C61A9">
        <w:rPr>
          <w:rStyle w:val="tlid-translation"/>
          <w:sz w:val="24"/>
          <w:szCs w:val="24"/>
          <w:lang w:val="el-GR"/>
        </w:rPr>
        <w:t xml:space="preserve">τα άτομα με αναπηρία και τις οικογένειες </w:t>
      </w:r>
      <w:r w:rsidR="005919BA">
        <w:rPr>
          <w:rStyle w:val="tlid-translation"/>
          <w:sz w:val="24"/>
          <w:szCs w:val="24"/>
          <w:lang w:val="el-GR"/>
        </w:rPr>
        <w:t>τους,</w:t>
      </w:r>
      <w:r w:rsidR="000A3589">
        <w:rPr>
          <w:rStyle w:val="tlid-translation"/>
          <w:sz w:val="24"/>
          <w:szCs w:val="24"/>
          <w:lang w:val="el-GR"/>
        </w:rPr>
        <w:t xml:space="preserve"> που αντιμετώπιζαν ήδη αυξημένο κίνδυνο φτώχειας και κοινωνικ</w:t>
      </w:r>
      <w:r w:rsidR="00166C4F">
        <w:rPr>
          <w:rStyle w:val="tlid-translation"/>
          <w:sz w:val="24"/>
          <w:szCs w:val="24"/>
          <w:lang w:val="el-GR"/>
        </w:rPr>
        <w:t>ού</w:t>
      </w:r>
      <w:r w:rsidR="007A2BF8">
        <w:rPr>
          <w:rStyle w:val="tlid-translation"/>
          <w:sz w:val="24"/>
          <w:szCs w:val="24"/>
          <w:lang w:val="el-GR"/>
        </w:rPr>
        <w:t xml:space="preserve"> αποκλεισμ</w:t>
      </w:r>
      <w:r w:rsidR="00166C4F">
        <w:rPr>
          <w:rStyle w:val="tlid-translation"/>
          <w:sz w:val="24"/>
          <w:szCs w:val="24"/>
          <w:lang w:val="el-GR"/>
        </w:rPr>
        <w:t>ού.</w:t>
      </w:r>
      <w:r w:rsidR="000A3589">
        <w:rPr>
          <w:rStyle w:val="tlid-translation"/>
          <w:sz w:val="24"/>
          <w:szCs w:val="24"/>
          <w:lang w:val="el-GR"/>
        </w:rPr>
        <w:t xml:space="preserve"> </w:t>
      </w:r>
      <w:r w:rsidR="00DE3E65">
        <w:rPr>
          <w:rStyle w:val="tlid-translation"/>
          <w:sz w:val="24"/>
          <w:szCs w:val="24"/>
          <w:lang w:val="el-GR"/>
        </w:rPr>
        <w:t xml:space="preserve">Η πανδημία ως </w:t>
      </w:r>
      <w:r w:rsidR="009C61A9">
        <w:rPr>
          <w:rStyle w:val="tlid-translation"/>
          <w:sz w:val="24"/>
          <w:szCs w:val="24"/>
          <w:lang w:val="el-GR"/>
        </w:rPr>
        <w:t>υγειο</w:t>
      </w:r>
      <w:r w:rsidR="00E85484">
        <w:rPr>
          <w:rStyle w:val="tlid-translation"/>
          <w:sz w:val="24"/>
          <w:szCs w:val="24"/>
          <w:lang w:val="el-GR"/>
        </w:rPr>
        <w:t>νομική κρίση</w:t>
      </w:r>
      <w:r w:rsidR="00B84AF1">
        <w:rPr>
          <w:rStyle w:val="tlid-translation"/>
          <w:sz w:val="24"/>
          <w:szCs w:val="24"/>
          <w:lang w:val="el-GR"/>
        </w:rPr>
        <w:t>,</w:t>
      </w:r>
      <w:r w:rsidR="00166C4F">
        <w:rPr>
          <w:rStyle w:val="tlid-translation"/>
          <w:sz w:val="24"/>
          <w:szCs w:val="24"/>
          <w:lang w:val="el-GR"/>
        </w:rPr>
        <w:t xml:space="preserve"> </w:t>
      </w:r>
      <w:r w:rsidR="00C362D4">
        <w:rPr>
          <w:rStyle w:val="tlid-translation"/>
          <w:sz w:val="24"/>
          <w:szCs w:val="24"/>
          <w:lang w:val="el-GR"/>
        </w:rPr>
        <w:t xml:space="preserve">επίσης </w:t>
      </w:r>
      <w:r w:rsidR="009C61A9">
        <w:rPr>
          <w:rStyle w:val="tlid-translation"/>
          <w:sz w:val="24"/>
          <w:szCs w:val="24"/>
          <w:lang w:val="el-GR"/>
        </w:rPr>
        <w:t>ενέχει</w:t>
      </w:r>
      <w:r w:rsidR="00166C4F">
        <w:rPr>
          <w:rStyle w:val="tlid-translation"/>
          <w:sz w:val="24"/>
          <w:szCs w:val="24"/>
          <w:lang w:val="el-GR"/>
        </w:rPr>
        <w:t xml:space="preserve"> </w:t>
      </w:r>
      <w:r w:rsidR="009C61A9">
        <w:rPr>
          <w:rStyle w:val="tlid-translation"/>
          <w:sz w:val="24"/>
          <w:szCs w:val="24"/>
          <w:lang w:val="el-GR"/>
        </w:rPr>
        <w:t>μεγαλύτερους κινδύνους και επιβάλει πρόσθετους περιορισμούς στα άτομα με αναπηρία ή/και χρόνιες παθ</w:t>
      </w:r>
      <w:r w:rsidR="002D40C5">
        <w:rPr>
          <w:rStyle w:val="tlid-translation"/>
          <w:sz w:val="24"/>
          <w:szCs w:val="24"/>
          <w:lang w:val="el-GR"/>
        </w:rPr>
        <w:t xml:space="preserve">ήσεις </w:t>
      </w:r>
      <w:r w:rsidR="00DE3E65">
        <w:rPr>
          <w:rStyle w:val="tlid-translation"/>
          <w:sz w:val="24"/>
          <w:szCs w:val="24"/>
          <w:lang w:val="el-GR"/>
        </w:rPr>
        <w:t xml:space="preserve">απειλώντας </w:t>
      </w:r>
      <w:r w:rsidR="002D40C5">
        <w:rPr>
          <w:rStyle w:val="tlid-translation"/>
          <w:sz w:val="24"/>
          <w:szCs w:val="24"/>
          <w:lang w:val="el-GR"/>
        </w:rPr>
        <w:t xml:space="preserve">σημαντικά την υγεία τους, ιδιαίτερα όσων </w:t>
      </w:r>
      <w:r w:rsidR="00DE3E65">
        <w:rPr>
          <w:rStyle w:val="tlid-translation"/>
          <w:sz w:val="24"/>
          <w:szCs w:val="24"/>
          <w:lang w:val="el-GR"/>
        </w:rPr>
        <w:t xml:space="preserve">διαβιούν σε κλειστά ιδρύματα. </w:t>
      </w:r>
    </w:p>
    <w:p w14:paraId="3DDC843D" w14:textId="57522C6C" w:rsidR="00D872CB" w:rsidRPr="00BE2D00" w:rsidRDefault="00E85484" w:rsidP="006715DA">
      <w:pPr>
        <w:pStyle w:val="a9"/>
        <w:spacing w:after="200" w:line="276" w:lineRule="auto"/>
        <w:ind w:left="0"/>
        <w:contextualSpacing w:val="0"/>
        <w:jc w:val="both"/>
        <w:rPr>
          <w:rStyle w:val="tlid-translation"/>
          <w:sz w:val="24"/>
          <w:szCs w:val="24"/>
          <w:lang w:val="el-GR"/>
        </w:rPr>
      </w:pPr>
      <w:r>
        <w:rPr>
          <w:rStyle w:val="tlid-translation"/>
          <w:sz w:val="24"/>
          <w:szCs w:val="24"/>
          <w:lang w:val="el-GR"/>
        </w:rPr>
        <w:t>Ωστόσο σ</w:t>
      </w:r>
      <w:r w:rsidR="007A2BF8">
        <w:rPr>
          <w:rStyle w:val="tlid-translation"/>
          <w:sz w:val="24"/>
          <w:szCs w:val="24"/>
          <w:lang w:val="el-GR"/>
        </w:rPr>
        <w:t>ε αυτή τη συγκυρία</w:t>
      </w:r>
      <w:r w:rsidR="00B84AF1">
        <w:rPr>
          <w:rStyle w:val="tlid-translation"/>
          <w:sz w:val="24"/>
          <w:szCs w:val="24"/>
          <w:lang w:val="el-GR"/>
        </w:rPr>
        <w:t xml:space="preserve">, </w:t>
      </w:r>
      <w:r w:rsidR="00BE2D00">
        <w:rPr>
          <w:rStyle w:val="tlid-translation"/>
          <w:sz w:val="24"/>
          <w:szCs w:val="24"/>
          <w:lang w:val="el-GR"/>
        </w:rPr>
        <w:t xml:space="preserve">αποκαλύφθηκαν σε όλη </w:t>
      </w:r>
      <w:r w:rsidR="00D804AF">
        <w:rPr>
          <w:rStyle w:val="tlid-translation"/>
          <w:sz w:val="24"/>
          <w:szCs w:val="24"/>
          <w:lang w:val="el-GR"/>
        </w:rPr>
        <w:t>τους την έκταση</w:t>
      </w:r>
      <w:r w:rsidR="00BE2D00">
        <w:rPr>
          <w:rStyle w:val="tlid-translation"/>
          <w:sz w:val="24"/>
          <w:szCs w:val="24"/>
          <w:lang w:val="el-GR"/>
        </w:rPr>
        <w:t xml:space="preserve"> οι χρόνιες ανεπάρκειες και </w:t>
      </w:r>
      <w:r w:rsidR="00D804AF">
        <w:rPr>
          <w:rStyle w:val="tlid-translation"/>
          <w:sz w:val="24"/>
          <w:szCs w:val="24"/>
          <w:lang w:val="el-GR"/>
        </w:rPr>
        <w:t xml:space="preserve">οι </w:t>
      </w:r>
      <w:r w:rsidR="00BE2D00">
        <w:rPr>
          <w:rStyle w:val="tlid-translation"/>
          <w:sz w:val="24"/>
          <w:szCs w:val="24"/>
          <w:lang w:val="el-GR"/>
        </w:rPr>
        <w:t xml:space="preserve">στρεβλώσεις </w:t>
      </w:r>
      <w:r w:rsidR="003D41C5" w:rsidRPr="00BE2D00">
        <w:rPr>
          <w:rStyle w:val="tlid-translation"/>
          <w:sz w:val="24"/>
          <w:szCs w:val="24"/>
          <w:lang w:val="el-GR"/>
        </w:rPr>
        <w:t xml:space="preserve">του </w:t>
      </w:r>
      <w:r w:rsidR="00D804AF">
        <w:rPr>
          <w:rStyle w:val="tlid-translation"/>
          <w:sz w:val="24"/>
          <w:szCs w:val="24"/>
          <w:lang w:val="el-GR"/>
        </w:rPr>
        <w:t xml:space="preserve">υπολειμματικού </w:t>
      </w:r>
      <w:r w:rsidR="003D41C5" w:rsidRPr="00BE2D00">
        <w:rPr>
          <w:rStyle w:val="tlid-translation"/>
          <w:sz w:val="24"/>
          <w:szCs w:val="24"/>
          <w:lang w:val="el-GR"/>
        </w:rPr>
        <w:t xml:space="preserve">συστήματος κοινωνικής </w:t>
      </w:r>
      <w:r w:rsidR="00D0650D" w:rsidRPr="00BE2D00">
        <w:rPr>
          <w:rStyle w:val="tlid-translation"/>
          <w:sz w:val="24"/>
          <w:szCs w:val="24"/>
          <w:lang w:val="el-GR"/>
        </w:rPr>
        <w:t xml:space="preserve">προστασίας </w:t>
      </w:r>
      <w:r w:rsidR="003D41C5" w:rsidRPr="00BE2D00">
        <w:rPr>
          <w:rStyle w:val="tlid-translation"/>
          <w:sz w:val="24"/>
          <w:szCs w:val="24"/>
          <w:lang w:val="el-GR"/>
        </w:rPr>
        <w:t>στην Ελλάδα</w:t>
      </w:r>
      <w:r w:rsidR="004A1ACF">
        <w:rPr>
          <w:rStyle w:val="tlid-translation"/>
          <w:sz w:val="24"/>
          <w:szCs w:val="24"/>
          <w:lang w:val="el-GR"/>
        </w:rPr>
        <w:t>,</w:t>
      </w:r>
      <w:r w:rsidR="00D804AF">
        <w:rPr>
          <w:rStyle w:val="tlid-translation"/>
          <w:sz w:val="24"/>
          <w:szCs w:val="24"/>
          <w:lang w:val="el-GR"/>
        </w:rPr>
        <w:t xml:space="preserve"> </w:t>
      </w:r>
      <w:r w:rsidR="003D41C5" w:rsidRPr="00BE2D00">
        <w:rPr>
          <w:rStyle w:val="tlid-translation"/>
          <w:sz w:val="24"/>
          <w:szCs w:val="24"/>
          <w:lang w:val="el-GR"/>
        </w:rPr>
        <w:t>και</w:t>
      </w:r>
      <w:r w:rsidR="00D804AF">
        <w:rPr>
          <w:rStyle w:val="tlid-translation"/>
          <w:sz w:val="24"/>
          <w:szCs w:val="24"/>
          <w:lang w:val="el-GR"/>
        </w:rPr>
        <w:t xml:space="preserve"> </w:t>
      </w:r>
      <w:r w:rsidR="007E532C">
        <w:rPr>
          <w:rStyle w:val="tlid-translation"/>
          <w:sz w:val="24"/>
          <w:szCs w:val="24"/>
          <w:lang w:val="el-GR"/>
        </w:rPr>
        <w:t xml:space="preserve">έγινε </w:t>
      </w:r>
      <w:r w:rsidR="00937D25">
        <w:rPr>
          <w:rStyle w:val="tlid-translation"/>
          <w:sz w:val="24"/>
          <w:szCs w:val="24"/>
          <w:lang w:val="el-GR"/>
        </w:rPr>
        <w:t xml:space="preserve">επίσης </w:t>
      </w:r>
      <w:r w:rsidR="007E532C">
        <w:rPr>
          <w:rStyle w:val="tlid-translation"/>
          <w:sz w:val="24"/>
          <w:szCs w:val="24"/>
          <w:lang w:val="el-GR"/>
        </w:rPr>
        <w:t xml:space="preserve">φανερή </w:t>
      </w:r>
      <w:r w:rsidR="00D804AF">
        <w:rPr>
          <w:rStyle w:val="tlid-translation"/>
          <w:sz w:val="24"/>
          <w:szCs w:val="24"/>
          <w:lang w:val="el-GR"/>
        </w:rPr>
        <w:t xml:space="preserve">σε διεθνές επίπεδο </w:t>
      </w:r>
      <w:r w:rsidR="007E532C">
        <w:rPr>
          <w:rStyle w:val="tlid-translation"/>
          <w:sz w:val="24"/>
          <w:szCs w:val="24"/>
          <w:lang w:val="el-GR"/>
        </w:rPr>
        <w:t xml:space="preserve">η αποτυχία του </w:t>
      </w:r>
      <w:r w:rsidR="00937D25">
        <w:rPr>
          <w:rStyle w:val="tlid-translation"/>
          <w:sz w:val="24"/>
          <w:szCs w:val="24"/>
          <w:lang w:val="el-GR"/>
        </w:rPr>
        <w:t xml:space="preserve">νεοφιλελεύθερου </w:t>
      </w:r>
      <w:r w:rsidR="00D804AF">
        <w:rPr>
          <w:rStyle w:val="tlid-translation"/>
          <w:sz w:val="24"/>
          <w:szCs w:val="24"/>
          <w:lang w:val="el-GR"/>
        </w:rPr>
        <w:t xml:space="preserve">μοντέλου </w:t>
      </w:r>
      <w:r w:rsidR="00D0650D" w:rsidRPr="00BE2D00">
        <w:rPr>
          <w:rStyle w:val="tlid-translation"/>
          <w:sz w:val="24"/>
          <w:szCs w:val="24"/>
          <w:lang w:val="el-GR"/>
        </w:rPr>
        <w:t xml:space="preserve">ως προς </w:t>
      </w:r>
      <w:r w:rsidR="004A1ACF">
        <w:rPr>
          <w:rStyle w:val="tlid-translation"/>
          <w:sz w:val="24"/>
          <w:szCs w:val="24"/>
          <w:lang w:val="el-GR"/>
        </w:rPr>
        <w:t>στη διαχείριση υγειονομικών και κοινωνικών κρ</w:t>
      </w:r>
      <w:r w:rsidR="00937D25">
        <w:rPr>
          <w:rStyle w:val="tlid-translation"/>
          <w:sz w:val="24"/>
          <w:szCs w:val="24"/>
          <w:lang w:val="el-GR"/>
        </w:rPr>
        <w:t xml:space="preserve">ίσεων όπως η σημερινή. </w:t>
      </w:r>
    </w:p>
    <w:p w14:paraId="328132A2" w14:textId="5373FCD8" w:rsidR="00603139" w:rsidRDefault="005919BA" w:rsidP="006715DA">
      <w:pPr>
        <w:pStyle w:val="a9"/>
        <w:spacing w:after="200" w:line="276" w:lineRule="auto"/>
        <w:ind w:left="0"/>
        <w:contextualSpacing w:val="0"/>
        <w:jc w:val="both"/>
        <w:rPr>
          <w:rStyle w:val="tlid-translation"/>
          <w:sz w:val="24"/>
          <w:szCs w:val="24"/>
          <w:lang w:val="el-GR"/>
        </w:rPr>
      </w:pPr>
      <w:r>
        <w:rPr>
          <w:rStyle w:val="tlid-translation"/>
          <w:sz w:val="24"/>
          <w:szCs w:val="24"/>
          <w:lang w:val="el-GR"/>
        </w:rPr>
        <w:t>Σε αυτό το πλαίσιο</w:t>
      </w:r>
      <w:r w:rsidR="00D549B2">
        <w:rPr>
          <w:rStyle w:val="tlid-translation"/>
          <w:sz w:val="24"/>
          <w:szCs w:val="24"/>
          <w:lang w:val="el-GR"/>
        </w:rPr>
        <w:t xml:space="preserve"> </w:t>
      </w:r>
      <w:r w:rsidR="00983278">
        <w:rPr>
          <w:rStyle w:val="tlid-translation"/>
          <w:sz w:val="24"/>
          <w:szCs w:val="24"/>
          <w:lang w:val="el-GR"/>
        </w:rPr>
        <w:t>τ</w:t>
      </w:r>
      <w:r w:rsidR="00983278" w:rsidRPr="00DA7FE0">
        <w:rPr>
          <w:rStyle w:val="tlid-translation"/>
          <w:sz w:val="24"/>
          <w:szCs w:val="24"/>
          <w:lang w:val="el-GR"/>
        </w:rPr>
        <w:t xml:space="preserve">α </w:t>
      </w:r>
      <w:r w:rsidR="00D549B2">
        <w:rPr>
          <w:rStyle w:val="tlid-translation"/>
          <w:sz w:val="24"/>
          <w:szCs w:val="24"/>
          <w:lang w:val="el-GR"/>
        </w:rPr>
        <w:t>στοιχεία</w:t>
      </w:r>
      <w:r w:rsidR="00983278" w:rsidRPr="00DA7FE0">
        <w:rPr>
          <w:rStyle w:val="tlid-translation"/>
          <w:sz w:val="24"/>
          <w:szCs w:val="24"/>
          <w:lang w:val="el-GR"/>
        </w:rPr>
        <w:t xml:space="preserve"> που παρουσιάζονται</w:t>
      </w:r>
      <w:r w:rsidR="00983278">
        <w:rPr>
          <w:rStyle w:val="tlid-translation"/>
          <w:sz w:val="24"/>
          <w:szCs w:val="24"/>
          <w:lang w:val="el-GR"/>
        </w:rPr>
        <w:t>,</w:t>
      </w:r>
      <w:r w:rsidR="001A4B99">
        <w:rPr>
          <w:rStyle w:val="tlid-translation"/>
          <w:sz w:val="24"/>
          <w:szCs w:val="24"/>
          <w:lang w:val="el-GR"/>
        </w:rPr>
        <w:t xml:space="preserve"> </w:t>
      </w:r>
      <w:r w:rsidR="00C362D4">
        <w:rPr>
          <w:rStyle w:val="tlid-translation"/>
          <w:sz w:val="24"/>
          <w:szCs w:val="24"/>
          <w:lang w:val="el-GR"/>
        </w:rPr>
        <w:t>είναι ιδιαιτέρως</w:t>
      </w:r>
      <w:r w:rsidR="00B84AF1">
        <w:rPr>
          <w:rStyle w:val="tlid-translation"/>
          <w:sz w:val="24"/>
          <w:szCs w:val="24"/>
          <w:lang w:val="el-GR"/>
        </w:rPr>
        <w:t xml:space="preserve"> επίκαιρα, καθώς </w:t>
      </w:r>
      <w:r w:rsidR="00603139" w:rsidRPr="00DA7FE0">
        <w:rPr>
          <w:rStyle w:val="tlid-translation"/>
          <w:sz w:val="24"/>
          <w:szCs w:val="24"/>
          <w:lang w:val="el-GR"/>
        </w:rPr>
        <w:t xml:space="preserve">αποτυπώνουν με τους πλέον πραγματιστικούς όρους, με όρους οικονομικούς, τον χαρακτήρα και την εξέλιξη των πολιτικών κοινωνικής προστασίας απέναντι στα άτομα με αναπηρία </w:t>
      </w:r>
      <w:r w:rsidR="007E532C">
        <w:rPr>
          <w:rStyle w:val="tlid-translation"/>
          <w:sz w:val="24"/>
          <w:szCs w:val="24"/>
          <w:lang w:val="el-GR"/>
        </w:rPr>
        <w:t>στην Ελλάδα, ρίχνοντας</w:t>
      </w:r>
      <w:r w:rsidR="00603139" w:rsidRPr="0079481B">
        <w:rPr>
          <w:rStyle w:val="tlid-translation"/>
          <w:sz w:val="24"/>
          <w:szCs w:val="24"/>
          <w:lang w:val="el-GR"/>
        </w:rPr>
        <w:t xml:space="preserve"> φως στις δομικές παθογένειες του συστήματος πρόνοιας καθώς και στην εξελισσόμενη αποσάθρωσή του</w:t>
      </w:r>
      <w:r w:rsidR="00C362D4">
        <w:rPr>
          <w:rStyle w:val="tlid-translation"/>
          <w:sz w:val="24"/>
          <w:szCs w:val="24"/>
          <w:lang w:val="el-GR"/>
        </w:rPr>
        <w:t>.</w:t>
      </w:r>
    </w:p>
    <w:p w14:paraId="0EAD4722" w14:textId="534E857C" w:rsidR="006715DA" w:rsidRDefault="006715DA">
      <w:pPr>
        <w:rPr>
          <w:rStyle w:val="tlid-translation"/>
          <w:sz w:val="24"/>
          <w:szCs w:val="24"/>
          <w:lang w:val="el-GR"/>
        </w:rPr>
      </w:pPr>
      <w:r>
        <w:rPr>
          <w:rStyle w:val="tlid-translation"/>
          <w:sz w:val="24"/>
          <w:szCs w:val="24"/>
          <w:lang w:val="el-GR"/>
        </w:rPr>
        <w:br w:type="page"/>
      </w:r>
    </w:p>
    <w:p w14:paraId="4D400E16" w14:textId="77777777" w:rsidR="008E7B49" w:rsidRPr="008E7B49" w:rsidRDefault="008E7B49" w:rsidP="000E4EBC">
      <w:pPr>
        <w:pStyle w:val="a9"/>
        <w:pBdr>
          <w:top w:val="double" w:sz="12" w:space="1" w:color="auto"/>
          <w:left w:val="double" w:sz="12" w:space="4" w:color="auto"/>
          <w:bottom w:val="double" w:sz="12" w:space="1" w:color="auto"/>
          <w:right w:val="double" w:sz="12" w:space="4" w:color="auto"/>
        </w:pBdr>
        <w:shd w:val="clear" w:color="auto" w:fill="E7E6E6" w:themeFill="background2"/>
        <w:spacing w:after="240" w:line="276" w:lineRule="auto"/>
        <w:ind w:left="142"/>
        <w:contextualSpacing w:val="0"/>
        <w:jc w:val="both"/>
        <w:rPr>
          <w:rStyle w:val="tlid-translation"/>
          <w:rFonts w:asciiTheme="majorHAnsi" w:hAnsiTheme="majorHAnsi"/>
          <w:b/>
          <w:sz w:val="24"/>
          <w:szCs w:val="24"/>
          <w:lang w:val="el-GR"/>
        </w:rPr>
      </w:pPr>
    </w:p>
    <w:p w14:paraId="141513D5" w14:textId="3BD09DBC" w:rsidR="0079481B" w:rsidRPr="008E7B49" w:rsidRDefault="0079481B" w:rsidP="000E4EBC">
      <w:pPr>
        <w:pStyle w:val="a9"/>
        <w:pBdr>
          <w:top w:val="double" w:sz="12" w:space="1" w:color="auto"/>
          <w:left w:val="double" w:sz="12" w:space="4" w:color="auto"/>
          <w:bottom w:val="double" w:sz="12" w:space="1" w:color="auto"/>
          <w:right w:val="double" w:sz="12" w:space="4" w:color="auto"/>
        </w:pBdr>
        <w:shd w:val="clear" w:color="auto" w:fill="E7E6E6" w:themeFill="background2"/>
        <w:spacing w:after="240" w:line="276" w:lineRule="auto"/>
        <w:ind w:left="142"/>
        <w:contextualSpacing w:val="0"/>
        <w:jc w:val="both"/>
        <w:rPr>
          <w:rStyle w:val="tlid-translation"/>
          <w:rFonts w:asciiTheme="majorHAnsi" w:hAnsiTheme="majorHAnsi"/>
          <w:sz w:val="24"/>
          <w:szCs w:val="24"/>
          <w:lang w:val="el-GR"/>
        </w:rPr>
      </w:pPr>
      <w:r w:rsidRPr="008E7B49">
        <w:rPr>
          <w:rStyle w:val="tlid-translation"/>
          <w:rFonts w:asciiTheme="majorHAnsi" w:hAnsiTheme="majorHAnsi"/>
          <w:b/>
          <w:sz w:val="24"/>
          <w:szCs w:val="24"/>
          <w:lang w:val="el-GR"/>
        </w:rPr>
        <w:t>Το ESSPROS</w:t>
      </w:r>
      <w:r w:rsidR="00ED2CF4" w:rsidRPr="008E7B49">
        <w:rPr>
          <w:rStyle w:val="tlid-translation"/>
          <w:rFonts w:asciiTheme="majorHAnsi" w:hAnsiTheme="majorHAnsi"/>
          <w:b/>
          <w:sz w:val="24"/>
          <w:szCs w:val="24"/>
          <w:lang w:val="el-GR"/>
        </w:rPr>
        <w:t xml:space="preserve"> (European System of Integrated Social Protection Statistics)</w:t>
      </w:r>
      <w:r w:rsidR="00ED2CF4" w:rsidRPr="008E7B49">
        <w:rPr>
          <w:rStyle w:val="tlid-translation"/>
          <w:rFonts w:asciiTheme="majorHAnsi" w:hAnsiTheme="majorHAnsi"/>
          <w:sz w:val="24"/>
          <w:szCs w:val="24"/>
          <w:lang w:val="el-GR"/>
        </w:rPr>
        <w:t xml:space="preserve"> αποτελεί ένα μεθοδολογικό πλαίσιο βασισμένο σε πρότυπα, κοινούς ορισμούς, ταξινομήσεις και κανόνες λογιστικής, το οποίο χρησιμοποιείται για την κατάρτιση συγκρίσιμων στατιστικών για την κοινωνική προστασία στις χώρες της Ε.Ε., τις χώρες της Ευρωπαϊκής Ζώνης Ελεύθερων Συναλλαγών (EFTA) και τις υποψήφιες προς ένταξη στην Ε.Ε. χώρες. Το ESSPROS </w:t>
      </w:r>
      <w:r w:rsidRPr="008E7B49">
        <w:rPr>
          <w:rStyle w:val="tlid-translation"/>
          <w:rFonts w:asciiTheme="majorHAnsi" w:hAnsiTheme="majorHAnsi"/>
          <w:sz w:val="24"/>
          <w:szCs w:val="24"/>
          <w:lang w:val="el-GR"/>
        </w:rPr>
        <w:t xml:space="preserve">βασίζεται στον ορισμό της κοινωνικής προστασίας ως το σύνολο των παρεμβάσεων δημόσιων ή ιδιωτικών φορέων που έχουν ως σκοπό να ανακουφίσουν τα νοικοκυριά και τα άτομα από το οικονομικό βάρος ενός καθορισμένου συνόλου κινδύνων ή αναγκών που συνδέονται με 8 τομείς /λειτουργίες: την ασθένεια, την αναπηρία, το γήρας, τη χηρεία, την οικογένεια/τέκνα, την ανεργία, τη στέγαση και τον κοινωνικό αποκλεισμό. </w:t>
      </w:r>
    </w:p>
    <w:p w14:paraId="1DFC0B1B" w14:textId="4537CD15" w:rsidR="0079481B" w:rsidRPr="008E7B49" w:rsidRDefault="0079481B" w:rsidP="000E4EBC">
      <w:pPr>
        <w:pStyle w:val="a9"/>
        <w:pBdr>
          <w:top w:val="double" w:sz="12" w:space="1" w:color="auto"/>
          <w:left w:val="double" w:sz="12" w:space="4" w:color="auto"/>
          <w:bottom w:val="double" w:sz="12" w:space="1" w:color="auto"/>
          <w:right w:val="double" w:sz="12" w:space="4" w:color="auto"/>
        </w:pBdr>
        <w:shd w:val="clear" w:color="auto" w:fill="E7E6E6" w:themeFill="background2"/>
        <w:spacing w:after="240" w:line="276" w:lineRule="auto"/>
        <w:ind w:left="142"/>
        <w:contextualSpacing w:val="0"/>
        <w:jc w:val="both"/>
        <w:rPr>
          <w:rStyle w:val="tlid-translation"/>
          <w:rFonts w:asciiTheme="majorHAnsi" w:hAnsiTheme="majorHAnsi"/>
          <w:sz w:val="24"/>
          <w:szCs w:val="24"/>
          <w:lang w:val="el-GR"/>
        </w:rPr>
      </w:pPr>
      <w:r w:rsidRPr="008E7B49">
        <w:rPr>
          <w:rStyle w:val="tlid-translation"/>
          <w:rFonts w:asciiTheme="majorHAnsi" w:hAnsiTheme="majorHAnsi"/>
          <w:sz w:val="24"/>
          <w:szCs w:val="24"/>
          <w:lang w:val="el-GR"/>
        </w:rPr>
        <w:t>Η βασική συλλογή δεδομένων ESSPROS συγκεντρώνει σε ετήσια βάση διοικητικά δεδομένα σχετικά με τις δαπάνες</w:t>
      </w:r>
      <w:r w:rsidR="001B3FF5" w:rsidRPr="008E7B49">
        <w:rPr>
          <w:rStyle w:val="a8"/>
          <w:rFonts w:asciiTheme="majorHAnsi" w:hAnsiTheme="majorHAnsi"/>
          <w:sz w:val="24"/>
          <w:szCs w:val="24"/>
          <w:lang w:val="el-GR"/>
        </w:rPr>
        <w:footnoteReference w:id="1"/>
      </w:r>
      <w:r w:rsidRPr="008E7B49">
        <w:rPr>
          <w:rStyle w:val="tlid-translation"/>
          <w:rFonts w:asciiTheme="majorHAnsi" w:hAnsiTheme="majorHAnsi"/>
          <w:sz w:val="24"/>
          <w:szCs w:val="24"/>
          <w:lang w:val="el-GR"/>
        </w:rPr>
        <w:t xml:space="preserve"> και τα έσοδα των συστημάτων κοινωνικής προστασίας στα κράτη </w:t>
      </w:r>
      <w:r w:rsidR="00C5770B" w:rsidRPr="008E7B49">
        <w:rPr>
          <w:rStyle w:val="tlid-translation"/>
          <w:rFonts w:asciiTheme="majorHAnsi" w:hAnsiTheme="majorHAnsi"/>
          <w:sz w:val="24"/>
          <w:szCs w:val="24"/>
          <w:lang w:val="el-GR"/>
        </w:rPr>
        <w:t xml:space="preserve">της Ευρώπης </w:t>
      </w:r>
      <w:r w:rsidRPr="008E7B49">
        <w:rPr>
          <w:rStyle w:val="tlid-translation"/>
          <w:rFonts w:asciiTheme="majorHAnsi" w:hAnsiTheme="majorHAnsi"/>
          <w:sz w:val="24"/>
          <w:szCs w:val="24"/>
          <w:lang w:val="el-GR"/>
        </w:rPr>
        <w:t>ανά τομέα/λειτουργία, και επίσης, συλλέγει πληροφορίες σχετικά με τον αριθμό των δικαιούχων συντάξεων και τις καθαρές κοινωνικές παροχές</w:t>
      </w:r>
      <w:r w:rsidR="007B5748" w:rsidRPr="008E7B49">
        <w:rPr>
          <w:rStyle w:val="a8"/>
          <w:rFonts w:asciiTheme="majorHAnsi" w:hAnsiTheme="majorHAnsi"/>
          <w:sz w:val="24"/>
          <w:szCs w:val="24"/>
          <w:lang w:val="el-GR"/>
        </w:rPr>
        <w:footnoteReference w:id="2"/>
      </w:r>
      <w:r w:rsidRPr="008E7B49">
        <w:rPr>
          <w:rStyle w:val="tlid-translation"/>
          <w:rFonts w:asciiTheme="majorHAnsi" w:hAnsiTheme="majorHAnsi"/>
          <w:sz w:val="24"/>
          <w:szCs w:val="24"/>
          <w:lang w:val="el-GR"/>
        </w:rPr>
        <w:t>.</w:t>
      </w:r>
    </w:p>
    <w:p w14:paraId="5C3884A6" w14:textId="77777777" w:rsidR="000E4EBC" w:rsidRPr="008E7B49" w:rsidRDefault="0079481B" w:rsidP="000E4EBC">
      <w:pPr>
        <w:pStyle w:val="a9"/>
        <w:pBdr>
          <w:top w:val="double" w:sz="12" w:space="1" w:color="auto"/>
          <w:left w:val="double" w:sz="12" w:space="4" w:color="auto"/>
          <w:bottom w:val="double" w:sz="12" w:space="1" w:color="auto"/>
          <w:right w:val="double" w:sz="12" w:space="4" w:color="auto"/>
        </w:pBdr>
        <w:shd w:val="clear" w:color="auto" w:fill="E7E6E6" w:themeFill="background2"/>
        <w:spacing w:after="120" w:line="276" w:lineRule="auto"/>
        <w:ind w:left="142"/>
        <w:contextualSpacing w:val="0"/>
        <w:jc w:val="both"/>
        <w:rPr>
          <w:rStyle w:val="tlid-translation"/>
          <w:rFonts w:asciiTheme="majorHAnsi" w:hAnsiTheme="majorHAnsi"/>
          <w:sz w:val="24"/>
          <w:szCs w:val="24"/>
          <w:lang w:val="el-GR"/>
        </w:rPr>
      </w:pPr>
      <w:r w:rsidRPr="008E7B49">
        <w:rPr>
          <w:rStyle w:val="tlid-translation"/>
          <w:rFonts w:asciiTheme="majorHAnsi" w:hAnsiTheme="majorHAnsi"/>
          <w:sz w:val="24"/>
          <w:szCs w:val="24"/>
          <w:lang w:val="el-GR"/>
        </w:rPr>
        <w:t>Στις παροχές για την κατηγορία της αναπη</w:t>
      </w:r>
      <w:r w:rsidR="009939FF" w:rsidRPr="008E7B49">
        <w:rPr>
          <w:rStyle w:val="tlid-translation"/>
          <w:rFonts w:asciiTheme="majorHAnsi" w:hAnsiTheme="majorHAnsi"/>
          <w:sz w:val="24"/>
          <w:szCs w:val="24"/>
          <w:lang w:val="el-GR"/>
        </w:rPr>
        <w:t xml:space="preserve">ρίας, το ESSPROS συνυπολογίζει: </w:t>
      </w:r>
    </w:p>
    <w:p w14:paraId="5DE8433F" w14:textId="77777777" w:rsidR="000E4EBC" w:rsidRPr="008E7B49" w:rsidRDefault="0079481B" w:rsidP="000E4EBC">
      <w:pPr>
        <w:pStyle w:val="a9"/>
        <w:numPr>
          <w:ilvl w:val="0"/>
          <w:numId w:val="10"/>
        </w:numPr>
        <w:pBdr>
          <w:top w:val="double" w:sz="12" w:space="1" w:color="auto"/>
          <w:left w:val="double" w:sz="12" w:space="4" w:color="auto"/>
          <w:bottom w:val="double" w:sz="12" w:space="1" w:color="auto"/>
          <w:right w:val="double" w:sz="12" w:space="4" w:color="auto"/>
        </w:pBdr>
        <w:shd w:val="clear" w:color="auto" w:fill="E7E6E6" w:themeFill="background2"/>
        <w:spacing w:after="120" w:line="276" w:lineRule="auto"/>
        <w:ind w:left="567" w:hanging="425"/>
        <w:contextualSpacing w:val="0"/>
        <w:jc w:val="both"/>
        <w:rPr>
          <w:rStyle w:val="tlid-translation"/>
          <w:rFonts w:asciiTheme="majorHAnsi" w:hAnsiTheme="majorHAnsi"/>
          <w:sz w:val="24"/>
          <w:szCs w:val="24"/>
          <w:lang w:val="el-GR"/>
        </w:rPr>
      </w:pPr>
      <w:r w:rsidRPr="008E7B49">
        <w:rPr>
          <w:rStyle w:val="tlid-translation"/>
          <w:rFonts w:asciiTheme="majorHAnsi" w:hAnsiTheme="majorHAnsi"/>
          <w:sz w:val="24"/>
          <w:szCs w:val="24"/>
          <w:lang w:val="el-GR"/>
        </w:rPr>
        <w:t xml:space="preserve">παροχές που εξασφαλίζουν εισόδημα σε άτομα τα οποία δεν έχουν συμπληρώσει ακόμη το όριο ηλικίας συνταξιοδότησης που προβλέπεται από τον νόμο και δεν έχουν την ικανότητα να εκτελέσουν αμειβόμενη εργασία εξαιτίας σωματικής ή ψυχικής βλάβης, </w:t>
      </w:r>
    </w:p>
    <w:p w14:paraId="0645DE7E" w14:textId="77777777" w:rsidR="000E4EBC" w:rsidRPr="008E7B49" w:rsidRDefault="0079481B" w:rsidP="000E4EBC">
      <w:pPr>
        <w:pStyle w:val="a9"/>
        <w:numPr>
          <w:ilvl w:val="0"/>
          <w:numId w:val="10"/>
        </w:numPr>
        <w:pBdr>
          <w:top w:val="double" w:sz="12" w:space="1" w:color="auto"/>
          <w:left w:val="double" w:sz="12" w:space="4" w:color="auto"/>
          <w:bottom w:val="double" w:sz="12" w:space="1" w:color="auto"/>
          <w:right w:val="double" w:sz="12" w:space="4" w:color="auto"/>
        </w:pBdr>
        <w:shd w:val="clear" w:color="auto" w:fill="E7E6E6" w:themeFill="background2"/>
        <w:spacing w:after="120" w:line="276" w:lineRule="auto"/>
        <w:ind w:left="567" w:hanging="425"/>
        <w:contextualSpacing w:val="0"/>
        <w:jc w:val="both"/>
        <w:rPr>
          <w:rStyle w:val="tlid-translation"/>
          <w:rFonts w:asciiTheme="majorHAnsi" w:hAnsiTheme="majorHAnsi"/>
          <w:sz w:val="24"/>
          <w:szCs w:val="24"/>
          <w:lang w:val="el-GR"/>
        </w:rPr>
      </w:pPr>
      <w:r w:rsidRPr="008E7B49">
        <w:rPr>
          <w:rStyle w:val="tlid-translation"/>
          <w:rFonts w:asciiTheme="majorHAnsi" w:hAnsiTheme="majorHAnsi"/>
          <w:sz w:val="24"/>
          <w:szCs w:val="24"/>
          <w:lang w:val="el-GR"/>
        </w:rPr>
        <w:t xml:space="preserve">παροχές που χορηγούν υπηρεσίες αποκατάστασης που απαιτούνται από τη φύση της συγκεκριμένης αναπηρίας και τέλος, </w:t>
      </w:r>
    </w:p>
    <w:p w14:paraId="454D915B" w14:textId="2D694533" w:rsidR="0079481B" w:rsidRPr="008E7B49" w:rsidRDefault="0079481B" w:rsidP="000E4EBC">
      <w:pPr>
        <w:pStyle w:val="a9"/>
        <w:numPr>
          <w:ilvl w:val="0"/>
          <w:numId w:val="10"/>
        </w:numPr>
        <w:pBdr>
          <w:top w:val="double" w:sz="12" w:space="1" w:color="auto"/>
          <w:left w:val="double" w:sz="12" w:space="4" w:color="auto"/>
          <w:bottom w:val="double" w:sz="12" w:space="1" w:color="auto"/>
          <w:right w:val="double" w:sz="12" w:space="4" w:color="auto"/>
        </w:pBdr>
        <w:shd w:val="clear" w:color="auto" w:fill="E7E6E6" w:themeFill="background2"/>
        <w:spacing w:after="120" w:line="276" w:lineRule="auto"/>
        <w:ind w:left="567" w:hanging="425"/>
        <w:contextualSpacing w:val="0"/>
        <w:jc w:val="both"/>
        <w:rPr>
          <w:rStyle w:val="tlid-translation"/>
          <w:rFonts w:asciiTheme="majorHAnsi" w:hAnsiTheme="majorHAnsi"/>
          <w:sz w:val="24"/>
          <w:szCs w:val="24"/>
          <w:lang w:val="el-GR"/>
        </w:rPr>
      </w:pPr>
      <w:r w:rsidRPr="008E7B49">
        <w:rPr>
          <w:rStyle w:val="tlid-translation"/>
          <w:rFonts w:asciiTheme="majorHAnsi" w:hAnsiTheme="majorHAnsi"/>
          <w:sz w:val="24"/>
          <w:szCs w:val="24"/>
          <w:lang w:val="el-GR"/>
        </w:rPr>
        <w:t>παροχές που χορηγούν αγαθά και υπηρεσίες εκτός της ιατρική</w:t>
      </w:r>
      <w:r w:rsidR="005C6B21" w:rsidRPr="008E7B49">
        <w:rPr>
          <w:rStyle w:val="tlid-translation"/>
          <w:rFonts w:asciiTheme="majorHAnsi" w:hAnsiTheme="majorHAnsi"/>
          <w:sz w:val="24"/>
          <w:szCs w:val="24"/>
          <w:lang w:val="el-GR"/>
        </w:rPr>
        <w:t>ς μέριμνας σε άτομα με αναπηρία</w:t>
      </w:r>
      <w:r w:rsidR="00E263E6" w:rsidRPr="008E7B49">
        <w:rPr>
          <w:rStyle w:val="a8"/>
          <w:rFonts w:asciiTheme="majorHAnsi" w:hAnsiTheme="majorHAnsi"/>
          <w:sz w:val="24"/>
          <w:szCs w:val="24"/>
          <w:lang w:val="el-GR"/>
        </w:rPr>
        <w:footnoteReference w:id="3"/>
      </w:r>
      <w:r w:rsidRPr="008E7B49">
        <w:rPr>
          <w:rStyle w:val="tlid-translation"/>
          <w:rFonts w:asciiTheme="majorHAnsi" w:hAnsiTheme="majorHAnsi"/>
          <w:sz w:val="24"/>
          <w:szCs w:val="24"/>
          <w:lang w:val="el-GR"/>
        </w:rPr>
        <w:t>.</w:t>
      </w:r>
    </w:p>
    <w:p w14:paraId="3A907BE3" w14:textId="77777777" w:rsidR="008E7B49" w:rsidRPr="008E7B49" w:rsidRDefault="008E7B49" w:rsidP="008E7B49">
      <w:pPr>
        <w:pBdr>
          <w:top w:val="double" w:sz="12" w:space="1" w:color="auto"/>
          <w:left w:val="double" w:sz="12" w:space="4" w:color="auto"/>
          <w:bottom w:val="double" w:sz="12" w:space="1" w:color="auto"/>
          <w:right w:val="double" w:sz="12" w:space="4" w:color="auto"/>
        </w:pBdr>
        <w:shd w:val="clear" w:color="auto" w:fill="E7E6E6" w:themeFill="background2"/>
        <w:spacing w:after="120" w:line="276" w:lineRule="auto"/>
        <w:ind w:left="142"/>
        <w:jc w:val="both"/>
        <w:rPr>
          <w:rStyle w:val="tlid-translation"/>
          <w:rFonts w:asciiTheme="majorHAnsi" w:hAnsiTheme="majorHAnsi"/>
          <w:sz w:val="23"/>
          <w:szCs w:val="23"/>
          <w:lang w:val="el-GR"/>
        </w:rPr>
      </w:pPr>
    </w:p>
    <w:p w14:paraId="2A35B824" w14:textId="32AD47C6" w:rsidR="0079481B" w:rsidRDefault="0079481B" w:rsidP="0079481B">
      <w:pPr>
        <w:pStyle w:val="a9"/>
        <w:ind w:left="142"/>
        <w:jc w:val="both"/>
        <w:rPr>
          <w:rStyle w:val="tlid-translation"/>
          <w:sz w:val="24"/>
          <w:szCs w:val="24"/>
          <w:lang w:val="el-GR"/>
        </w:rPr>
      </w:pPr>
    </w:p>
    <w:p w14:paraId="08E40BFB" w14:textId="0E8C557C" w:rsidR="0016630F" w:rsidRDefault="0087498E" w:rsidP="008E7B49">
      <w:pPr>
        <w:pStyle w:val="a9"/>
        <w:spacing w:after="200" w:line="264" w:lineRule="auto"/>
        <w:ind w:left="0"/>
        <w:contextualSpacing w:val="0"/>
        <w:jc w:val="both"/>
        <w:rPr>
          <w:rStyle w:val="tlid-translation"/>
          <w:sz w:val="24"/>
          <w:szCs w:val="24"/>
          <w:lang w:val="el-GR"/>
        </w:rPr>
      </w:pPr>
      <w:r>
        <w:rPr>
          <w:rStyle w:val="tlid-translation"/>
          <w:sz w:val="24"/>
          <w:szCs w:val="24"/>
          <w:lang w:val="el-GR"/>
        </w:rPr>
        <w:lastRenderedPageBreak/>
        <w:t>Ιστορικά σ</w:t>
      </w:r>
      <w:r w:rsidR="0079481B" w:rsidRPr="0079481B">
        <w:rPr>
          <w:rStyle w:val="tlid-translation"/>
          <w:sz w:val="24"/>
          <w:szCs w:val="24"/>
          <w:lang w:val="el-GR"/>
        </w:rPr>
        <w:t xml:space="preserve">την Ελλάδα, η ανάπτυξη και εξέλιξη του κράτους πρόνοιας ακολούθησε το </w:t>
      </w:r>
      <w:r w:rsidR="003F79E1">
        <w:rPr>
          <w:rStyle w:val="tlid-translation"/>
          <w:sz w:val="24"/>
          <w:szCs w:val="24"/>
          <w:lang w:val="el-GR"/>
        </w:rPr>
        <w:t>«νοτιοευρωπαικό μοντέλο»</w:t>
      </w:r>
      <w:r w:rsidR="00CE5B80">
        <w:rPr>
          <w:rStyle w:val="a8"/>
          <w:sz w:val="24"/>
          <w:szCs w:val="24"/>
          <w:lang w:val="el-GR"/>
        </w:rPr>
        <w:footnoteReference w:id="4"/>
      </w:r>
      <w:r w:rsidR="0079481B" w:rsidRPr="0079481B">
        <w:rPr>
          <w:rStyle w:val="tlid-translation"/>
          <w:sz w:val="24"/>
          <w:szCs w:val="24"/>
          <w:lang w:val="el-GR"/>
        </w:rPr>
        <w:t xml:space="preserve">, το οποίο συναντάμε </w:t>
      </w:r>
      <w:r w:rsidR="00983278" w:rsidRPr="0079481B">
        <w:rPr>
          <w:rStyle w:val="tlid-translation"/>
          <w:sz w:val="24"/>
          <w:szCs w:val="24"/>
          <w:lang w:val="el-GR"/>
        </w:rPr>
        <w:t xml:space="preserve">επίσης </w:t>
      </w:r>
      <w:r w:rsidR="0079481B" w:rsidRPr="0079481B">
        <w:rPr>
          <w:rStyle w:val="tlid-translation"/>
          <w:sz w:val="24"/>
          <w:szCs w:val="24"/>
          <w:lang w:val="el-GR"/>
        </w:rPr>
        <w:t xml:space="preserve">στην Ισπανία, την Ιταλία και την Πορτογαλία. Βασικά γνωρίσματα </w:t>
      </w:r>
      <w:r w:rsidR="00C362D4">
        <w:rPr>
          <w:rStyle w:val="tlid-translation"/>
          <w:sz w:val="24"/>
          <w:szCs w:val="24"/>
          <w:lang w:val="el-GR"/>
        </w:rPr>
        <w:t xml:space="preserve">αυτού </w:t>
      </w:r>
      <w:r w:rsidR="0079481B" w:rsidRPr="0079481B">
        <w:rPr>
          <w:rStyle w:val="tlid-translation"/>
          <w:sz w:val="24"/>
          <w:szCs w:val="24"/>
          <w:lang w:val="el-GR"/>
        </w:rPr>
        <w:t>του μοντέ</w:t>
      </w:r>
      <w:r w:rsidR="00DE5DD2">
        <w:rPr>
          <w:rStyle w:val="tlid-translation"/>
          <w:sz w:val="24"/>
          <w:szCs w:val="24"/>
          <w:lang w:val="el-GR"/>
        </w:rPr>
        <w:t>λου</w:t>
      </w:r>
      <w:r w:rsidR="00C362D4">
        <w:rPr>
          <w:rStyle w:val="tlid-translation"/>
          <w:sz w:val="24"/>
          <w:szCs w:val="24"/>
          <w:lang w:val="el-GR"/>
        </w:rPr>
        <w:t xml:space="preserve"> είναι</w:t>
      </w:r>
      <w:r w:rsidR="004C1DBD">
        <w:rPr>
          <w:rStyle w:val="a8"/>
          <w:sz w:val="24"/>
          <w:szCs w:val="24"/>
          <w:lang w:val="el-GR"/>
        </w:rPr>
        <w:footnoteReference w:id="5"/>
      </w:r>
      <w:r w:rsidR="0079481B" w:rsidRPr="0079481B">
        <w:rPr>
          <w:rStyle w:val="tlid-translation"/>
          <w:sz w:val="24"/>
          <w:szCs w:val="24"/>
          <w:lang w:val="el-GR"/>
        </w:rPr>
        <w:t>: οι ανισότητες στον καταμερισμό της κοινωνικής προστασίας και η άνιση αντιμετώπιση διαφόρων κοινωνικών ομάδων, ο έντονος πελατειακός χαρακτήρας του κράτους που επιδρά και στην αναδιανεμητική πολιτική, η αποσπασματικότητα και ο κατακερματισμός των παρεμβάσεων κοινωνικής πολιτικής, η έμφαση στις παθητικές πολιτικές, η γραφειοκρατία, οι υποτυπώδεις κοινωνικές υπηρεσίες/παροχές προς τις ευάλωτες ομάδες,</w:t>
      </w:r>
      <w:r w:rsidR="008E7B49">
        <w:rPr>
          <w:rStyle w:val="tlid-translation"/>
          <w:sz w:val="24"/>
          <w:szCs w:val="24"/>
          <w:lang w:val="el-GR"/>
        </w:rPr>
        <w:t xml:space="preserve"> </w:t>
      </w:r>
      <w:r w:rsidR="0079481B" w:rsidRPr="0079481B">
        <w:rPr>
          <w:rStyle w:val="tlid-translation"/>
          <w:sz w:val="24"/>
          <w:szCs w:val="24"/>
          <w:lang w:val="el-GR"/>
        </w:rPr>
        <w:t>καθώς και ο αυξημένος ρόλος της οικογένειας κ</w:t>
      </w:r>
      <w:r w:rsidR="00141A47">
        <w:rPr>
          <w:rStyle w:val="tlid-translation"/>
          <w:sz w:val="24"/>
          <w:szCs w:val="24"/>
          <w:lang w:val="el-GR"/>
        </w:rPr>
        <w:t>αι των κοινωνικών δικτύων</w:t>
      </w:r>
      <w:r w:rsidR="008E7B49">
        <w:rPr>
          <w:rStyle w:val="tlid-translation"/>
          <w:sz w:val="24"/>
          <w:szCs w:val="24"/>
          <w:lang w:val="el-GR"/>
        </w:rPr>
        <w:t xml:space="preserve"> </w:t>
      </w:r>
      <w:r w:rsidR="00141A47">
        <w:rPr>
          <w:rStyle w:val="tlid-translation"/>
          <w:sz w:val="24"/>
          <w:szCs w:val="24"/>
          <w:lang w:val="el-GR"/>
        </w:rPr>
        <w:t xml:space="preserve">στην </w:t>
      </w:r>
      <w:r w:rsidR="0079481B" w:rsidRPr="0079481B">
        <w:rPr>
          <w:rStyle w:val="tlid-translation"/>
          <w:sz w:val="24"/>
          <w:szCs w:val="24"/>
          <w:lang w:val="el-GR"/>
        </w:rPr>
        <w:t>προστασία των ευάλωτων ομάδων.</w:t>
      </w:r>
      <w:r w:rsidR="000E4ABF">
        <w:rPr>
          <w:rStyle w:val="tlid-translation"/>
          <w:sz w:val="24"/>
          <w:szCs w:val="24"/>
          <w:lang w:val="el-GR"/>
        </w:rPr>
        <w:t xml:space="preserve"> </w:t>
      </w:r>
    </w:p>
    <w:p w14:paraId="49CFA29D" w14:textId="723D7CC0" w:rsidR="0079481B" w:rsidRPr="003E5906" w:rsidRDefault="003E5906" w:rsidP="008E7B49">
      <w:pPr>
        <w:pStyle w:val="a9"/>
        <w:spacing w:after="200" w:line="264" w:lineRule="auto"/>
        <w:ind w:left="0"/>
        <w:contextualSpacing w:val="0"/>
        <w:jc w:val="both"/>
        <w:rPr>
          <w:rStyle w:val="tlid-translation"/>
          <w:sz w:val="24"/>
          <w:szCs w:val="24"/>
          <w:lang w:val="el-GR"/>
        </w:rPr>
      </w:pPr>
      <w:r>
        <w:rPr>
          <w:rStyle w:val="tlid-translation"/>
          <w:sz w:val="24"/>
          <w:szCs w:val="24"/>
          <w:lang w:val="el-GR"/>
        </w:rPr>
        <w:t>Οι μελέτες</w:t>
      </w:r>
      <w:r w:rsidR="008E7B49">
        <w:rPr>
          <w:rStyle w:val="tlid-translation"/>
          <w:sz w:val="24"/>
          <w:szCs w:val="24"/>
          <w:lang w:val="el-GR"/>
        </w:rPr>
        <w:t xml:space="preserve"> </w:t>
      </w:r>
      <w:r w:rsidR="0079481B" w:rsidRPr="0079481B">
        <w:rPr>
          <w:rStyle w:val="tlid-translation"/>
          <w:sz w:val="24"/>
          <w:szCs w:val="24"/>
          <w:lang w:val="el-GR"/>
        </w:rPr>
        <w:t xml:space="preserve">των συστημάτων κοινωνικής προστασίας </w:t>
      </w:r>
      <w:r w:rsidR="00C362D4">
        <w:rPr>
          <w:rStyle w:val="tlid-translation"/>
          <w:sz w:val="24"/>
          <w:szCs w:val="24"/>
          <w:lang w:val="el-GR"/>
        </w:rPr>
        <w:t xml:space="preserve">στην Ευρώπη, </w:t>
      </w:r>
      <w:r>
        <w:rPr>
          <w:rStyle w:val="tlid-translation"/>
          <w:sz w:val="24"/>
          <w:szCs w:val="24"/>
          <w:lang w:val="el-GR"/>
        </w:rPr>
        <w:t>καταδεικνύουν</w:t>
      </w:r>
      <w:r w:rsidR="00C362D4" w:rsidRPr="0079481B">
        <w:rPr>
          <w:rStyle w:val="tlid-translation"/>
          <w:sz w:val="24"/>
          <w:szCs w:val="24"/>
          <w:lang w:val="el-GR"/>
        </w:rPr>
        <w:t xml:space="preserve"> την σαφώς χαμηλότερη αποτελεσματικότητα των συστημάτων κοινωνικής προστασίας </w:t>
      </w:r>
      <w:r w:rsidR="00C362D4">
        <w:rPr>
          <w:rStyle w:val="tlid-translation"/>
          <w:sz w:val="24"/>
          <w:szCs w:val="24"/>
          <w:lang w:val="el-GR"/>
        </w:rPr>
        <w:t xml:space="preserve">των κρατών του ευρωπαϊκού νότου, σε </w:t>
      </w:r>
      <w:r w:rsidR="0079481B" w:rsidRPr="0079481B">
        <w:rPr>
          <w:rStyle w:val="tlid-translation"/>
          <w:sz w:val="24"/>
          <w:szCs w:val="24"/>
          <w:lang w:val="el-GR"/>
        </w:rPr>
        <w:t xml:space="preserve">σύγκριση με τα συστήματα πρόνοιας στη βάση του σοσιαλδημοκρατικού (Σκανδιναβικές χώρες) </w:t>
      </w:r>
      <w:r w:rsidR="0087498E">
        <w:rPr>
          <w:rStyle w:val="tlid-translation"/>
          <w:sz w:val="24"/>
          <w:szCs w:val="24"/>
          <w:lang w:val="el-GR"/>
        </w:rPr>
        <w:t>και</w:t>
      </w:r>
      <w:r w:rsidR="0079481B" w:rsidRPr="0079481B">
        <w:rPr>
          <w:rStyle w:val="tlid-translation"/>
          <w:sz w:val="24"/>
          <w:szCs w:val="24"/>
          <w:lang w:val="el-GR"/>
        </w:rPr>
        <w:t xml:space="preserve"> του συντηρητικού</w:t>
      </w:r>
      <w:r w:rsidR="00AC314A">
        <w:rPr>
          <w:rStyle w:val="tlid-translation"/>
          <w:sz w:val="24"/>
          <w:szCs w:val="24"/>
          <w:lang w:val="el-GR"/>
        </w:rPr>
        <w:t>/</w:t>
      </w:r>
      <w:r w:rsidR="0079481B" w:rsidRPr="0079481B">
        <w:rPr>
          <w:rStyle w:val="tlid-translation"/>
          <w:sz w:val="24"/>
          <w:szCs w:val="24"/>
          <w:lang w:val="el-GR"/>
        </w:rPr>
        <w:t>κορπορατιστικ</w:t>
      </w:r>
      <w:r w:rsidR="00C362D4">
        <w:rPr>
          <w:rStyle w:val="tlid-translation"/>
          <w:sz w:val="24"/>
          <w:szCs w:val="24"/>
          <w:lang w:val="el-GR"/>
        </w:rPr>
        <w:t>ού μοντέλου (Ηπειρωτική Ευρώπη), αλλά και τη αποτυχία του νεοφιλελεύθερου μοντέλου που εφαρμόστηκε σε χώρε όπως η Βρετανία</w:t>
      </w:r>
      <w:r w:rsidR="00177DE2">
        <w:rPr>
          <w:rStyle w:val="a8"/>
          <w:sz w:val="24"/>
          <w:szCs w:val="24"/>
          <w:lang w:val="el-GR"/>
        </w:rPr>
        <w:footnoteReference w:id="6"/>
      </w:r>
      <w:r>
        <w:rPr>
          <w:rStyle w:val="tlid-translation"/>
          <w:sz w:val="24"/>
          <w:szCs w:val="24"/>
          <w:lang w:val="el-GR"/>
        </w:rPr>
        <w:t>.</w:t>
      </w:r>
      <w:r w:rsidR="008E7B49">
        <w:rPr>
          <w:rStyle w:val="tlid-translation"/>
          <w:sz w:val="24"/>
          <w:szCs w:val="24"/>
          <w:lang w:val="el-GR"/>
        </w:rPr>
        <w:t xml:space="preserve"> </w:t>
      </w:r>
      <w:r w:rsidR="00D07047" w:rsidRPr="003E5906">
        <w:rPr>
          <w:rStyle w:val="tlid-translation"/>
          <w:sz w:val="24"/>
          <w:szCs w:val="24"/>
          <w:lang w:val="el-GR"/>
        </w:rPr>
        <w:t>Έτσι στην Ελλάδα,</w:t>
      </w:r>
      <w:r w:rsidR="0079481B" w:rsidRPr="003E5906">
        <w:rPr>
          <w:rStyle w:val="tlid-translation"/>
          <w:sz w:val="24"/>
          <w:szCs w:val="24"/>
          <w:lang w:val="el-GR"/>
        </w:rPr>
        <w:t xml:space="preserve"> </w:t>
      </w:r>
      <w:r w:rsidR="00B22788">
        <w:rPr>
          <w:rStyle w:val="tlid-translation"/>
          <w:sz w:val="24"/>
          <w:szCs w:val="24"/>
          <w:lang w:val="el-GR"/>
        </w:rPr>
        <w:t>ήδη</w:t>
      </w:r>
      <w:r w:rsidR="00B22788" w:rsidRPr="003E5906">
        <w:rPr>
          <w:rStyle w:val="tlid-translation"/>
          <w:sz w:val="24"/>
          <w:szCs w:val="24"/>
          <w:lang w:val="el-GR"/>
        </w:rPr>
        <w:t xml:space="preserve"> </w:t>
      </w:r>
      <w:r w:rsidR="0079481B" w:rsidRPr="003E5906">
        <w:rPr>
          <w:rStyle w:val="tlid-translation"/>
          <w:sz w:val="24"/>
          <w:szCs w:val="24"/>
          <w:lang w:val="el-GR"/>
        </w:rPr>
        <w:t xml:space="preserve">πριν την εκδήλωση της </w:t>
      </w:r>
      <w:r>
        <w:rPr>
          <w:rStyle w:val="tlid-translation"/>
          <w:sz w:val="24"/>
          <w:szCs w:val="24"/>
          <w:lang w:val="el-GR"/>
        </w:rPr>
        <w:t xml:space="preserve">οικονομικής </w:t>
      </w:r>
      <w:r w:rsidR="0079481B" w:rsidRPr="003E5906">
        <w:rPr>
          <w:rStyle w:val="tlid-translation"/>
          <w:sz w:val="24"/>
          <w:szCs w:val="24"/>
          <w:lang w:val="el-GR"/>
        </w:rPr>
        <w:t>κρίσης</w:t>
      </w:r>
      <w:r w:rsidR="00B22788">
        <w:rPr>
          <w:rStyle w:val="tlid-translation"/>
          <w:sz w:val="24"/>
          <w:szCs w:val="24"/>
          <w:lang w:val="el-GR"/>
        </w:rPr>
        <w:t>,</w:t>
      </w:r>
      <w:r>
        <w:rPr>
          <w:rStyle w:val="tlid-translation"/>
          <w:sz w:val="24"/>
          <w:szCs w:val="24"/>
          <w:lang w:val="el-GR"/>
        </w:rPr>
        <w:t xml:space="preserve"> </w:t>
      </w:r>
      <w:r w:rsidR="00B22788" w:rsidRPr="003E5906">
        <w:rPr>
          <w:rStyle w:val="tlid-translation"/>
          <w:sz w:val="24"/>
          <w:szCs w:val="24"/>
          <w:lang w:val="el-GR"/>
        </w:rPr>
        <w:t>είχε</w:t>
      </w:r>
      <w:r w:rsidR="00B22788">
        <w:rPr>
          <w:rStyle w:val="tlid-translation"/>
          <w:sz w:val="24"/>
          <w:szCs w:val="24"/>
          <w:lang w:val="el-GR"/>
        </w:rPr>
        <w:t xml:space="preserve"> </w:t>
      </w:r>
      <w:r>
        <w:rPr>
          <w:rStyle w:val="tlid-translation"/>
          <w:sz w:val="24"/>
          <w:szCs w:val="24"/>
          <w:lang w:val="el-GR"/>
        </w:rPr>
        <w:t>δ</w:t>
      </w:r>
      <w:r w:rsidR="0079481B" w:rsidRPr="003E5906">
        <w:rPr>
          <w:rStyle w:val="tlid-translation"/>
          <w:sz w:val="24"/>
          <w:szCs w:val="24"/>
          <w:lang w:val="el-GR"/>
        </w:rPr>
        <w:t xml:space="preserve">ιαπιστωθεί το παράδοξο ότι, </w:t>
      </w:r>
      <w:r w:rsidR="0079481B" w:rsidRPr="003E5906">
        <w:rPr>
          <w:rStyle w:val="tlid-translation"/>
          <w:i/>
          <w:sz w:val="24"/>
          <w:szCs w:val="24"/>
          <w:lang w:val="el-GR"/>
        </w:rPr>
        <w:t>ενώ οι δαπάνες για κοινωνική προστασία αυξανόταν κατά το διάστημα 1998-2008, το ποσοστό φτώχειας στη χώρα παρέμενε στα ίδια επίπεδα</w:t>
      </w:r>
      <w:r w:rsidR="0067580F">
        <w:rPr>
          <w:rStyle w:val="a8"/>
          <w:sz w:val="24"/>
          <w:szCs w:val="24"/>
          <w:lang w:val="el-GR"/>
        </w:rPr>
        <w:footnoteReference w:id="7"/>
      </w:r>
      <w:r w:rsidR="0079481B" w:rsidRPr="003E5906">
        <w:rPr>
          <w:rStyle w:val="tlid-translation"/>
          <w:sz w:val="24"/>
          <w:szCs w:val="24"/>
          <w:lang w:val="el-GR"/>
        </w:rPr>
        <w:t>.</w:t>
      </w:r>
      <w:r w:rsidR="008E7B49">
        <w:rPr>
          <w:rStyle w:val="tlid-translation"/>
          <w:sz w:val="24"/>
          <w:szCs w:val="24"/>
          <w:lang w:val="el-GR"/>
        </w:rPr>
        <w:t xml:space="preserve"> </w:t>
      </w:r>
      <w:r w:rsidR="00C362D4" w:rsidRPr="003E5906">
        <w:rPr>
          <w:rStyle w:val="tlid-translation"/>
          <w:sz w:val="24"/>
          <w:szCs w:val="24"/>
          <w:lang w:val="el-GR"/>
        </w:rPr>
        <w:t>Στη</w:t>
      </w:r>
      <w:r w:rsidR="0079481B" w:rsidRPr="003E5906">
        <w:rPr>
          <w:rStyle w:val="tlid-translation"/>
          <w:sz w:val="24"/>
          <w:szCs w:val="24"/>
          <w:lang w:val="el-GR"/>
        </w:rPr>
        <w:t xml:space="preserve"> μειωμένη απόδοση των δαπανών κοινωνικής προστασίας στην Ελλάδα πρέπει </w:t>
      </w:r>
      <w:r w:rsidR="009526BF">
        <w:rPr>
          <w:rStyle w:val="tlid-translation"/>
          <w:sz w:val="24"/>
          <w:szCs w:val="24"/>
          <w:lang w:val="el-GR"/>
        </w:rPr>
        <w:t xml:space="preserve">ωστόσο </w:t>
      </w:r>
      <w:r w:rsidR="0079481B" w:rsidRPr="003E5906">
        <w:rPr>
          <w:rStyle w:val="tlid-translation"/>
          <w:sz w:val="24"/>
          <w:szCs w:val="24"/>
          <w:lang w:val="el-GR"/>
        </w:rPr>
        <w:t>να λαμβάνεται υπόψη και η διάρθρωση των κοινωνικών μεταβιβάσεων που στην πλειονότητά τους αφορούν στι</w:t>
      </w:r>
      <w:r w:rsidR="0067580F" w:rsidRPr="003E5906">
        <w:rPr>
          <w:rStyle w:val="tlid-translation"/>
          <w:sz w:val="24"/>
          <w:szCs w:val="24"/>
          <w:lang w:val="el-GR"/>
        </w:rPr>
        <w:t>ς συντάξεις γήρατος</w:t>
      </w:r>
      <w:r w:rsidR="0067580F">
        <w:rPr>
          <w:rStyle w:val="a8"/>
          <w:sz w:val="24"/>
          <w:szCs w:val="24"/>
          <w:lang w:val="el-GR"/>
        </w:rPr>
        <w:footnoteReference w:id="8"/>
      </w:r>
      <w:r>
        <w:rPr>
          <w:rStyle w:val="tlid-translation"/>
          <w:sz w:val="24"/>
          <w:szCs w:val="24"/>
          <w:lang w:val="el-GR"/>
        </w:rPr>
        <w:t xml:space="preserve"> (λόγω</w:t>
      </w:r>
      <w:r w:rsidR="0079481B" w:rsidRPr="003E5906">
        <w:rPr>
          <w:rStyle w:val="tlid-translation"/>
          <w:sz w:val="24"/>
          <w:szCs w:val="24"/>
          <w:lang w:val="el-GR"/>
        </w:rPr>
        <w:t xml:space="preserve"> της δημογραφικής γήρανσης), καθώς και η αναδιάρθρωση των εργασιακών σχέσεων στο πλαίσιο πολιτικών ελα</w:t>
      </w:r>
      <w:r w:rsidR="00D07047" w:rsidRPr="003E5906">
        <w:rPr>
          <w:rStyle w:val="tlid-translation"/>
          <w:sz w:val="24"/>
          <w:szCs w:val="24"/>
          <w:lang w:val="el-GR"/>
        </w:rPr>
        <w:t>στικοποίησης της εργασίας.</w:t>
      </w:r>
    </w:p>
    <w:p w14:paraId="1A3A83AC" w14:textId="731778F1" w:rsidR="004D350F" w:rsidRDefault="00D07047" w:rsidP="008E7B49">
      <w:pPr>
        <w:pStyle w:val="a9"/>
        <w:spacing w:after="200" w:line="264" w:lineRule="auto"/>
        <w:ind w:left="0"/>
        <w:contextualSpacing w:val="0"/>
        <w:jc w:val="both"/>
        <w:rPr>
          <w:rStyle w:val="tlid-translation"/>
          <w:sz w:val="24"/>
          <w:szCs w:val="24"/>
          <w:lang w:val="el-GR"/>
        </w:rPr>
      </w:pPr>
      <w:r>
        <w:rPr>
          <w:rStyle w:val="tlid-translation"/>
          <w:sz w:val="24"/>
          <w:szCs w:val="24"/>
          <w:lang w:val="el-GR"/>
        </w:rPr>
        <w:t>Σε αυτό το πλαίσιο, η</w:t>
      </w:r>
      <w:r w:rsidR="0079481B" w:rsidRPr="0079481B">
        <w:rPr>
          <w:rStyle w:val="tlid-translation"/>
          <w:sz w:val="24"/>
          <w:szCs w:val="24"/>
          <w:lang w:val="el-GR"/>
        </w:rPr>
        <w:t xml:space="preserve"> κοινωνική προστασία των ατόμων με αναπηρία που δομήθηκε στη βάση του αναχρονιστικού ιατρικού μοντέλου, περιορίστηκε διαχρονικά σε μια μονοδιάστατη</w:t>
      </w:r>
      <w:r w:rsidR="008E7B49">
        <w:rPr>
          <w:rStyle w:val="tlid-translation"/>
          <w:sz w:val="24"/>
          <w:szCs w:val="24"/>
          <w:lang w:val="el-GR"/>
        </w:rPr>
        <w:t xml:space="preserve"> </w:t>
      </w:r>
      <w:r w:rsidR="0079481B" w:rsidRPr="0079481B">
        <w:rPr>
          <w:rStyle w:val="tlid-translation"/>
          <w:sz w:val="24"/>
          <w:szCs w:val="24"/>
          <w:lang w:val="el-GR"/>
        </w:rPr>
        <w:t>προνοιακή/φιλανθρωπική αντίληψη.</w:t>
      </w:r>
      <w:r w:rsidR="008E7B49">
        <w:rPr>
          <w:rStyle w:val="tlid-translation"/>
          <w:sz w:val="24"/>
          <w:szCs w:val="24"/>
          <w:lang w:val="el-GR"/>
        </w:rPr>
        <w:t xml:space="preserve"> </w:t>
      </w:r>
      <w:r w:rsidR="00A744DB">
        <w:rPr>
          <w:rStyle w:val="tlid-translation"/>
          <w:sz w:val="24"/>
          <w:szCs w:val="24"/>
          <w:lang w:val="el-GR"/>
        </w:rPr>
        <w:t>Απόρροια</w:t>
      </w:r>
      <w:r w:rsidR="0079481B" w:rsidRPr="0079481B">
        <w:rPr>
          <w:rStyle w:val="tlid-translation"/>
          <w:sz w:val="24"/>
          <w:szCs w:val="24"/>
          <w:lang w:val="el-GR"/>
        </w:rPr>
        <w:t xml:space="preserve"> αυτής της αντίληψης είναι η απουσία δομών και υπηρεσιών που να ανταποκρίνονται στις ανάγκες των ατόμων με αναπηρία και να υποστηρίζουν την ανεξάρτητη διαβίωση στην κοινότητα</w:t>
      </w:r>
      <w:r w:rsidR="00AB798C">
        <w:rPr>
          <w:rStyle w:val="tlid-translation"/>
          <w:sz w:val="24"/>
          <w:szCs w:val="24"/>
          <w:lang w:val="el-GR"/>
        </w:rPr>
        <w:t>.</w:t>
      </w:r>
    </w:p>
    <w:p w14:paraId="109C1105" w14:textId="76166E2A" w:rsidR="000E4ABF" w:rsidRDefault="0079481B" w:rsidP="008E7B49">
      <w:pPr>
        <w:pStyle w:val="a9"/>
        <w:spacing w:after="200" w:line="276" w:lineRule="auto"/>
        <w:ind w:left="0"/>
        <w:contextualSpacing w:val="0"/>
        <w:jc w:val="both"/>
        <w:rPr>
          <w:rStyle w:val="tlid-translation"/>
          <w:sz w:val="24"/>
          <w:szCs w:val="24"/>
          <w:lang w:val="el-GR"/>
        </w:rPr>
      </w:pPr>
      <w:r w:rsidRPr="0079481B">
        <w:rPr>
          <w:rStyle w:val="tlid-translation"/>
          <w:sz w:val="24"/>
          <w:szCs w:val="24"/>
          <w:lang w:val="el-GR"/>
        </w:rPr>
        <w:lastRenderedPageBreak/>
        <w:t xml:space="preserve">Η ανυπαρξία παροχών σε είδος, στην ελληνική περίπτωση, συνδυάζεται με μια στρεβλή επιδοματική πολιτική που σε καμία περίπτωση δεν στοχεύει στην κοινωνική ένταξη, αφού στην ουσία τα άτομα με αναπηρία </w:t>
      </w:r>
      <w:r w:rsidRPr="00EB5382">
        <w:rPr>
          <w:rStyle w:val="tlid-translation"/>
          <w:i/>
          <w:iCs/>
          <w:sz w:val="24"/>
          <w:szCs w:val="24"/>
          <w:lang w:val="el-GR"/>
        </w:rPr>
        <w:t>«επιδοτούνται γ</w:t>
      </w:r>
      <w:r w:rsidR="00EA6BCD" w:rsidRPr="00EB5382">
        <w:rPr>
          <w:rStyle w:val="tlid-translation"/>
          <w:i/>
          <w:iCs/>
          <w:sz w:val="24"/>
          <w:szCs w:val="24"/>
          <w:lang w:val="el-GR"/>
        </w:rPr>
        <w:t>ια να παραμένουν στο περιθώριο»</w:t>
      </w:r>
      <w:r w:rsidR="00EA6BCD">
        <w:rPr>
          <w:rStyle w:val="a8"/>
          <w:sz w:val="24"/>
          <w:szCs w:val="24"/>
          <w:lang w:val="el-GR"/>
        </w:rPr>
        <w:footnoteReference w:id="9"/>
      </w:r>
      <w:r w:rsidRPr="0079481B">
        <w:rPr>
          <w:rStyle w:val="tlid-translation"/>
          <w:sz w:val="24"/>
          <w:szCs w:val="24"/>
          <w:lang w:val="el-GR"/>
        </w:rPr>
        <w:t>. Π</w:t>
      </w:r>
      <w:r w:rsidR="00C57539">
        <w:rPr>
          <w:rStyle w:val="tlid-translation"/>
          <w:sz w:val="24"/>
          <w:szCs w:val="24"/>
          <w:lang w:val="el-GR"/>
        </w:rPr>
        <w:t>ερίτρανη απόδειξη αυτού είναι η</w:t>
      </w:r>
      <w:r w:rsidRPr="0079481B">
        <w:rPr>
          <w:rStyle w:val="tlid-translation"/>
          <w:sz w:val="24"/>
          <w:szCs w:val="24"/>
          <w:lang w:val="el-GR"/>
        </w:rPr>
        <w:t xml:space="preserve"> εφαρμογή του εκδικητικού μέτρου της διακοπής του επιδόματος ανα</w:t>
      </w:r>
      <w:r w:rsidR="009939FF">
        <w:rPr>
          <w:rStyle w:val="tlid-translation"/>
          <w:sz w:val="24"/>
          <w:szCs w:val="24"/>
          <w:lang w:val="el-GR"/>
        </w:rPr>
        <w:t>πηρίας σε περίπτωση απασχόλησης.</w:t>
      </w:r>
      <w:r w:rsidR="000E4ABF">
        <w:rPr>
          <w:rStyle w:val="tlid-translation"/>
          <w:sz w:val="24"/>
          <w:szCs w:val="24"/>
          <w:lang w:val="el-GR"/>
        </w:rPr>
        <w:t xml:space="preserve"> </w:t>
      </w:r>
    </w:p>
    <w:p w14:paraId="0F71C300" w14:textId="3A0618AD" w:rsidR="00C57539" w:rsidRDefault="0087498E" w:rsidP="008E7B49">
      <w:pPr>
        <w:pStyle w:val="a9"/>
        <w:spacing w:after="200" w:line="276" w:lineRule="auto"/>
        <w:ind w:left="0"/>
        <w:contextualSpacing w:val="0"/>
        <w:jc w:val="both"/>
        <w:rPr>
          <w:rStyle w:val="tlid-translation"/>
          <w:sz w:val="24"/>
          <w:szCs w:val="24"/>
          <w:lang w:val="el-GR"/>
        </w:rPr>
      </w:pPr>
      <w:r>
        <w:rPr>
          <w:rStyle w:val="tlid-translation"/>
          <w:sz w:val="24"/>
          <w:szCs w:val="24"/>
          <w:lang w:val="el-GR"/>
        </w:rPr>
        <w:t>Η</w:t>
      </w:r>
      <w:r w:rsidR="0079481B" w:rsidRPr="0079481B">
        <w:rPr>
          <w:rStyle w:val="tlid-translation"/>
          <w:sz w:val="24"/>
          <w:szCs w:val="24"/>
          <w:lang w:val="el-GR"/>
        </w:rPr>
        <w:t xml:space="preserve"> εφαρμογή </w:t>
      </w:r>
      <w:r>
        <w:rPr>
          <w:rStyle w:val="tlid-translation"/>
          <w:sz w:val="24"/>
          <w:szCs w:val="24"/>
          <w:lang w:val="el-GR"/>
        </w:rPr>
        <w:t xml:space="preserve">των μνημονιακών </w:t>
      </w:r>
      <w:r w:rsidR="0079481B" w:rsidRPr="0079481B">
        <w:rPr>
          <w:rStyle w:val="tlid-translation"/>
          <w:sz w:val="24"/>
          <w:szCs w:val="24"/>
          <w:lang w:val="el-GR"/>
        </w:rPr>
        <w:t>πολιτικών οδήγησαν στην</w:t>
      </w:r>
      <w:r w:rsidR="001C153F">
        <w:rPr>
          <w:rStyle w:val="tlid-translation"/>
          <w:sz w:val="24"/>
          <w:szCs w:val="24"/>
          <w:lang w:val="el-GR"/>
        </w:rPr>
        <w:t xml:space="preserve"> </w:t>
      </w:r>
      <w:r w:rsidR="0079481B" w:rsidRPr="0079481B">
        <w:rPr>
          <w:rStyle w:val="tlid-translation"/>
          <w:sz w:val="24"/>
          <w:szCs w:val="24"/>
          <w:lang w:val="el-GR"/>
        </w:rPr>
        <w:t>περαιτέρω αποσάθρωση του συστήματος κοινωνικής προστασίας στη χώρα και την επιβολή σαρωτικών αλλαγών σε όλο το φάσμα των κοινωνικών παροχών, και στις παροχές για την αναπηρία. Η συρρίκνωση ακόμα και των δαπανών που προορίζονται για την επιδοματική πολιτική σε συνδυασμό με την εκτίναξη των επιπέδων ανεργίας, είχαν ως αποτέλεσμα την περαιτέρω φτωχοποίηση σημαντικής μερίδας του π</w:t>
      </w:r>
      <w:r w:rsidR="0016630F">
        <w:rPr>
          <w:rStyle w:val="tlid-translation"/>
          <w:sz w:val="24"/>
          <w:szCs w:val="24"/>
          <w:lang w:val="el-GR"/>
        </w:rPr>
        <w:t>ληθυσμού των ατόμων με αναπηρία</w:t>
      </w:r>
      <w:r w:rsidR="0016630F">
        <w:rPr>
          <w:rStyle w:val="a8"/>
          <w:sz w:val="24"/>
          <w:szCs w:val="24"/>
          <w:lang w:val="el-GR"/>
        </w:rPr>
        <w:footnoteReference w:id="10"/>
      </w:r>
      <w:r w:rsidR="008E7B49">
        <w:rPr>
          <w:rStyle w:val="tlid-translation"/>
          <w:sz w:val="24"/>
          <w:szCs w:val="24"/>
          <w:lang w:val="el-GR"/>
        </w:rPr>
        <w:t>.</w:t>
      </w:r>
    </w:p>
    <w:p w14:paraId="0BDC5F90" w14:textId="786B3FE6" w:rsidR="0079481B" w:rsidRPr="00BD7418" w:rsidRDefault="009526BF" w:rsidP="008E7B49">
      <w:pPr>
        <w:pStyle w:val="a9"/>
        <w:spacing w:after="240" w:line="276" w:lineRule="auto"/>
        <w:ind w:left="0"/>
        <w:contextualSpacing w:val="0"/>
        <w:jc w:val="both"/>
        <w:rPr>
          <w:rStyle w:val="tlid-translation"/>
          <w:sz w:val="24"/>
          <w:szCs w:val="24"/>
          <w:lang w:val="el-GR"/>
        </w:rPr>
      </w:pPr>
      <w:r>
        <w:rPr>
          <w:rStyle w:val="tlid-translation"/>
          <w:sz w:val="24"/>
          <w:szCs w:val="24"/>
          <w:lang w:val="el-GR"/>
        </w:rPr>
        <w:t>Σήμερα, τ</w:t>
      </w:r>
      <w:r w:rsidR="00BD7418">
        <w:rPr>
          <w:rStyle w:val="tlid-translation"/>
          <w:sz w:val="24"/>
          <w:szCs w:val="24"/>
          <w:lang w:val="el-GR"/>
        </w:rPr>
        <w:t xml:space="preserve">α πρόσθετα εμπόδια και οι προκλήσεις που απορρέουν από τη νέα συνθήκη της </w:t>
      </w:r>
      <w:r w:rsidR="00F84C0C">
        <w:rPr>
          <w:rStyle w:val="tlid-translation"/>
          <w:sz w:val="24"/>
          <w:szCs w:val="24"/>
          <w:lang w:val="el-GR"/>
        </w:rPr>
        <w:t>υγειονομικής</w:t>
      </w:r>
      <w:r w:rsidR="00BD7418">
        <w:rPr>
          <w:rStyle w:val="tlid-translation"/>
          <w:sz w:val="24"/>
          <w:szCs w:val="24"/>
          <w:lang w:val="el-GR"/>
        </w:rPr>
        <w:t xml:space="preserve"> κρίσης</w:t>
      </w:r>
      <w:r w:rsidR="00E647CA">
        <w:rPr>
          <w:rStyle w:val="tlid-translation"/>
          <w:sz w:val="24"/>
          <w:szCs w:val="24"/>
          <w:lang w:val="el-GR"/>
        </w:rPr>
        <w:t>,</w:t>
      </w:r>
      <w:r w:rsidR="00BD7418">
        <w:rPr>
          <w:rStyle w:val="tlid-translation"/>
          <w:sz w:val="24"/>
          <w:szCs w:val="24"/>
          <w:lang w:val="el-GR"/>
        </w:rPr>
        <w:t xml:space="preserve"> καθιστούν περισσότερο επιτατική την ανάγκη </w:t>
      </w:r>
      <w:r w:rsidR="0029431E">
        <w:rPr>
          <w:rStyle w:val="tlid-translation"/>
          <w:sz w:val="24"/>
          <w:szCs w:val="24"/>
          <w:lang w:val="el-GR"/>
        </w:rPr>
        <w:t xml:space="preserve">άμεσης </w:t>
      </w:r>
      <w:r w:rsidR="00BD7418">
        <w:rPr>
          <w:rStyle w:val="tlid-translation"/>
          <w:sz w:val="24"/>
          <w:szCs w:val="24"/>
          <w:lang w:val="el-GR"/>
        </w:rPr>
        <w:t xml:space="preserve">διασφάλισης του δικαιώματος </w:t>
      </w:r>
      <w:r w:rsidR="00F84C0C">
        <w:rPr>
          <w:rStyle w:val="tlid-translation"/>
          <w:sz w:val="24"/>
          <w:szCs w:val="24"/>
          <w:lang w:val="el-GR"/>
        </w:rPr>
        <w:t xml:space="preserve">των ατόμων με αναπηρία </w:t>
      </w:r>
      <w:r w:rsidR="0079481B" w:rsidRPr="00BD7418">
        <w:rPr>
          <w:rStyle w:val="tlid-translation"/>
          <w:sz w:val="24"/>
          <w:szCs w:val="24"/>
          <w:lang w:val="el-GR"/>
        </w:rPr>
        <w:t>σε κοινωνική προστασία και ανεκτό επίπεδο διαβίωσης,</w:t>
      </w:r>
      <w:r w:rsidR="008E7B49">
        <w:rPr>
          <w:rStyle w:val="tlid-translation"/>
          <w:sz w:val="24"/>
          <w:szCs w:val="24"/>
          <w:lang w:val="el-GR"/>
        </w:rPr>
        <w:t xml:space="preserve"> </w:t>
      </w:r>
      <w:r w:rsidR="0079481B" w:rsidRPr="00BD7418">
        <w:rPr>
          <w:rStyle w:val="tlid-translation"/>
          <w:sz w:val="24"/>
          <w:szCs w:val="24"/>
          <w:lang w:val="el-GR"/>
        </w:rPr>
        <w:t xml:space="preserve">όπως </w:t>
      </w:r>
      <w:r w:rsidR="00F84C0C">
        <w:rPr>
          <w:rStyle w:val="tlid-translation"/>
          <w:sz w:val="24"/>
          <w:szCs w:val="24"/>
          <w:lang w:val="el-GR"/>
        </w:rPr>
        <w:t xml:space="preserve">αυτό </w:t>
      </w:r>
      <w:r w:rsidR="0079481B" w:rsidRPr="00BD7418">
        <w:rPr>
          <w:rStyle w:val="tlid-translation"/>
          <w:sz w:val="24"/>
          <w:szCs w:val="24"/>
          <w:lang w:val="el-GR"/>
        </w:rPr>
        <w:t>κατοχυρώνεται στο Σύνταγμα της χώρας και διευρύνεται</w:t>
      </w:r>
      <w:r w:rsidR="008E7B49">
        <w:rPr>
          <w:rStyle w:val="tlid-translation"/>
          <w:sz w:val="24"/>
          <w:szCs w:val="24"/>
          <w:lang w:val="el-GR"/>
        </w:rPr>
        <w:t xml:space="preserve"> </w:t>
      </w:r>
      <w:r w:rsidR="0079481B" w:rsidRPr="00BD7418">
        <w:rPr>
          <w:rStyle w:val="tlid-translation"/>
          <w:sz w:val="24"/>
          <w:szCs w:val="24"/>
          <w:lang w:val="el-GR"/>
        </w:rPr>
        <w:t>με το άρθρο 28 της Σύμβασης των Ηνωμένων Εθνών για τα Δικαιώματα των Ατόμων με Αναπηρίες</w:t>
      </w:r>
      <w:r w:rsidR="00F84C0C">
        <w:rPr>
          <w:rStyle w:val="tlid-translation"/>
          <w:sz w:val="24"/>
          <w:szCs w:val="24"/>
          <w:lang w:val="el-GR"/>
        </w:rPr>
        <w:t>.</w:t>
      </w:r>
    </w:p>
    <w:p w14:paraId="7318791C" w14:textId="0B8ECE2D" w:rsidR="0079481B" w:rsidRPr="000E4ABF" w:rsidRDefault="0079481B" w:rsidP="008E7B49">
      <w:pPr>
        <w:pStyle w:val="a9"/>
        <w:pBdr>
          <w:top w:val="double" w:sz="12" w:space="1" w:color="auto"/>
          <w:left w:val="double" w:sz="12" w:space="4" w:color="auto"/>
          <w:bottom w:val="double" w:sz="12" w:space="1" w:color="auto"/>
          <w:right w:val="double" w:sz="12" w:space="4" w:color="auto"/>
        </w:pBdr>
        <w:shd w:val="clear" w:color="auto" w:fill="E7E6E6" w:themeFill="background2"/>
        <w:ind w:left="142"/>
        <w:contextualSpacing w:val="0"/>
        <w:jc w:val="both"/>
        <w:rPr>
          <w:rStyle w:val="tlid-translation"/>
          <w:rFonts w:asciiTheme="majorHAnsi" w:hAnsiTheme="majorHAnsi"/>
          <w:b/>
          <w:lang w:val="el-GR"/>
        </w:rPr>
      </w:pPr>
      <w:r w:rsidRPr="000E4ABF">
        <w:rPr>
          <w:rStyle w:val="tlid-translation"/>
          <w:rFonts w:asciiTheme="majorHAnsi" w:hAnsiTheme="majorHAnsi"/>
          <w:b/>
          <w:lang w:val="el-GR"/>
        </w:rPr>
        <w:t>Άρθρο 28- Κοινωνική προστασία και ανεκτό βιοτικό επίπεδο</w:t>
      </w:r>
    </w:p>
    <w:p w14:paraId="313063A1" w14:textId="71333AA4" w:rsidR="0079481B" w:rsidRPr="00C2665F" w:rsidRDefault="0079481B" w:rsidP="008E7B49">
      <w:pPr>
        <w:pStyle w:val="a9"/>
        <w:pBdr>
          <w:top w:val="double" w:sz="12" w:space="1" w:color="auto"/>
          <w:left w:val="double" w:sz="12" w:space="4" w:color="auto"/>
          <w:bottom w:val="double" w:sz="12" w:space="1" w:color="auto"/>
          <w:right w:val="double" w:sz="12" w:space="4" w:color="auto"/>
        </w:pBdr>
        <w:shd w:val="clear" w:color="auto" w:fill="E7E6E6" w:themeFill="background2"/>
        <w:ind w:left="142"/>
        <w:contextualSpacing w:val="0"/>
        <w:jc w:val="both"/>
        <w:rPr>
          <w:rStyle w:val="tlid-translation"/>
          <w:rFonts w:asciiTheme="majorHAnsi" w:hAnsiTheme="majorHAnsi"/>
          <w:lang w:val="el-GR"/>
        </w:rPr>
      </w:pPr>
      <w:r w:rsidRPr="00C2665F">
        <w:rPr>
          <w:rStyle w:val="tlid-translation"/>
          <w:rFonts w:asciiTheme="majorHAnsi" w:hAnsiTheme="majorHAnsi"/>
          <w:lang w:val="el-GR"/>
        </w:rPr>
        <w:t xml:space="preserve">Το άρθρο 28 της </w:t>
      </w:r>
      <w:r w:rsidRPr="000E4ABF">
        <w:rPr>
          <w:rStyle w:val="tlid-translation"/>
          <w:rFonts w:asciiTheme="majorHAnsi" w:hAnsiTheme="majorHAnsi"/>
        </w:rPr>
        <w:t>CRPD</w:t>
      </w:r>
      <w:r w:rsidRPr="00C2665F">
        <w:rPr>
          <w:rStyle w:val="tlid-translation"/>
          <w:rFonts w:asciiTheme="majorHAnsi" w:hAnsiTheme="majorHAnsi"/>
          <w:lang w:val="el-GR"/>
        </w:rPr>
        <w:t>, επιβάλλει στα κράτη να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να λαμβάνουν τα κατάλληλα μέτρα για να προστατεύουν και να προάγουν την εξασφάλιση του δικαιώματος αυτού, χωρίς διακρίσεις βάσει της αναπηρίας. Μεταξύ άλλων, τα κράτη οφείλουν να λαμβάνουν μέτρα προκειμένου να διασφαλίζουν την πρόσβαση σε κατάλληλες και προσιτές υπηρεσίες, συσκευές και σε κάθε άλλη βοήθεια για σχετικές με την αναπηρία ανάγκες, να διασφαλίζουν την πρόσβαση από τα άτομα με αναπηρίες, ιδιαίτερα τις γυναίκες, τα κορίτσια και τα ηλικιωμένα άτομα με αναπηρίες, στα προγράμματα κοινωνικής προστασίας και τα προγράμματα μείωσης της φτώχειας, να διασφαλίζουν την πρόσβαση στην κρατική βοήθεια, με σχετικές με την αναπηρία δαπάνες, συμπεριλαμβανομένης και της κατάλληλης κατάρτισης, της παροχής συμβουλών, της οικονομικής συνδρομής και της βραχυπρόθεσμης φροντίδας, να διασφαλίζουν την πρόσβαση από τα άτομα με αναπηρίες στα προγράμματα δημόσιας στέγασης, να διασφαλίζουν ίση πρόσβαση από τα άτομα με αναπηρίες στα συνταξιοδοτικά επιδόματα και προγράμματα.</w:t>
      </w:r>
    </w:p>
    <w:p w14:paraId="264B756A" w14:textId="214C7828" w:rsidR="001D00EE" w:rsidRDefault="002F77B6" w:rsidP="00660C45">
      <w:pPr>
        <w:pStyle w:val="10"/>
        <w:numPr>
          <w:ilvl w:val="0"/>
          <w:numId w:val="0"/>
        </w:numPr>
        <w:spacing w:before="360" w:after="360"/>
        <w:ind w:left="431" w:hanging="431"/>
        <w:jc w:val="center"/>
        <w:rPr>
          <w:rFonts w:asciiTheme="minorHAnsi" w:hAnsiTheme="minorHAnsi" w:cstheme="minorHAnsi"/>
          <w:b/>
          <w:color w:val="auto"/>
          <w:u w:val="single"/>
          <w:lang w:val="el-GR"/>
        </w:rPr>
      </w:pPr>
      <w:bookmarkStart w:id="2" w:name="_Toc53409339"/>
      <w:r w:rsidRPr="00CB77DA">
        <w:rPr>
          <w:rFonts w:asciiTheme="minorHAnsi" w:hAnsiTheme="minorHAnsi" w:cstheme="minorHAnsi"/>
          <w:b/>
          <w:color w:val="auto"/>
          <w:u w:val="single"/>
          <w:lang w:val="el-GR"/>
        </w:rPr>
        <w:lastRenderedPageBreak/>
        <w:t>ΒΑΣΙΚΑ ΕΥΡΥΜΑΤΑ</w:t>
      </w:r>
      <w:bookmarkEnd w:id="2"/>
    </w:p>
    <w:p w14:paraId="28ECEDB3" w14:textId="77777777" w:rsidR="00E17F27" w:rsidRPr="00E17F27" w:rsidRDefault="00E17F27" w:rsidP="00660C45">
      <w:pPr>
        <w:spacing w:after="120"/>
        <w:ind w:right="142"/>
        <w:jc w:val="both"/>
        <w:rPr>
          <w:rFonts w:eastAsia="Times New Roman" w:cs="Times New Roman"/>
          <w:b/>
          <w:sz w:val="24"/>
          <w:szCs w:val="24"/>
          <w:lang w:val="el-GR"/>
        </w:rPr>
      </w:pPr>
      <w:r w:rsidRPr="00E17F27">
        <w:rPr>
          <w:rFonts w:eastAsia="Times New Roman" w:cs="Times New Roman"/>
          <w:b/>
          <w:sz w:val="24"/>
          <w:szCs w:val="24"/>
          <w:lang w:val="el-GR"/>
        </w:rPr>
        <w:t xml:space="preserve">Για τη συνολική δαπάνη για κοινωνική προστασία, τα στοιχεία του συστήματος </w:t>
      </w:r>
      <w:r w:rsidRPr="00E17F27">
        <w:rPr>
          <w:rFonts w:eastAsia="Times New Roman" w:cs="Times New Roman"/>
          <w:b/>
          <w:sz w:val="24"/>
          <w:szCs w:val="24"/>
        </w:rPr>
        <w:t>ESSPROS</w:t>
      </w:r>
      <w:r w:rsidRPr="00E17F27">
        <w:rPr>
          <w:rFonts w:eastAsia="Times New Roman" w:cs="Times New Roman"/>
          <w:b/>
          <w:sz w:val="24"/>
          <w:szCs w:val="24"/>
          <w:lang w:val="el-GR"/>
        </w:rPr>
        <w:t xml:space="preserve"> καταδεικνύουν ότι: </w:t>
      </w:r>
    </w:p>
    <w:p w14:paraId="2467C6D8" w14:textId="5B5B4A84"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Το 2017 οι συνολικές δαπάνες για παροχές κοινωνικές προστασίας στην Ελλάδα υπολογίζονται</w:t>
      </w:r>
      <w:r w:rsidR="008E7B49">
        <w:rPr>
          <w:rFonts w:eastAsia="Times New Roman" w:cs="Times New Roman"/>
          <w:sz w:val="24"/>
          <w:szCs w:val="24"/>
          <w:lang w:val="el-GR"/>
        </w:rPr>
        <w:t xml:space="preserve"> </w:t>
      </w:r>
      <w:r w:rsidRPr="00E17F27">
        <w:rPr>
          <w:rFonts w:eastAsia="Times New Roman" w:cs="Times New Roman"/>
          <w:sz w:val="24"/>
          <w:szCs w:val="24"/>
          <w:lang w:val="el-GR"/>
        </w:rPr>
        <w:t>στο 24,9% του ΑΕΠ,</w:t>
      </w:r>
      <w:r w:rsidR="008E7B49">
        <w:rPr>
          <w:rFonts w:eastAsia="Times New Roman" w:cs="Times New Roman"/>
          <w:sz w:val="24"/>
          <w:szCs w:val="24"/>
          <w:lang w:val="el-GR"/>
        </w:rPr>
        <w:t xml:space="preserve"> </w:t>
      </w:r>
      <w:r w:rsidRPr="00E17F27">
        <w:rPr>
          <w:rFonts w:eastAsia="Times New Roman" w:cs="Times New Roman"/>
          <w:sz w:val="24"/>
          <w:szCs w:val="24"/>
          <w:lang w:val="el-GR"/>
        </w:rPr>
        <w:t>δύο μονάδες χαμηλότερα από τον ευρωπαϊκό</w:t>
      </w:r>
      <w:r w:rsidR="008E7B49">
        <w:rPr>
          <w:rFonts w:eastAsia="Times New Roman" w:cs="Times New Roman"/>
          <w:sz w:val="24"/>
          <w:szCs w:val="24"/>
          <w:lang w:val="el-GR"/>
        </w:rPr>
        <w:t xml:space="preserve"> </w:t>
      </w:r>
      <w:r w:rsidRPr="00E17F27">
        <w:rPr>
          <w:rFonts w:eastAsia="Times New Roman" w:cs="Times New Roman"/>
          <w:sz w:val="24"/>
          <w:szCs w:val="24"/>
          <w:lang w:val="el-GR"/>
        </w:rPr>
        <w:t xml:space="preserve">μέσο όρο (ΕΕ-28). </w:t>
      </w:r>
    </w:p>
    <w:p w14:paraId="3C4405A4" w14:textId="77777777"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 xml:space="preserve">Σε μονάδες αγοραστικής δύναμης (ΜΑΔ), η κατά κεφαλή δαπάνη για την κοινωνική προστασία είναι χαμηλότερη κατά 40% από τον ευρωπαϊκό μέσο όρο (Ε.Ε.-28). </w:t>
      </w:r>
    </w:p>
    <w:p w14:paraId="18992EC3" w14:textId="2690B985"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Το</w:t>
      </w:r>
      <w:r w:rsidR="008E7B49">
        <w:rPr>
          <w:rFonts w:eastAsia="Times New Roman" w:cs="Times New Roman"/>
          <w:sz w:val="24"/>
          <w:szCs w:val="24"/>
          <w:lang w:val="el-GR"/>
        </w:rPr>
        <w:t xml:space="preserve"> </w:t>
      </w:r>
      <w:r w:rsidRPr="00E17F27">
        <w:rPr>
          <w:rFonts w:eastAsia="Times New Roman" w:cs="Times New Roman"/>
          <w:sz w:val="24"/>
          <w:szCs w:val="24"/>
          <w:lang w:val="el-GR"/>
        </w:rPr>
        <w:t>53,2% της συνολικής αυτής δαπάνης αφορά σε συντάξεις γήρατος, ποσοστό το οποίο βρέθηκε να είναι το υψηλότερο μεταξύ των χω</w:t>
      </w:r>
      <w:r w:rsidR="004706AA">
        <w:rPr>
          <w:rFonts w:eastAsia="Times New Roman" w:cs="Times New Roman"/>
          <w:sz w:val="24"/>
          <w:szCs w:val="24"/>
          <w:lang w:val="el-GR"/>
        </w:rPr>
        <w:t>ρών της Ευρώπης (ΕΕ-28: 40,5%)</w:t>
      </w:r>
      <w:r w:rsidR="001615F4">
        <w:rPr>
          <w:rFonts w:eastAsia="Times New Roman" w:cs="Times New Roman"/>
          <w:sz w:val="24"/>
          <w:szCs w:val="24"/>
          <w:lang w:val="el-GR"/>
        </w:rPr>
        <w:t>.</w:t>
      </w:r>
    </w:p>
    <w:p w14:paraId="47A39B92" w14:textId="112165A6"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Η διαχρονική ανάλυση των στοιχείων φανερώνει σταθερή τάση μείωσης των συνολικών δαπανών κοινωνικής προστασίας,</w:t>
      </w:r>
      <w:r w:rsidR="008E7B49">
        <w:rPr>
          <w:rFonts w:eastAsia="Times New Roman" w:cs="Times New Roman"/>
          <w:sz w:val="24"/>
          <w:szCs w:val="24"/>
          <w:lang w:val="el-GR"/>
        </w:rPr>
        <w:t xml:space="preserve"> </w:t>
      </w:r>
      <w:r w:rsidRPr="00E17F27">
        <w:rPr>
          <w:rFonts w:eastAsia="Times New Roman" w:cs="Times New Roman"/>
          <w:sz w:val="24"/>
          <w:szCs w:val="24"/>
          <w:lang w:val="el-GR"/>
        </w:rPr>
        <w:t>η οποία από το 20</w:t>
      </w:r>
      <w:r w:rsidR="00D73525">
        <w:rPr>
          <w:rFonts w:eastAsia="Times New Roman" w:cs="Times New Roman"/>
          <w:sz w:val="24"/>
          <w:szCs w:val="24"/>
          <w:lang w:val="el-GR"/>
        </w:rPr>
        <w:t>09</w:t>
      </w:r>
      <w:r w:rsidRPr="00E17F27">
        <w:rPr>
          <w:rFonts w:eastAsia="Times New Roman" w:cs="Times New Roman"/>
          <w:sz w:val="24"/>
          <w:szCs w:val="24"/>
          <w:lang w:val="el-GR"/>
        </w:rPr>
        <w:t xml:space="preserve"> έως και το 2017 ανήλθε αθροιστικά σε περικοπές της τάξεως του 22%.</w:t>
      </w:r>
    </w:p>
    <w:p w14:paraId="4ED29150" w14:textId="0D1D39EA" w:rsidR="00E17F27" w:rsidRPr="00E17F27" w:rsidRDefault="00E17F27" w:rsidP="00660C45">
      <w:pPr>
        <w:spacing w:before="240" w:after="120"/>
        <w:ind w:right="142"/>
        <w:jc w:val="both"/>
        <w:rPr>
          <w:rFonts w:eastAsia="Times New Roman" w:cs="Times New Roman"/>
          <w:b/>
          <w:sz w:val="24"/>
          <w:szCs w:val="24"/>
          <w:lang w:val="el-GR"/>
        </w:rPr>
      </w:pPr>
      <w:r w:rsidRPr="00E17F27">
        <w:rPr>
          <w:rFonts w:eastAsia="Times New Roman" w:cs="Times New Roman"/>
          <w:b/>
          <w:sz w:val="24"/>
          <w:szCs w:val="24"/>
          <w:lang w:val="el-GR"/>
        </w:rPr>
        <w:t xml:space="preserve">Για τις δαπάνες κοινωνικής προστασίας για την αναπηρία, τα στοιχεία δείχνουν ότι: </w:t>
      </w:r>
    </w:p>
    <w:p w14:paraId="7F1D7CEE" w14:textId="7924A6C3"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Το 2017, οι δαπάνες κοινωνικής προστασίας για την αναπηρία ανέρχονται σε 2.658 εκατ. ευρώ, καταλαμβάνοντας το 5,9% των συνολικών δαπανών κοινωνικής προστασίας, όταν ο αντίστοιχος μέσος όρος της Ε.Ε.-28 ανερχόταν στο 7,6%.</w:t>
      </w:r>
    </w:p>
    <w:p w14:paraId="294EB29E" w14:textId="0E1E8D0B"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Κατατάσσοντας όλες τις χώρες με βάση το ποσοστό του ΑΕΠ που διαθέτουν για την προστασία της αναπηρίας σε σύνολο 35 κρατών, η Ελλάδα δυστυχώς κατέχει την 29</w:t>
      </w:r>
      <w:r w:rsidRPr="00660C45">
        <w:rPr>
          <w:rFonts w:eastAsia="Times New Roman" w:cs="Times New Roman"/>
          <w:sz w:val="24"/>
          <w:szCs w:val="24"/>
          <w:lang w:val="el-GR"/>
        </w:rPr>
        <w:t>η</w:t>
      </w:r>
      <w:r w:rsidRPr="00E17F27">
        <w:rPr>
          <w:rFonts w:eastAsia="Times New Roman" w:cs="Times New Roman"/>
          <w:sz w:val="24"/>
          <w:szCs w:val="24"/>
          <w:lang w:val="el-GR"/>
        </w:rPr>
        <w:t xml:space="preserve"> θέση.</w:t>
      </w:r>
    </w:p>
    <w:p w14:paraId="4B27307D" w14:textId="77777777"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 xml:space="preserve">Η εξέταση του δείκτη </w:t>
      </w:r>
      <w:r w:rsidRPr="00660C45">
        <w:rPr>
          <w:rFonts w:eastAsia="Times New Roman" w:cs="Times New Roman"/>
          <w:sz w:val="24"/>
          <w:szCs w:val="24"/>
          <w:lang w:val="el-GR"/>
        </w:rPr>
        <w:t xml:space="preserve">«Κατά κεφαλήν δαπάνη για παροχές κοινωνικής προστασίας για την αναπηρία σε μονάδες αγοραστικής δύναμης» </w:t>
      </w:r>
      <w:r w:rsidRPr="00E17F27">
        <w:rPr>
          <w:rFonts w:eastAsia="Times New Roman" w:cs="Times New Roman"/>
          <w:sz w:val="24"/>
          <w:szCs w:val="24"/>
          <w:lang w:val="el-GR"/>
        </w:rPr>
        <w:t>επιβεβαιώνει επίσης το ιδιαίτερα χαμηλό επίπεδο παροχών για την αναπηρία στη Ελλάδα, αφού η τιμή του στη χώρα είναι 297, 8 (ΜΑΔ) ανά κάτοικο, όντας χαμηλότερη κατά 50% της μέσης δαπάνης της Ε.Ε. των 28.</w:t>
      </w:r>
    </w:p>
    <w:p w14:paraId="397C0420" w14:textId="45158F53"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Η διαχρονική ανάλυση φανερώνει μια συνεχή τάση μείωσης των δαπανών κοινωνικής προστασίας για την αναπηρία στην Ελλάδα κατά την περίοδο 2010-2017</w:t>
      </w:r>
      <w:r w:rsidR="003C5D81">
        <w:rPr>
          <w:rFonts w:eastAsia="Times New Roman" w:cs="Times New Roman"/>
          <w:sz w:val="24"/>
          <w:szCs w:val="24"/>
          <w:lang w:val="el-GR"/>
        </w:rPr>
        <w:t>. Υπολογίζοντας αθροιστικά τις</w:t>
      </w:r>
      <w:r w:rsidRPr="00E17F27">
        <w:rPr>
          <w:rFonts w:eastAsia="Times New Roman" w:cs="Times New Roman"/>
          <w:sz w:val="24"/>
          <w:szCs w:val="24"/>
          <w:lang w:val="el-GR"/>
        </w:rPr>
        <w:t xml:space="preserve"> περικοπές αυτών των ετών, διαπιστώνεται συνολική μείωση της δαπάνης για την «αναπηρία» κατά 28</w:t>
      </w:r>
      <w:r w:rsidR="000476D6" w:rsidRPr="000476D6">
        <w:rPr>
          <w:rFonts w:eastAsia="Times New Roman" w:cs="Times New Roman"/>
          <w:sz w:val="24"/>
          <w:szCs w:val="24"/>
          <w:lang w:val="el-GR"/>
        </w:rPr>
        <w:t xml:space="preserve">%, </w:t>
      </w:r>
      <w:r w:rsidR="000476D6">
        <w:rPr>
          <w:rFonts w:eastAsia="Times New Roman" w:cs="Times New Roman"/>
          <w:sz w:val="24"/>
          <w:szCs w:val="24"/>
          <w:lang w:val="el-GR"/>
        </w:rPr>
        <w:t xml:space="preserve">συρρίκνωση η οποία προέρχεται από τις οριζόντιες περικοπές στις συντάξεις και τη μείωση του αριθμού των δικαιούχων </w:t>
      </w:r>
      <w:r w:rsidR="00865618">
        <w:rPr>
          <w:rFonts w:eastAsia="Times New Roman" w:cs="Times New Roman"/>
          <w:sz w:val="24"/>
          <w:szCs w:val="24"/>
          <w:lang w:val="el-GR"/>
        </w:rPr>
        <w:t xml:space="preserve">συντάξεων και </w:t>
      </w:r>
      <w:r w:rsidR="000476D6">
        <w:rPr>
          <w:rFonts w:eastAsia="Times New Roman" w:cs="Times New Roman"/>
          <w:sz w:val="24"/>
          <w:szCs w:val="24"/>
          <w:lang w:val="el-GR"/>
        </w:rPr>
        <w:t>επιδομάτων αναπηρίας.</w:t>
      </w:r>
    </w:p>
    <w:p w14:paraId="65B71BDC" w14:textId="517D688D"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lastRenderedPageBreak/>
        <w:t>Ως προς την αναλυτική τους κατανομή, οι περιορισμένες δαπάνες κοινωνικής προστασίας για την αναπηρία στη Ελλάδα αφορούν σχεδόν αποκλειστικά σε περιοδικές παροχές σε χρήμα, δηλαδή σε συντάξεις αναπηρίας (73% της συνολικής δαπάνης) και αναπηρικά επιδόματα (25% της συνολικής δαπάνης).</w:t>
      </w:r>
      <w:r w:rsidR="008E7B49">
        <w:rPr>
          <w:rFonts w:eastAsia="Times New Roman" w:cs="Times New Roman"/>
          <w:sz w:val="24"/>
          <w:szCs w:val="24"/>
          <w:lang w:val="el-GR"/>
        </w:rPr>
        <w:t xml:space="preserve"> </w:t>
      </w:r>
    </w:p>
    <w:p w14:paraId="3CB4B7C4" w14:textId="2DE78BF5"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Τα ευρήματα επιβεβαιώνουν την αντίληψη ότι στην Ελλάδα οι παροχές σε είδος είναι ιδιαίτερα περιορισμένες, και</w:t>
      </w:r>
      <w:r w:rsidR="008E7B49">
        <w:rPr>
          <w:rFonts w:eastAsia="Times New Roman" w:cs="Times New Roman"/>
          <w:sz w:val="24"/>
          <w:szCs w:val="24"/>
          <w:lang w:val="el-GR"/>
        </w:rPr>
        <w:t xml:space="preserve"> </w:t>
      </w:r>
      <w:r w:rsidRPr="00E17F27">
        <w:rPr>
          <w:rFonts w:eastAsia="Times New Roman" w:cs="Times New Roman"/>
          <w:sz w:val="24"/>
          <w:szCs w:val="24"/>
          <w:lang w:val="el-GR"/>
        </w:rPr>
        <w:t>η πρόνοια του κράτους είναι ανύπαρκτη σε ότι αφορά τομείς όπως, η στέγαση, η βοήθεια σε καθημερινές δραστηριότητες και η αποκατάσταση/επανένταξη, τομείς οι οποίοι το 2017 καταγράφουν σχεδόν μηδενικές δαπάνες. Ενδεικτικό είναι ότι, η Ελλάδα μαζί με την Κύπρο εμφανίζουν τα μικρότερα ποσοστά δαπανών μεταξύ των χωρών της Ε.Ε. για κοινωνικές παροχές σε είδος, ενώ στον αντίποδα βρίσκεται η Δανία και η Σουηδία.</w:t>
      </w:r>
    </w:p>
    <w:p w14:paraId="7BFAA2CE" w14:textId="12BF1107" w:rsidR="00E17F27" w:rsidRPr="00E17F27" w:rsidRDefault="00E17F27" w:rsidP="00660C45">
      <w:pPr>
        <w:numPr>
          <w:ilvl w:val="0"/>
          <w:numId w:val="8"/>
        </w:numPr>
        <w:spacing w:after="120"/>
        <w:ind w:left="714" w:right="142" w:hanging="357"/>
        <w:jc w:val="both"/>
        <w:rPr>
          <w:rFonts w:eastAsia="Times New Roman" w:cs="Times New Roman"/>
          <w:sz w:val="24"/>
          <w:szCs w:val="24"/>
          <w:lang w:val="el-GR"/>
        </w:rPr>
      </w:pPr>
      <w:r w:rsidRPr="00E17F27">
        <w:rPr>
          <w:rFonts w:eastAsia="Times New Roman" w:cs="Times New Roman"/>
          <w:sz w:val="24"/>
          <w:szCs w:val="24"/>
          <w:lang w:val="el-GR"/>
        </w:rPr>
        <w:t xml:space="preserve">Παρότι οι περιοδικές παροχές σε χρήμα αποτελούν σχεδόν το αποκλειστικό μέσο προστασίας των ατόμων με αναπηρία στην Ελλάδα, το διάστημα 2010-2017, το πλήθος των δικαιούχων αναπηρικών </w:t>
      </w:r>
      <w:r w:rsidR="005150B8">
        <w:rPr>
          <w:rFonts w:eastAsia="Times New Roman" w:cs="Times New Roman"/>
          <w:sz w:val="24"/>
          <w:szCs w:val="24"/>
          <w:lang w:val="el-GR"/>
        </w:rPr>
        <w:t xml:space="preserve">συντάξεων </w:t>
      </w:r>
      <w:r w:rsidRPr="00E17F27">
        <w:rPr>
          <w:rFonts w:eastAsia="Times New Roman" w:cs="Times New Roman"/>
          <w:sz w:val="24"/>
          <w:szCs w:val="24"/>
          <w:lang w:val="el-GR"/>
        </w:rPr>
        <w:t xml:space="preserve">καταγράφει </w:t>
      </w:r>
      <w:r w:rsidR="005150B8">
        <w:rPr>
          <w:rFonts w:eastAsia="Times New Roman" w:cs="Times New Roman"/>
          <w:sz w:val="24"/>
          <w:szCs w:val="24"/>
          <w:lang w:val="el-GR"/>
        </w:rPr>
        <w:t xml:space="preserve">και αυτό </w:t>
      </w:r>
      <w:r w:rsidRPr="00E17F27">
        <w:rPr>
          <w:rFonts w:eastAsia="Times New Roman" w:cs="Times New Roman"/>
          <w:sz w:val="24"/>
          <w:szCs w:val="24"/>
          <w:lang w:val="el-GR"/>
        </w:rPr>
        <w:t>συρρίκνωση κατά 15% (21.742 λιγότεροι δικαιούχοι).</w:t>
      </w:r>
    </w:p>
    <w:p w14:paraId="2FBC0708" w14:textId="77777777" w:rsidR="00660C45" w:rsidRDefault="00660C45">
      <w:pPr>
        <w:rPr>
          <w:rFonts w:eastAsia="Times New Roman" w:cs="Times New Roman"/>
          <w:b/>
          <w:sz w:val="32"/>
          <w:szCs w:val="32"/>
          <w:u w:val="single"/>
          <w:lang w:val="el-GR"/>
        </w:rPr>
      </w:pPr>
      <w:r>
        <w:rPr>
          <w:rFonts w:eastAsia="Times New Roman" w:cs="Times New Roman"/>
          <w:b/>
          <w:sz w:val="32"/>
          <w:szCs w:val="32"/>
          <w:u w:val="single"/>
          <w:lang w:val="el-GR"/>
        </w:rPr>
        <w:br w:type="page"/>
      </w:r>
    </w:p>
    <w:p w14:paraId="0D790046" w14:textId="156DC8C6" w:rsidR="00660C45" w:rsidRPr="00E17F27" w:rsidRDefault="00660C45" w:rsidP="00660C45">
      <w:pPr>
        <w:shd w:val="clear" w:color="auto" w:fill="F1F7ED"/>
        <w:spacing w:after="120"/>
        <w:jc w:val="center"/>
        <w:rPr>
          <w:rFonts w:eastAsia="Times New Roman" w:cs="Times New Roman"/>
          <w:b/>
          <w:sz w:val="32"/>
          <w:szCs w:val="32"/>
          <w:u w:val="single"/>
          <w:lang w:val="el-GR"/>
        </w:rPr>
      </w:pPr>
      <w:r w:rsidRPr="00E17F27">
        <w:rPr>
          <w:rFonts w:eastAsia="Times New Roman" w:cs="Times New Roman"/>
          <w:b/>
          <w:sz w:val="32"/>
          <w:szCs w:val="32"/>
          <w:u w:val="single"/>
          <w:lang w:val="el-GR"/>
        </w:rPr>
        <w:lastRenderedPageBreak/>
        <w:t>ΒΑΣΙΚΑ ΣΥΜΠΕΡΑΣΜΑΤΑ</w:t>
      </w:r>
    </w:p>
    <w:p w14:paraId="760C2297" w14:textId="77777777" w:rsidR="00660C45" w:rsidRPr="00660C45" w:rsidRDefault="00660C45" w:rsidP="00660C45">
      <w:pPr>
        <w:shd w:val="clear" w:color="auto" w:fill="F1F7ED"/>
        <w:spacing w:after="120" w:line="240" w:lineRule="auto"/>
        <w:jc w:val="both"/>
        <w:rPr>
          <w:rFonts w:eastAsia="Times New Roman" w:cs="Times New Roman"/>
          <w:sz w:val="21"/>
          <w:szCs w:val="21"/>
          <w:lang w:val="el-GR"/>
        </w:rPr>
      </w:pPr>
      <w:r w:rsidRPr="00660C45">
        <w:rPr>
          <w:rFonts w:eastAsia="Times New Roman" w:cs="Times New Roman"/>
          <w:sz w:val="21"/>
          <w:szCs w:val="21"/>
          <w:lang w:val="el-GR"/>
        </w:rPr>
        <w:t xml:space="preserve">Οι δαπάνες για την κοινωνική προστασία, υπό το πρίσμα των πολιτικών της τελευταίας δεκαετίας, δυστυχώς αντιμετωπίστηκαν ως δημοσιονομικό φορτίο και όχι ως μέρος της λύσης για έξοδο από την κρίση. </w:t>
      </w:r>
      <w:r w:rsidRPr="00660C45">
        <w:rPr>
          <w:rFonts w:eastAsia="Times New Roman" w:cs="Times New Roman"/>
          <w:b/>
          <w:sz w:val="21"/>
          <w:szCs w:val="21"/>
          <w:lang w:val="el-GR"/>
        </w:rPr>
        <w:t>Η συρρίκνωση του κοινωνικού κράτους, με περιστολή του ¼ των δαπανών κοινωνικής προστασίας το διάστημα 2009-2017, βασίστηκε κυρίως σε μυθεύματα</w:t>
      </w:r>
      <w:r w:rsidRPr="00660C45">
        <w:rPr>
          <w:rFonts w:eastAsia="Times New Roman" w:cs="Times New Roman"/>
          <w:sz w:val="21"/>
          <w:szCs w:val="21"/>
          <w:lang w:val="el-GR"/>
        </w:rPr>
        <w:t xml:space="preserve"> που θέλουν την Ελλάδα να δαπανά πολλά σε αυτόν τον τομέα, ενώ η σύγκριση των πραγματικών δεδομένων στις χώρες της Ε.Ε. αποκαλύπτει το ανυπόστατο αυτών των αιτιάσεων. Ας ξεκαθαρίσουμε λοιπόν ότι οι δαπάνες για κοινωνική προστασία στην Ελλάδα, με όποιον δείκτη και αν μετρηθούν, ήταν και είναι χαμηλότερες από τον ευρωπαϊκό μέσο όρο. </w:t>
      </w:r>
    </w:p>
    <w:p w14:paraId="4A97FEA7" w14:textId="77777777" w:rsidR="00660C45" w:rsidRPr="00660C45" w:rsidRDefault="00660C45" w:rsidP="00660C45">
      <w:pPr>
        <w:shd w:val="clear" w:color="auto" w:fill="F1F7ED"/>
        <w:spacing w:after="120" w:line="240" w:lineRule="auto"/>
        <w:jc w:val="both"/>
        <w:rPr>
          <w:rFonts w:eastAsia="Times New Roman" w:cs="Times New Roman"/>
          <w:sz w:val="21"/>
          <w:szCs w:val="21"/>
          <w:lang w:val="el-GR"/>
        </w:rPr>
      </w:pPr>
      <w:r w:rsidRPr="00660C45">
        <w:rPr>
          <w:rFonts w:eastAsia="Times New Roman" w:cs="Times New Roman"/>
          <w:sz w:val="21"/>
          <w:szCs w:val="21"/>
          <w:lang w:val="el-GR"/>
        </w:rPr>
        <w:t xml:space="preserve">Ειδικότερα όμως </w:t>
      </w:r>
      <w:r w:rsidRPr="00660C45">
        <w:rPr>
          <w:rFonts w:eastAsia="Times New Roman" w:cs="Times New Roman"/>
          <w:b/>
          <w:sz w:val="21"/>
          <w:szCs w:val="21"/>
          <w:lang w:val="el-GR"/>
        </w:rPr>
        <w:t>ως προς τις δαπάνες για την αναπηρία, η χώρα μας βρίσκεται μεταξύ των ουραγών της Ευρώπης</w:t>
      </w:r>
      <w:r w:rsidRPr="00660C45">
        <w:rPr>
          <w:rFonts w:eastAsia="Times New Roman" w:cs="Times New Roman"/>
          <w:sz w:val="21"/>
          <w:szCs w:val="21"/>
          <w:lang w:val="el-GR"/>
        </w:rPr>
        <w:t xml:space="preserve">. Κατά το διάστημα 2010-2017, με την περικοπή δαπανών για την προστασία της αναπηρίας να ανέρχεται στο 28%, περάσαμε τελικά από ένα ανεπαρκές, ανορθολογικό και ιατρικοκεντρικό σύστημα κοινωνικής προστασίας σε ένα υπολειμματικό και συρρικνωμένο σύστημα παροχών. </w:t>
      </w:r>
    </w:p>
    <w:p w14:paraId="441139FD" w14:textId="77777777" w:rsidR="00660C45" w:rsidRPr="00660C45" w:rsidRDefault="00660C45" w:rsidP="00660C45">
      <w:pPr>
        <w:shd w:val="clear" w:color="auto" w:fill="F1F7ED"/>
        <w:spacing w:after="120" w:line="240" w:lineRule="auto"/>
        <w:jc w:val="both"/>
        <w:rPr>
          <w:rFonts w:eastAsia="Times New Roman" w:cs="Times New Roman"/>
          <w:sz w:val="21"/>
          <w:szCs w:val="21"/>
          <w:lang w:val="el-GR"/>
        </w:rPr>
      </w:pPr>
      <w:r w:rsidRPr="00660C45">
        <w:rPr>
          <w:rFonts w:eastAsia="Times New Roman" w:cs="Times New Roman"/>
          <w:sz w:val="21"/>
          <w:szCs w:val="21"/>
          <w:lang w:val="el-GR"/>
        </w:rPr>
        <w:t>Η νέα πραγματικότητα, αποκλείει σημαντικό τμήμα του πληθυσμού με αναπηρία από το δικαίωμα στην κοινωνική προστασία, αναπαράγοντας ταυτόχρονά τις παθογένειες του παρελθοντικού μοντέλου. Να σημειωθεί δε ότι το ίδιο διάστημα, ταυτόχρονα με τη δραστική μείωση των δαπανών για κοινωνική προστασία καταγράφεται στη χώρα σοβαρή αύξηση του δείκτη κινδύνου φτώχειας και κοινωνικού αποκλεισμού στα άτομα με σοβαρή αναπηρία κατά 16 ποσοστιαίες μονάδες (από 43,3% σε 59,4%).</w:t>
      </w:r>
    </w:p>
    <w:p w14:paraId="63EA7946" w14:textId="77777777" w:rsidR="00660C45" w:rsidRPr="00660C45" w:rsidRDefault="00660C45" w:rsidP="00660C45">
      <w:pPr>
        <w:shd w:val="clear" w:color="auto" w:fill="F1F7ED"/>
        <w:spacing w:after="120" w:line="240" w:lineRule="auto"/>
        <w:jc w:val="both"/>
        <w:rPr>
          <w:rFonts w:eastAsia="Times New Roman" w:cs="Times New Roman"/>
          <w:sz w:val="21"/>
          <w:szCs w:val="21"/>
          <w:lang w:val="el-GR"/>
        </w:rPr>
      </w:pPr>
      <w:r w:rsidRPr="00660C45">
        <w:rPr>
          <w:rFonts w:eastAsia="Times New Roman" w:cs="Times New Roman"/>
          <w:sz w:val="21"/>
          <w:szCs w:val="21"/>
          <w:lang w:val="el-GR"/>
        </w:rPr>
        <w:t xml:space="preserve">Βασικό εύρημα του δελτίου. στο οποίο αξίζει επίσης να σταθούμε, είναι ότι </w:t>
      </w:r>
      <w:r w:rsidRPr="00660C45">
        <w:rPr>
          <w:rFonts w:eastAsia="Times New Roman" w:cs="Times New Roman"/>
          <w:b/>
          <w:sz w:val="21"/>
          <w:szCs w:val="21"/>
          <w:lang w:val="el-GR"/>
        </w:rPr>
        <w:t>η χώρα μας ούτε δαπανούσε ούτε δαπανά πολλά σε χρηματικές παροχές για την αναπηρία, αλλά αντιθέτως, δαπανά ελάχιστα σε άλλου τύπου παροχές</w:t>
      </w:r>
      <w:r w:rsidRPr="00660C45">
        <w:rPr>
          <w:rFonts w:eastAsia="Times New Roman" w:cs="Times New Roman"/>
          <w:sz w:val="21"/>
          <w:szCs w:val="21"/>
          <w:lang w:val="el-GR"/>
        </w:rPr>
        <w:t xml:space="preserve">, σε δομές υποστήριξης, σε υπηρεσίες προσωπικής βοήθειας, σε κέντρα αποκατάστασης/επαναποκατάστασης, σε προγράμματα στέγασης κ.ά., παροχές σε είδος οι οποίες είναι εξίσου αναγκαίες με τις χρηματικές για την αποτελεσματική ένταξη και προστασία των ατόμων με αναπηρία. Η απουσία παροχών σε υπηρεσίες υποστήριξης, καθίσταται ιδιαίτερα προβληματική στην σημερινή υγειονομική κρίση, που οι πρόσθετοι περιορισμοί που επιβάλλονται (ως προς τις μετακινήσεις, τη συμμετοχή σε κοινωνικές δραστηριότητες κ.α.) στα άτομα με αναπηρία και χρόνιες παθήσεις δημιουργούν αυξημένες ανάγκες υποστήριξης. </w:t>
      </w:r>
    </w:p>
    <w:p w14:paraId="353B4E84" w14:textId="77777777" w:rsidR="00660C45" w:rsidRPr="00660C45" w:rsidRDefault="00660C45" w:rsidP="00660C45">
      <w:pPr>
        <w:shd w:val="clear" w:color="auto" w:fill="F1F7ED"/>
        <w:spacing w:after="120" w:line="240" w:lineRule="auto"/>
        <w:jc w:val="both"/>
        <w:rPr>
          <w:rFonts w:eastAsia="Times New Roman" w:cs="Times New Roman"/>
          <w:b/>
          <w:sz w:val="21"/>
          <w:szCs w:val="21"/>
          <w:lang w:val="el-GR"/>
        </w:rPr>
      </w:pPr>
      <w:r w:rsidRPr="00660C45">
        <w:rPr>
          <w:rFonts w:eastAsia="Times New Roman" w:cs="Times New Roman"/>
          <w:sz w:val="21"/>
          <w:szCs w:val="21"/>
          <w:lang w:val="el-GR"/>
        </w:rPr>
        <w:t xml:space="preserve">Δεδομένης της προβλεπόμενης οικονομικής ύφεσης και της επικείμενης αύξησης της ανεργίας, με τη χώρα να αντιμετωπίζει τις πιέσεις της υγειονομικής κρίσης, με δεδομένη τη δημογραφική γήρανση που εκ των πραγμάτων οδηγεί σε αύξηση των χρονιών παθήσεων και των σωματικών περιορισμών, είναι σαφές ότι, </w:t>
      </w:r>
      <w:r w:rsidRPr="00660C45">
        <w:rPr>
          <w:rFonts w:eastAsia="Times New Roman" w:cs="Times New Roman"/>
          <w:b/>
          <w:sz w:val="21"/>
          <w:szCs w:val="21"/>
          <w:lang w:val="el-GR"/>
        </w:rPr>
        <w:t xml:space="preserve">οι προκλήσεις και οι ανάγκες για κοινωνική προστασία είναι αυξημένες, και απαιτείται γενναία χρηματοδότηση για την ανάκαμψη της κοινωνίας. </w:t>
      </w:r>
    </w:p>
    <w:p w14:paraId="6258E49F" w14:textId="3F4000DC" w:rsidR="00660C45" w:rsidRPr="00660C45" w:rsidRDefault="00660C45" w:rsidP="00660C45">
      <w:pPr>
        <w:shd w:val="clear" w:color="auto" w:fill="F1F7ED"/>
        <w:spacing w:after="120" w:line="240" w:lineRule="auto"/>
        <w:jc w:val="both"/>
        <w:rPr>
          <w:rFonts w:eastAsia="Times New Roman" w:cs="Times New Roman"/>
          <w:sz w:val="21"/>
          <w:szCs w:val="21"/>
          <w:lang w:val="el-GR"/>
        </w:rPr>
      </w:pPr>
      <w:r w:rsidRPr="00660C45">
        <w:rPr>
          <w:rFonts w:eastAsia="Times New Roman" w:cs="Times New Roman"/>
          <w:sz w:val="21"/>
          <w:szCs w:val="21"/>
          <w:lang w:val="el-GR"/>
        </w:rPr>
        <w:t xml:space="preserve">Είναι επιτακτική </w:t>
      </w:r>
      <w:r w:rsidRPr="00660C45">
        <w:rPr>
          <w:rFonts w:eastAsia="Times New Roman" w:cs="Times New Roman"/>
          <w:b/>
          <w:sz w:val="21"/>
          <w:szCs w:val="21"/>
          <w:lang w:val="el-GR"/>
        </w:rPr>
        <w:t>η αναγκαιότητα μιας ολοκληρωμένης κοινωνικής πολιτικής για την αναπηρία, στη βάση της δικαιωματικής προσέγγισης, μιας πολιτικής η οποία: όχι μόνο δεν θα περικόπτει αλλά θα διευρύνει τις υφιστάμενες παροχές</w:t>
      </w:r>
      <w:r w:rsidRPr="00660C45">
        <w:rPr>
          <w:rFonts w:eastAsia="Times New Roman" w:cs="Times New Roman"/>
          <w:sz w:val="21"/>
          <w:szCs w:val="21"/>
          <w:lang w:val="el-GR"/>
        </w:rPr>
        <w:t>, αναπτύσσοντας περαιτέρω μέτρα για τη διασφάλιση επαρκούς βιοτικού επιπέδου για τα άτομα με αναπηρία, όπως άλλωστε συστήνει και η επιτροπή των Ηνωμένων Εθνών για τα Δικαιώματα των Ατόμων με Αναπηρία στις τελικές παρατηρήσεις και συστάσεις προς τη χώρα. Βασικός πυλώνας της ζητούμενης πολιτικής πρέπει να είναι η θεσμοθέτηση παροχών σε είδος, με τη δημιουργία δομών και υπηρεσιών που να διαθέτουν ευελιξία και να ανταποκρίνονται στις ατομικές ανάγκες. Στη βάση αυτής της αναγκαιότητας, η Ε.Σ.Α.μεΑ. αντιλαμβάνεται την εκπόνηση του Εθνικού Σχεδίου Δράσης για την Αναπηρία ως μια πρώτης τάξεως ευκαιρία ώστε να αναπτυχθεί και να εφαρμοστεί στη χώρα μια ολοκληρωμένη πολιτική κοινωνικής προστασίας προκειμένου να μπορεί ο κάθε πολίτης με αναπηρία να διάγει τον βίο του με αξιοπρέπεια και αυτονομία.</w:t>
      </w:r>
    </w:p>
    <w:p w14:paraId="7DE9E175" w14:textId="77777777" w:rsidR="00660C45" w:rsidRDefault="00660C45">
      <w:pPr>
        <w:rPr>
          <w:rFonts w:eastAsia="Times New Roman" w:cs="Times New Roman"/>
          <w:b/>
          <w:sz w:val="32"/>
          <w:szCs w:val="32"/>
          <w:u w:val="single"/>
          <w:lang w:val="el-GR"/>
        </w:rPr>
      </w:pPr>
      <w:r>
        <w:rPr>
          <w:rFonts w:eastAsia="Times New Roman" w:cs="Times New Roman"/>
          <w:b/>
          <w:sz w:val="32"/>
          <w:szCs w:val="32"/>
          <w:u w:val="single"/>
          <w:lang w:val="el-GR"/>
        </w:rPr>
        <w:br w:type="page"/>
      </w:r>
    </w:p>
    <w:p w14:paraId="5ED46671" w14:textId="16F12BBD" w:rsidR="00E17F27" w:rsidRDefault="00E17F27" w:rsidP="00E17F27">
      <w:pPr>
        <w:rPr>
          <w:lang w:val="el-GR"/>
        </w:rPr>
      </w:pPr>
    </w:p>
    <w:p w14:paraId="4BC48EAF" w14:textId="3844C565" w:rsidR="005C287C" w:rsidRDefault="005C287C" w:rsidP="00660C45">
      <w:pPr>
        <w:pStyle w:val="10"/>
        <w:numPr>
          <w:ilvl w:val="0"/>
          <w:numId w:val="0"/>
        </w:numPr>
        <w:spacing w:before="0" w:after="360"/>
        <w:ind w:left="431" w:hanging="431"/>
        <w:jc w:val="center"/>
        <w:rPr>
          <w:rFonts w:asciiTheme="minorHAnsi" w:hAnsiTheme="minorHAnsi" w:cstheme="minorHAnsi"/>
          <w:b/>
          <w:color w:val="auto"/>
          <w:u w:val="single"/>
          <w:lang w:val="el-GR"/>
        </w:rPr>
      </w:pPr>
      <w:bookmarkStart w:id="3" w:name="_Toc53409340"/>
      <w:r w:rsidRPr="00CB77DA">
        <w:rPr>
          <w:rFonts w:asciiTheme="minorHAnsi" w:hAnsiTheme="minorHAnsi" w:cstheme="minorHAnsi"/>
          <w:b/>
          <w:color w:val="auto"/>
          <w:u w:val="single"/>
          <w:lang w:val="el-GR"/>
        </w:rPr>
        <w:t>ΑΝΑΛΥΣΗ ΕΥΡΥΜΑΤΩΝ</w:t>
      </w:r>
      <w:bookmarkEnd w:id="3"/>
    </w:p>
    <w:p w14:paraId="4BDFC0F8" w14:textId="4417A71A" w:rsidR="00B969E3" w:rsidRPr="00660C45" w:rsidRDefault="00B86636" w:rsidP="00660C45">
      <w:pPr>
        <w:pStyle w:val="2"/>
        <w:numPr>
          <w:ilvl w:val="1"/>
          <w:numId w:val="12"/>
        </w:numPr>
        <w:spacing w:before="0" w:after="200"/>
        <w:ind w:left="578" w:hanging="578"/>
        <w:rPr>
          <w:rFonts w:cstheme="majorHAnsi"/>
          <w:b/>
          <w:color w:val="auto"/>
          <w:sz w:val="32"/>
          <w:szCs w:val="32"/>
          <w:lang w:val="el-GR"/>
        </w:rPr>
      </w:pPr>
      <w:bookmarkStart w:id="4" w:name="_Toc53409341"/>
      <w:r w:rsidRPr="00660C45">
        <w:rPr>
          <w:rFonts w:cstheme="majorHAnsi"/>
          <w:b/>
          <w:color w:val="auto"/>
          <w:sz w:val="32"/>
          <w:szCs w:val="32"/>
          <w:lang w:val="el-GR"/>
        </w:rPr>
        <w:t>Δαπάνες για παροχές κοινωνικής προστασίας</w:t>
      </w:r>
      <w:bookmarkEnd w:id="4"/>
    </w:p>
    <w:p w14:paraId="2C220A65" w14:textId="2C0FE9F5" w:rsidR="00B86636" w:rsidRPr="00B86636" w:rsidRDefault="00B86636" w:rsidP="00660C45">
      <w:pPr>
        <w:pStyle w:val="a9"/>
        <w:ind w:left="0"/>
        <w:jc w:val="both"/>
        <w:rPr>
          <w:rStyle w:val="tlid-translation"/>
          <w:sz w:val="24"/>
          <w:szCs w:val="24"/>
          <w:lang w:val="el-GR"/>
        </w:rPr>
      </w:pPr>
      <w:r w:rsidRPr="00B86636">
        <w:rPr>
          <w:rStyle w:val="tlid-translation"/>
          <w:sz w:val="24"/>
          <w:szCs w:val="24"/>
          <w:lang w:val="el-GR"/>
        </w:rPr>
        <w:t xml:space="preserve">Οι συνολικές δαπάνες για την κοινωνική προστασία στην Ελλάδα ανήλθαν το 2017 σε 44.857 εκατομμύρια ευρώ. Στο γράφημα (1) παρουσιάζεται η διαχρονική εξέλιξη των δαπανών κατά τα έτη 2007-2017. Οι δαπάνες για παροχές κοινωνικής προστασίας καταγράφουν τη μέγιστη τιμή τους το 2009, ακολουθώντας έκτοτε συνεχή καθοδική πορεία και διαγράφοντας δραματική μείωση μεταξύ των ετών 2010 και 2013. </w:t>
      </w:r>
    </w:p>
    <w:p w14:paraId="75BDEC19" w14:textId="77777777" w:rsidR="00B86636" w:rsidRDefault="00B86636" w:rsidP="00660C45">
      <w:pPr>
        <w:pStyle w:val="a9"/>
        <w:ind w:left="0"/>
        <w:jc w:val="both"/>
        <w:rPr>
          <w:rStyle w:val="tlid-translation"/>
          <w:sz w:val="24"/>
          <w:szCs w:val="24"/>
          <w:lang w:val="el-GR"/>
        </w:rPr>
      </w:pPr>
    </w:p>
    <w:p w14:paraId="30F595B1" w14:textId="25E7012A" w:rsidR="00B86636" w:rsidRPr="00B86636" w:rsidRDefault="00B86636" w:rsidP="00660C45">
      <w:pPr>
        <w:pStyle w:val="a9"/>
        <w:ind w:left="0"/>
        <w:jc w:val="both"/>
        <w:rPr>
          <w:rStyle w:val="tlid-translation"/>
          <w:sz w:val="24"/>
          <w:szCs w:val="24"/>
          <w:lang w:val="el-GR"/>
        </w:rPr>
      </w:pPr>
      <w:r w:rsidRPr="00B86636">
        <w:rPr>
          <w:rStyle w:val="tlid-translation"/>
          <w:sz w:val="24"/>
          <w:szCs w:val="24"/>
          <w:lang w:val="el-GR"/>
        </w:rPr>
        <w:t xml:space="preserve">Από το </w:t>
      </w:r>
      <w:r w:rsidRPr="00D73525">
        <w:rPr>
          <w:rStyle w:val="tlid-translation"/>
          <w:sz w:val="24"/>
          <w:szCs w:val="24"/>
          <w:lang w:val="el-GR"/>
        </w:rPr>
        <w:t>20</w:t>
      </w:r>
      <w:r w:rsidR="00D73525" w:rsidRPr="00D73525">
        <w:rPr>
          <w:rStyle w:val="tlid-translation"/>
          <w:sz w:val="24"/>
          <w:szCs w:val="24"/>
          <w:lang w:val="el-GR"/>
        </w:rPr>
        <w:t>09</w:t>
      </w:r>
      <w:r w:rsidRPr="00D73525">
        <w:rPr>
          <w:rStyle w:val="tlid-translation"/>
          <w:sz w:val="24"/>
          <w:szCs w:val="24"/>
          <w:lang w:val="el-GR"/>
        </w:rPr>
        <w:t xml:space="preserve"> έως το 2017 </w:t>
      </w:r>
      <w:r w:rsidRPr="00B86636">
        <w:rPr>
          <w:rStyle w:val="tlid-translation"/>
          <w:sz w:val="24"/>
          <w:szCs w:val="24"/>
          <w:lang w:val="el-GR"/>
        </w:rPr>
        <w:t>η συνολική μείωση των κοινωνικών παροχών ανέρχεται σε 12.833 εκατομμύρια ευρώ που αναλογεί σε ποσοστιαία μείωση της τάξεως του 22%.</w:t>
      </w:r>
    </w:p>
    <w:p w14:paraId="1CF86AAA" w14:textId="5E3B550F" w:rsidR="00B86636" w:rsidRPr="00AA5AEA" w:rsidRDefault="00B86636" w:rsidP="00E76577">
      <w:pPr>
        <w:pStyle w:val="aa"/>
        <w:widowControl w:val="0"/>
        <w:spacing w:before="240"/>
        <w:ind w:left="284" w:right="851"/>
        <w:rPr>
          <w:rFonts w:asciiTheme="majorHAnsi" w:hAnsiTheme="majorHAnsi"/>
          <w:bCs/>
          <w:i w:val="0"/>
          <w:sz w:val="24"/>
          <w:szCs w:val="24"/>
          <w:lang w:val="el-GR"/>
        </w:rPr>
      </w:pPr>
      <w:r w:rsidRPr="00AA5AEA">
        <w:rPr>
          <w:rFonts w:asciiTheme="majorHAnsi" w:hAnsiTheme="majorHAnsi"/>
          <w:b/>
          <w:i w:val="0"/>
          <w:sz w:val="24"/>
          <w:szCs w:val="24"/>
          <w:lang w:val="el-GR"/>
        </w:rPr>
        <w:t xml:space="preserve">Γράφημα </w:t>
      </w:r>
      <w:r w:rsidRPr="00AA5AEA">
        <w:rPr>
          <w:rFonts w:asciiTheme="majorHAnsi" w:hAnsiTheme="majorHAnsi"/>
          <w:b/>
          <w:i w:val="0"/>
          <w:sz w:val="24"/>
          <w:szCs w:val="24"/>
        </w:rPr>
        <w:fldChar w:fldCharType="begin"/>
      </w:r>
      <w:r w:rsidRPr="00AA5AEA">
        <w:rPr>
          <w:rFonts w:asciiTheme="majorHAnsi" w:hAnsiTheme="majorHAnsi"/>
          <w:b/>
          <w:i w:val="0"/>
          <w:sz w:val="24"/>
          <w:szCs w:val="24"/>
          <w:lang w:val="el-GR"/>
        </w:rPr>
        <w:instrText xml:space="preserve"> </w:instrText>
      </w:r>
      <w:r w:rsidRPr="00AA5AEA">
        <w:rPr>
          <w:rFonts w:asciiTheme="majorHAnsi" w:hAnsiTheme="majorHAnsi"/>
          <w:b/>
          <w:i w:val="0"/>
          <w:sz w:val="24"/>
          <w:szCs w:val="24"/>
        </w:rPr>
        <w:instrText>SEQ</w:instrText>
      </w:r>
      <w:r w:rsidRPr="00AA5AEA">
        <w:rPr>
          <w:rFonts w:asciiTheme="majorHAnsi" w:hAnsiTheme="majorHAnsi"/>
          <w:b/>
          <w:i w:val="0"/>
          <w:sz w:val="24"/>
          <w:szCs w:val="24"/>
          <w:lang w:val="el-GR"/>
        </w:rPr>
        <w:instrText xml:space="preserve"> Γράφημα \* </w:instrText>
      </w:r>
      <w:r w:rsidRPr="00AA5AEA">
        <w:rPr>
          <w:rFonts w:asciiTheme="majorHAnsi" w:hAnsiTheme="majorHAnsi"/>
          <w:b/>
          <w:i w:val="0"/>
          <w:sz w:val="24"/>
          <w:szCs w:val="24"/>
        </w:rPr>
        <w:instrText>ARABIC</w:instrText>
      </w:r>
      <w:r w:rsidRPr="00AA5AEA">
        <w:rPr>
          <w:rFonts w:asciiTheme="majorHAnsi" w:hAnsiTheme="majorHAnsi"/>
          <w:b/>
          <w:i w:val="0"/>
          <w:sz w:val="24"/>
          <w:szCs w:val="24"/>
          <w:lang w:val="el-GR"/>
        </w:rPr>
        <w:instrText xml:space="preserve"> </w:instrText>
      </w:r>
      <w:r w:rsidRPr="00AA5AEA">
        <w:rPr>
          <w:rFonts w:asciiTheme="majorHAnsi" w:hAnsiTheme="majorHAnsi"/>
          <w:b/>
          <w:i w:val="0"/>
          <w:sz w:val="24"/>
          <w:szCs w:val="24"/>
        </w:rPr>
        <w:fldChar w:fldCharType="separate"/>
      </w:r>
      <w:r w:rsidR="00DE0303" w:rsidRPr="00AA5AEA">
        <w:rPr>
          <w:rFonts w:asciiTheme="majorHAnsi" w:hAnsiTheme="majorHAnsi"/>
          <w:b/>
          <w:i w:val="0"/>
          <w:noProof/>
          <w:sz w:val="24"/>
          <w:szCs w:val="24"/>
          <w:lang w:val="el-GR"/>
        </w:rPr>
        <w:t>1</w:t>
      </w:r>
      <w:r w:rsidRPr="00AA5AEA">
        <w:rPr>
          <w:rFonts w:asciiTheme="majorHAnsi" w:hAnsiTheme="majorHAnsi"/>
          <w:b/>
          <w:i w:val="0"/>
          <w:sz w:val="24"/>
          <w:szCs w:val="24"/>
        </w:rPr>
        <w:fldChar w:fldCharType="end"/>
      </w:r>
      <w:r w:rsidRPr="00AA5AEA">
        <w:rPr>
          <w:rFonts w:asciiTheme="majorHAnsi" w:hAnsiTheme="majorHAnsi"/>
          <w:b/>
          <w:i w:val="0"/>
          <w:sz w:val="24"/>
          <w:szCs w:val="24"/>
          <w:lang w:val="el-GR"/>
        </w:rPr>
        <w:t xml:space="preserve">: ΣΥΝΟΛΟ ΔΑΠΑΝΩΝ ΓΙΑ ΠΑΡΟΧΕΣ ΚΟΙΝΩΝΙΚΗΣ ΠΡΟΣΤΑΣΙΑΣ-ΕΛΛΑΔΑ </w:t>
      </w:r>
      <w:r w:rsidR="00E76577" w:rsidRPr="00AA5AEA">
        <w:rPr>
          <w:rFonts w:asciiTheme="majorHAnsi" w:hAnsiTheme="majorHAnsi"/>
          <w:b/>
          <w:i w:val="0"/>
          <w:sz w:val="24"/>
          <w:szCs w:val="24"/>
          <w:lang w:val="el-GR"/>
        </w:rPr>
        <w:br/>
      </w:r>
      <w:r w:rsidRPr="00AA5AEA">
        <w:rPr>
          <w:rFonts w:asciiTheme="majorHAnsi" w:eastAsia="Times New Roman" w:hAnsiTheme="majorHAnsi" w:cs="Arial"/>
          <w:bCs/>
          <w:sz w:val="24"/>
          <w:szCs w:val="24"/>
          <w:lang w:val="el-GR" w:eastAsia="el-GR"/>
        </w:rPr>
        <w:t>(σε εκατομμύρια €)</w:t>
      </w:r>
    </w:p>
    <w:p w14:paraId="0D042A6B" w14:textId="01280C04" w:rsidR="00903F32" w:rsidRDefault="00E76577" w:rsidP="00903F32">
      <w:pPr>
        <w:pStyle w:val="Default"/>
        <w:keepNext/>
        <w:ind w:left="284" w:right="142"/>
        <w:jc w:val="both"/>
      </w:pPr>
      <w:r>
        <w:rPr>
          <w:noProof/>
        </w:rPr>
        <w:drawing>
          <wp:inline distT="0" distB="0" distL="0" distR="0" wp14:anchorId="7861B8CF" wp14:editId="221C2DB5">
            <wp:extent cx="5324475" cy="2219325"/>
            <wp:effectExtent l="0" t="0" r="0" b="0"/>
            <wp:docPr id="88" name="Γράφημα 88" descr="48291 το 2007.&#10;53995 το 2008.&#10;57690 το 2009.&#10;57361 το 2010.&#10;55374 το 2011.&#10;52632 το 2012.&#10;46560 το 2013.&#10;45629 το 2014.&#10;45593 το 2015.&#10;45539 το 2016.&#10;44857 το 201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20C21F" w14:textId="5E3EAAA5" w:rsidR="00B86636" w:rsidRPr="00903F32" w:rsidRDefault="00903F32" w:rsidP="004F338E">
      <w:pPr>
        <w:pStyle w:val="aa"/>
        <w:spacing w:before="120" w:after="360"/>
        <w:ind w:left="142" w:right="284"/>
        <w:jc w:val="right"/>
        <w:rPr>
          <w:sz w:val="22"/>
          <w:szCs w:val="22"/>
          <w:lang w:val="el-GR"/>
        </w:rPr>
      </w:pPr>
      <w:r w:rsidRPr="00903F32">
        <w:rPr>
          <w:lang w:val="el-GR"/>
        </w:rPr>
        <w:t xml:space="preserve">ΠΗΓΗ: </w:t>
      </w:r>
      <w:r>
        <w:rPr>
          <w:lang w:val="el-GR"/>
        </w:rPr>
        <w:t xml:space="preserve">Ελληνική Στατιστική Αρχή, </w:t>
      </w:r>
      <w:r w:rsidRPr="00903F32">
        <w:rPr>
          <w:lang w:val="el-GR"/>
        </w:rPr>
        <w:t>Ευρωπαϊκό Σύστημα Ολοκληρωμένων Στατιστικών Κοινωνικής Προστασίας (ESSPROS)</w:t>
      </w:r>
      <w:r w:rsidR="00DF070A">
        <w:rPr>
          <w:lang w:val="el-GR"/>
        </w:rPr>
        <w:br/>
        <w:t>ΕΠΕΞΕΡΓΑΣΙΑ</w:t>
      </w:r>
      <w:r w:rsidR="00D6371C">
        <w:rPr>
          <w:lang w:val="el-GR"/>
        </w:rPr>
        <w:t>: Παρατηρητήριο Θεμάτων Αναπηρίας-Ε.Σ.Α.μεΑ.</w:t>
      </w:r>
    </w:p>
    <w:p w14:paraId="50F1AB6E" w14:textId="6CDCB4E9" w:rsidR="00B86636" w:rsidRPr="00B86636" w:rsidRDefault="00B86636" w:rsidP="00B86636">
      <w:pPr>
        <w:ind w:right="142"/>
        <w:jc w:val="both"/>
        <w:rPr>
          <w:sz w:val="24"/>
          <w:szCs w:val="24"/>
          <w:lang w:val="el-GR"/>
        </w:rPr>
      </w:pPr>
      <w:r w:rsidRPr="00B86636">
        <w:rPr>
          <w:sz w:val="24"/>
          <w:szCs w:val="24"/>
          <w:lang w:val="el-GR"/>
        </w:rPr>
        <w:t>Η σύγκριση των δαπανών για κοινωνική προστασία στην Ελλάδα με τα επίπεδα των παροχών στις υπόλοιπες χώρες της Ευρώπης καθίσταται δυνατή με τη χρήση του δείκτη «</w:t>
      </w:r>
      <w:r w:rsidRPr="00B86636">
        <w:rPr>
          <w:i/>
          <w:sz w:val="24"/>
          <w:szCs w:val="24"/>
          <w:lang w:val="el-GR"/>
        </w:rPr>
        <w:t>Κατά κεφαλή δαπάνη για παροχές κοινωνικής προστασίας σε μονάδες αγοραστικής δύναμης</w:t>
      </w:r>
      <w:r w:rsidRPr="00F333EC">
        <w:rPr>
          <w:rStyle w:val="a8"/>
          <w:i/>
          <w:sz w:val="26"/>
          <w:szCs w:val="26"/>
        </w:rPr>
        <w:footnoteReference w:id="11"/>
      </w:r>
      <w:r w:rsidRPr="00B86636">
        <w:rPr>
          <w:sz w:val="26"/>
          <w:szCs w:val="26"/>
          <w:lang w:val="el-GR"/>
        </w:rPr>
        <w:t>».</w:t>
      </w:r>
    </w:p>
    <w:p w14:paraId="46D55EA6" w14:textId="2525581B" w:rsidR="00B86636" w:rsidRDefault="00B86636" w:rsidP="00B86636">
      <w:pPr>
        <w:ind w:right="142"/>
        <w:jc w:val="both"/>
        <w:rPr>
          <w:sz w:val="24"/>
          <w:szCs w:val="24"/>
          <w:lang w:val="el-GR"/>
        </w:rPr>
      </w:pPr>
      <w:r w:rsidRPr="00B86636">
        <w:rPr>
          <w:sz w:val="24"/>
          <w:szCs w:val="24"/>
          <w:lang w:val="el-GR"/>
        </w:rPr>
        <w:lastRenderedPageBreak/>
        <w:t>Εξαλείφοντας λοιπόν την επίδραση των διαφορετικών επιπέδων τω</w:t>
      </w:r>
      <w:r w:rsidR="001178DE">
        <w:rPr>
          <w:sz w:val="24"/>
          <w:szCs w:val="24"/>
          <w:lang w:val="el-GR"/>
        </w:rPr>
        <w:t>ν τιμών στις διαφορετικές χώρες</w:t>
      </w:r>
      <w:r w:rsidRPr="00B86636">
        <w:rPr>
          <w:sz w:val="24"/>
          <w:szCs w:val="24"/>
          <w:lang w:val="el-GR"/>
        </w:rPr>
        <w:t xml:space="preserve"> υπολογίζεται η κατά κεφαλή εθνική δαπάνη για παροχές κοινωνικής προστασίας, η οποία για την Ελλάδα είναι 5.088, όντας κατά 40% χαμηλότερη από τον μέσο όρο της Ε.Ε.-28. Όπως διαπιστώνει κανείς στο γράφημα 2, οι δαπάνες για κοινωνική προστασία στην Ελλάδα κυμαίνονται σε χαμηλότερα επίπεδα και από τις υπόλοιπες χώρες του ευρωπαϊκού νότου.</w:t>
      </w:r>
    </w:p>
    <w:p w14:paraId="30FB6B4C" w14:textId="30610D6E" w:rsidR="000235A7" w:rsidRPr="00AA5AEA" w:rsidRDefault="000235A7" w:rsidP="00F811C2">
      <w:pPr>
        <w:pStyle w:val="aa"/>
        <w:widowControl w:val="0"/>
        <w:spacing w:before="240" w:after="0"/>
        <w:rPr>
          <w:rFonts w:asciiTheme="majorHAnsi" w:eastAsia="Times New Roman" w:hAnsiTheme="majorHAnsi" w:cstheme="majorHAnsi"/>
          <w:b/>
          <w:i w:val="0"/>
          <w:sz w:val="24"/>
          <w:szCs w:val="24"/>
          <w:lang w:val="el-GR" w:eastAsia="el-GR"/>
        </w:rPr>
      </w:pPr>
      <w:r w:rsidRPr="00AA5AEA">
        <w:rPr>
          <w:rFonts w:asciiTheme="majorHAnsi" w:hAnsiTheme="majorHAnsi" w:cstheme="majorHAnsi"/>
          <w:b/>
          <w:bCs/>
          <w:i w:val="0"/>
          <w:sz w:val="24"/>
          <w:szCs w:val="24"/>
          <w:lang w:val="el-GR"/>
        </w:rPr>
        <w:t xml:space="preserve">Γράφημα </w:t>
      </w:r>
      <w:r w:rsidRPr="00AA5AEA">
        <w:rPr>
          <w:rFonts w:asciiTheme="majorHAnsi" w:hAnsiTheme="majorHAnsi" w:cstheme="majorHAnsi"/>
          <w:b/>
          <w:bCs/>
          <w:i w:val="0"/>
          <w:sz w:val="24"/>
          <w:szCs w:val="24"/>
        </w:rPr>
        <w:fldChar w:fldCharType="begin"/>
      </w:r>
      <w:r w:rsidRPr="00AA5AEA">
        <w:rPr>
          <w:rFonts w:asciiTheme="majorHAnsi" w:hAnsiTheme="majorHAnsi" w:cstheme="majorHAnsi"/>
          <w:b/>
          <w:bCs/>
          <w:i w:val="0"/>
          <w:sz w:val="24"/>
          <w:szCs w:val="24"/>
          <w:lang w:val="el-GR"/>
        </w:rPr>
        <w:instrText xml:space="preserve"> </w:instrText>
      </w:r>
      <w:r w:rsidRPr="00AA5AEA">
        <w:rPr>
          <w:rFonts w:asciiTheme="majorHAnsi" w:hAnsiTheme="majorHAnsi" w:cstheme="majorHAnsi"/>
          <w:b/>
          <w:bCs/>
          <w:i w:val="0"/>
          <w:sz w:val="24"/>
          <w:szCs w:val="24"/>
        </w:rPr>
        <w:instrText>SEQ</w:instrText>
      </w:r>
      <w:r w:rsidRPr="00AA5AEA">
        <w:rPr>
          <w:rFonts w:asciiTheme="majorHAnsi" w:hAnsiTheme="majorHAnsi" w:cstheme="majorHAnsi"/>
          <w:b/>
          <w:bCs/>
          <w:i w:val="0"/>
          <w:sz w:val="24"/>
          <w:szCs w:val="24"/>
          <w:lang w:val="el-GR"/>
        </w:rPr>
        <w:instrText xml:space="preserve"> Γράφημα \* </w:instrText>
      </w:r>
      <w:r w:rsidRPr="00AA5AEA">
        <w:rPr>
          <w:rFonts w:asciiTheme="majorHAnsi" w:hAnsiTheme="majorHAnsi" w:cstheme="majorHAnsi"/>
          <w:b/>
          <w:bCs/>
          <w:i w:val="0"/>
          <w:sz w:val="24"/>
          <w:szCs w:val="24"/>
        </w:rPr>
        <w:instrText>ARABIC</w:instrText>
      </w:r>
      <w:r w:rsidRPr="00AA5AEA">
        <w:rPr>
          <w:rFonts w:asciiTheme="majorHAnsi" w:hAnsiTheme="majorHAnsi" w:cstheme="majorHAnsi"/>
          <w:b/>
          <w:bCs/>
          <w:i w:val="0"/>
          <w:sz w:val="24"/>
          <w:szCs w:val="24"/>
          <w:lang w:val="el-GR"/>
        </w:rPr>
        <w:instrText xml:space="preserve"> </w:instrText>
      </w:r>
      <w:r w:rsidRPr="00AA5AEA">
        <w:rPr>
          <w:rFonts w:asciiTheme="majorHAnsi" w:hAnsiTheme="majorHAnsi" w:cstheme="majorHAnsi"/>
          <w:b/>
          <w:bCs/>
          <w:i w:val="0"/>
          <w:sz w:val="24"/>
          <w:szCs w:val="24"/>
        </w:rPr>
        <w:fldChar w:fldCharType="separate"/>
      </w:r>
      <w:r w:rsidR="00DE0303" w:rsidRPr="00AA5AEA">
        <w:rPr>
          <w:rFonts w:asciiTheme="majorHAnsi" w:hAnsiTheme="majorHAnsi" w:cstheme="majorHAnsi"/>
          <w:b/>
          <w:bCs/>
          <w:i w:val="0"/>
          <w:noProof/>
          <w:sz w:val="24"/>
          <w:szCs w:val="24"/>
          <w:lang w:val="el-GR"/>
        </w:rPr>
        <w:t>2</w:t>
      </w:r>
      <w:r w:rsidRPr="00AA5AEA">
        <w:rPr>
          <w:rFonts w:asciiTheme="majorHAnsi" w:hAnsiTheme="majorHAnsi" w:cstheme="majorHAnsi"/>
          <w:b/>
          <w:bCs/>
          <w:i w:val="0"/>
          <w:sz w:val="24"/>
          <w:szCs w:val="24"/>
        </w:rPr>
        <w:fldChar w:fldCharType="end"/>
      </w:r>
      <w:r w:rsidRPr="00AA5AEA">
        <w:rPr>
          <w:rFonts w:asciiTheme="majorHAnsi" w:hAnsiTheme="majorHAnsi" w:cstheme="majorHAnsi"/>
          <w:b/>
          <w:bCs/>
          <w:i w:val="0"/>
          <w:sz w:val="24"/>
          <w:szCs w:val="24"/>
          <w:lang w:val="el-GR"/>
        </w:rPr>
        <w:t>:</w:t>
      </w:r>
      <w:r w:rsidRPr="00AA5AEA">
        <w:rPr>
          <w:rFonts w:asciiTheme="majorHAnsi" w:hAnsiTheme="majorHAnsi" w:cstheme="majorHAnsi"/>
          <w:i w:val="0"/>
          <w:sz w:val="24"/>
          <w:szCs w:val="24"/>
          <w:lang w:val="el-GR"/>
        </w:rPr>
        <w:t xml:space="preserve"> </w:t>
      </w:r>
      <w:r w:rsidRPr="00AA5AEA">
        <w:rPr>
          <w:rFonts w:asciiTheme="majorHAnsi" w:eastAsia="Times New Roman" w:hAnsiTheme="majorHAnsi" w:cstheme="majorHAnsi"/>
          <w:b/>
          <w:i w:val="0"/>
          <w:sz w:val="24"/>
          <w:szCs w:val="24"/>
          <w:lang w:val="el-GR" w:eastAsia="el-GR"/>
        </w:rPr>
        <w:t>ΚΑΤΑ ΚΕΦΑΛΗΝ ΔΑΠΑΝΗ ΓΙΑ ΠΑΡΟΧΕΣ ΚΟΙΝΩΝΙΚΗΣ ΠΡΟΣΤΑΣΙΑΣ (ΣΥΝΟΛΟ) ΣΕ ΜΟΝΑΔΕΣ ΑΓΟΡΑΣΤΙΚΗΣ ΔΥΝΑΜΗΣ</w:t>
      </w:r>
      <w:r w:rsidRPr="00AA5AEA">
        <w:rPr>
          <w:rFonts w:asciiTheme="majorHAnsi" w:hAnsiTheme="majorHAnsi" w:cstheme="majorHAnsi"/>
          <w:i w:val="0"/>
          <w:sz w:val="24"/>
          <w:szCs w:val="24"/>
          <w:lang w:val="el-GR"/>
        </w:rPr>
        <w:t xml:space="preserve"> </w:t>
      </w:r>
      <w:r w:rsidRPr="00AA5AEA">
        <w:rPr>
          <w:rFonts w:asciiTheme="majorHAnsi" w:eastAsia="Times New Roman" w:hAnsiTheme="majorHAnsi" w:cstheme="majorHAnsi"/>
          <w:b/>
          <w:i w:val="0"/>
          <w:sz w:val="24"/>
          <w:szCs w:val="24"/>
          <w:lang w:val="el-GR" w:eastAsia="el-GR"/>
        </w:rPr>
        <w:t>(</w:t>
      </w:r>
      <w:r w:rsidR="00DF070A" w:rsidRPr="00AA5AEA">
        <w:rPr>
          <w:rFonts w:asciiTheme="majorHAnsi" w:eastAsia="Times New Roman" w:hAnsiTheme="majorHAnsi" w:cstheme="majorHAnsi"/>
          <w:b/>
          <w:i w:val="0"/>
          <w:sz w:val="24"/>
          <w:szCs w:val="24"/>
          <w:lang w:eastAsia="el-GR"/>
        </w:rPr>
        <w:t>PURCHASING</w:t>
      </w:r>
      <w:r w:rsidR="00DF070A" w:rsidRPr="00AA5AEA">
        <w:rPr>
          <w:rFonts w:asciiTheme="majorHAnsi" w:eastAsia="Times New Roman" w:hAnsiTheme="majorHAnsi" w:cstheme="majorHAnsi"/>
          <w:b/>
          <w:i w:val="0"/>
          <w:sz w:val="24"/>
          <w:szCs w:val="24"/>
          <w:lang w:val="el-GR" w:eastAsia="el-GR"/>
        </w:rPr>
        <w:t xml:space="preserve"> </w:t>
      </w:r>
      <w:r w:rsidR="00DF070A" w:rsidRPr="00AA5AEA">
        <w:rPr>
          <w:rFonts w:asciiTheme="majorHAnsi" w:eastAsia="Times New Roman" w:hAnsiTheme="majorHAnsi" w:cstheme="majorHAnsi"/>
          <w:b/>
          <w:i w:val="0"/>
          <w:sz w:val="24"/>
          <w:szCs w:val="24"/>
          <w:lang w:eastAsia="el-GR"/>
        </w:rPr>
        <w:t>POWER</w:t>
      </w:r>
      <w:r w:rsidR="00DF070A" w:rsidRPr="00AA5AEA">
        <w:rPr>
          <w:rFonts w:asciiTheme="majorHAnsi" w:eastAsia="Times New Roman" w:hAnsiTheme="majorHAnsi" w:cstheme="majorHAnsi"/>
          <w:b/>
          <w:i w:val="0"/>
          <w:sz w:val="24"/>
          <w:szCs w:val="24"/>
          <w:lang w:val="el-GR" w:eastAsia="el-GR"/>
        </w:rPr>
        <w:t xml:space="preserve"> </w:t>
      </w:r>
      <w:r w:rsidR="00DF070A" w:rsidRPr="00AA5AEA">
        <w:rPr>
          <w:rFonts w:asciiTheme="majorHAnsi" w:eastAsia="Times New Roman" w:hAnsiTheme="majorHAnsi" w:cstheme="majorHAnsi"/>
          <w:b/>
          <w:i w:val="0"/>
          <w:sz w:val="24"/>
          <w:szCs w:val="24"/>
          <w:lang w:eastAsia="el-GR"/>
        </w:rPr>
        <w:t>STANDARD</w:t>
      </w:r>
      <w:r w:rsidRPr="00AA5AEA">
        <w:rPr>
          <w:rFonts w:asciiTheme="majorHAnsi" w:eastAsia="Times New Roman" w:hAnsiTheme="majorHAnsi" w:cstheme="majorHAnsi"/>
          <w:b/>
          <w:i w:val="0"/>
          <w:sz w:val="24"/>
          <w:szCs w:val="24"/>
          <w:lang w:val="el-GR" w:eastAsia="el-GR"/>
        </w:rPr>
        <w:t>)</w:t>
      </w:r>
      <w:r w:rsidRPr="00AA5AEA">
        <w:rPr>
          <w:rStyle w:val="a8"/>
          <w:rFonts w:asciiTheme="majorHAnsi" w:hAnsiTheme="majorHAnsi" w:cstheme="majorHAnsi"/>
          <w:i w:val="0"/>
          <w:sz w:val="24"/>
          <w:szCs w:val="24"/>
        </w:rPr>
        <w:footnoteReference w:id="12"/>
      </w:r>
      <w:r w:rsidR="00DF070A" w:rsidRPr="00AA5AEA">
        <w:rPr>
          <w:rFonts w:asciiTheme="majorHAnsi" w:eastAsia="Times New Roman" w:hAnsiTheme="majorHAnsi" w:cstheme="majorHAnsi"/>
          <w:b/>
          <w:i w:val="0"/>
          <w:sz w:val="24"/>
          <w:szCs w:val="24"/>
          <w:lang w:val="el-GR" w:eastAsia="el-GR"/>
        </w:rPr>
        <w:t xml:space="preserve"> </w:t>
      </w:r>
      <w:r w:rsidRPr="00AA5AEA">
        <w:rPr>
          <w:rFonts w:asciiTheme="majorHAnsi" w:eastAsia="Times New Roman" w:hAnsiTheme="majorHAnsi" w:cstheme="majorHAnsi"/>
          <w:b/>
          <w:i w:val="0"/>
          <w:sz w:val="24"/>
          <w:szCs w:val="24"/>
          <w:lang w:val="el-GR" w:eastAsia="el-GR"/>
        </w:rPr>
        <w:t>ΓΙΑ ΤΟ ΕΤΟΣ 2017</w:t>
      </w:r>
    </w:p>
    <w:p w14:paraId="384FFF87" w14:textId="77777777" w:rsidR="000235A7" w:rsidRDefault="000235A7" w:rsidP="00F811C2">
      <w:pPr>
        <w:keepNext/>
        <w:spacing w:after="0"/>
      </w:pPr>
      <w:r>
        <w:rPr>
          <w:noProof/>
          <w:lang w:val="el-GR" w:eastAsia="el-GR"/>
        </w:rPr>
        <w:drawing>
          <wp:inline distT="0" distB="0" distL="0" distR="0" wp14:anchorId="645D205E" wp14:editId="173D745B">
            <wp:extent cx="5838825" cy="4114800"/>
            <wp:effectExtent l="0" t="0" r="0" b="0"/>
            <wp:docPr id="4" name="Γράφημα 4" descr="14900,74 στο Λουξεμβούργο.&#10;12105,31 στη Νορβηγία.&#10;12066,82 στην Ελβετία.&#10;11737,49 στη Δανία.&#10;11262,73 στη Γερμανία.&#10;11015,45 στην Ολλανδία.&#10;10965,53 στην Αυστρία.&#10;10916,62 στη Γαλλία.&#10;10219,38 στη Σουηδία.&#10;10171,8 στη Φιλανδία.&#10;10044,82 στο Βέλγιο.&#10;8555,93 στην Ισλανδία.&#10;8388,31 στην Ε.Ε. 28.&#10;8207,27 στην Ιταλία.&#10;7991,71 στην Αγγλία.&#10;7153,05 στην Ιρλανδία.&#10;6233,92 στην Ισπανία.&#10;5692,57 στη Σλοβενία.&#10;5607,53 στην Πορτογαλία.&#10;5378,07 στη Τσεχία.&#10;5087,99 στην Ελλάδα.&#10;4752,08 στη Μάλτα.&#10;4735 στην Κύπρο.&#10;4661,55 στην Πολωνία.&#10;4329,57 στη Σλοβακία.&#10;3964,56 στην Ουγγαρία.&#10;3930,32 στην Κροατία.&#10;3909,1 στην Εσθονία.&#10;3754,9 στη Λιθουανία.&#10;3000,64 στη Λετονία.&#10;2869,32 στη Ρουμανία.&#10;2755,91 στη Βουλγαρία.&#10;2547,2 στην Τουρκία.&#10;2354,74 στη Σερβία.&#10;1787,93 στη Βοζνία-Εζεργοβίνη."/>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5EDF6D" w14:textId="11EA5719" w:rsidR="00DF070A" w:rsidRPr="00DF070A" w:rsidRDefault="00DF070A" w:rsidP="009F1F34">
      <w:pPr>
        <w:pStyle w:val="aa"/>
        <w:spacing w:after="240"/>
        <w:ind w:left="142" w:right="284"/>
        <w:jc w:val="right"/>
        <w:rPr>
          <w:sz w:val="22"/>
          <w:szCs w:val="22"/>
        </w:rPr>
      </w:pPr>
      <w:r w:rsidRPr="00903F32">
        <w:rPr>
          <w:lang w:val="el-GR"/>
        </w:rPr>
        <w:t>ΠΗΓΗ</w:t>
      </w:r>
      <w:r w:rsidRPr="00DF070A">
        <w:t>: Eurostat, European System of Integrated Social Protection Statistics/ESSPROS (2017)</w:t>
      </w:r>
      <w:r w:rsidRPr="00DF070A">
        <w:br/>
      </w:r>
      <w:r>
        <w:rPr>
          <w:lang w:val="el-GR"/>
        </w:rPr>
        <w:t>ΕΠΕΞΕΡΓΑΣΙΑ</w:t>
      </w:r>
      <w:r w:rsidRPr="00DF070A">
        <w:t xml:space="preserve">: </w:t>
      </w:r>
      <w:r>
        <w:rPr>
          <w:lang w:val="el-GR"/>
        </w:rPr>
        <w:t>Παρατηρητήριο</w:t>
      </w:r>
      <w:r w:rsidRPr="00DF070A">
        <w:t xml:space="preserve"> </w:t>
      </w:r>
      <w:r>
        <w:rPr>
          <w:lang w:val="el-GR"/>
        </w:rPr>
        <w:t>Θεμάτων</w:t>
      </w:r>
      <w:r w:rsidRPr="00DF070A">
        <w:t xml:space="preserve"> </w:t>
      </w:r>
      <w:r>
        <w:rPr>
          <w:lang w:val="el-GR"/>
        </w:rPr>
        <w:t>Αναπηρίας</w:t>
      </w:r>
      <w:r w:rsidRPr="00DF070A">
        <w:t>-</w:t>
      </w:r>
      <w:r>
        <w:rPr>
          <w:lang w:val="el-GR"/>
        </w:rPr>
        <w:t>Ε</w:t>
      </w:r>
      <w:r w:rsidRPr="00DF070A">
        <w:t>.</w:t>
      </w:r>
      <w:r>
        <w:rPr>
          <w:lang w:val="el-GR"/>
        </w:rPr>
        <w:t>Σ</w:t>
      </w:r>
      <w:r w:rsidRPr="00DF070A">
        <w:t>.</w:t>
      </w:r>
      <w:r>
        <w:rPr>
          <w:lang w:val="el-GR"/>
        </w:rPr>
        <w:t>Α</w:t>
      </w:r>
      <w:r w:rsidRPr="00DF070A">
        <w:t>.</w:t>
      </w:r>
      <w:r>
        <w:rPr>
          <w:lang w:val="el-GR"/>
        </w:rPr>
        <w:t>μεΑ</w:t>
      </w:r>
      <w:r w:rsidRPr="00DF070A">
        <w:t>.</w:t>
      </w:r>
    </w:p>
    <w:p w14:paraId="36E397BD" w14:textId="47A4CE00" w:rsidR="00AA21A6" w:rsidRPr="00AA21A6" w:rsidRDefault="00AA21A6" w:rsidP="00AA21A6">
      <w:pPr>
        <w:ind w:right="142"/>
        <w:jc w:val="both"/>
        <w:rPr>
          <w:sz w:val="24"/>
          <w:szCs w:val="24"/>
          <w:lang w:val="el-GR"/>
        </w:rPr>
      </w:pPr>
      <w:r w:rsidRPr="00AA21A6">
        <w:rPr>
          <w:sz w:val="24"/>
          <w:szCs w:val="24"/>
          <w:lang w:val="el-GR"/>
        </w:rPr>
        <w:t>Ένας άλλος δείκτης σύγκρισης αφορά στον υπολογισμό των δαπανών ως ποσοστό του ΑΕΠ κάθε χώρας.</w:t>
      </w:r>
      <w:r w:rsidR="00F811C2" w:rsidRPr="00F811C2">
        <w:rPr>
          <w:sz w:val="24"/>
          <w:szCs w:val="24"/>
          <w:lang w:val="el-GR"/>
        </w:rPr>
        <w:t xml:space="preserve"> </w:t>
      </w:r>
      <w:r w:rsidRPr="00AA21A6">
        <w:rPr>
          <w:sz w:val="24"/>
          <w:szCs w:val="24"/>
          <w:lang w:val="el-GR"/>
        </w:rPr>
        <w:t>Το 2017, οι συνολικές δαπάνες για παροχές κοινωνικές προστασίας αντιπροσωπεύουν το 24,9% του ελληνικού ΑΕΠ,</w:t>
      </w:r>
      <w:r w:rsidR="008E7B49">
        <w:rPr>
          <w:sz w:val="24"/>
          <w:szCs w:val="24"/>
          <w:lang w:val="el-GR"/>
        </w:rPr>
        <w:t xml:space="preserve"> </w:t>
      </w:r>
      <w:r w:rsidRPr="00AA21A6">
        <w:rPr>
          <w:sz w:val="24"/>
          <w:szCs w:val="24"/>
          <w:lang w:val="el-GR"/>
        </w:rPr>
        <w:t>ποσοστό που βρίσκεται δύο μονάδες χαμηλότερα από τον</w:t>
      </w:r>
      <w:r w:rsidR="00DF2FE1">
        <w:rPr>
          <w:sz w:val="24"/>
          <w:szCs w:val="24"/>
          <w:lang w:val="el-GR"/>
        </w:rPr>
        <w:t xml:space="preserve"> ευρωπαϊκό </w:t>
      </w:r>
      <w:r w:rsidRPr="00AA21A6">
        <w:rPr>
          <w:sz w:val="24"/>
          <w:szCs w:val="24"/>
          <w:lang w:val="el-GR"/>
        </w:rPr>
        <w:t>μέσο όρο των 28 (ΕΕ-28: 26,8%).</w:t>
      </w:r>
    </w:p>
    <w:p w14:paraId="5AD2514D" w14:textId="63150059" w:rsidR="00AA21A6" w:rsidRDefault="00AA21A6" w:rsidP="00F811C2">
      <w:pPr>
        <w:pStyle w:val="aa"/>
        <w:widowControl w:val="0"/>
        <w:spacing w:before="240" w:after="0"/>
        <w:rPr>
          <w:rFonts w:asciiTheme="majorHAnsi" w:eastAsia="Times New Roman" w:hAnsiTheme="majorHAnsi" w:cs="Arial"/>
          <w:b/>
          <w:i w:val="0"/>
          <w:sz w:val="24"/>
          <w:szCs w:val="24"/>
          <w:lang w:val="el-GR" w:eastAsia="el-GR"/>
        </w:rPr>
      </w:pPr>
      <w:r w:rsidRPr="00AA21A6">
        <w:rPr>
          <w:rFonts w:asciiTheme="majorHAnsi" w:eastAsia="Times New Roman" w:hAnsiTheme="majorHAnsi" w:cs="Arial"/>
          <w:b/>
          <w:i w:val="0"/>
          <w:sz w:val="24"/>
          <w:szCs w:val="24"/>
          <w:lang w:val="el-GR" w:eastAsia="el-GR"/>
        </w:rPr>
        <w:lastRenderedPageBreak/>
        <w:t xml:space="preserve">Γράφημα </w:t>
      </w:r>
      <w:r w:rsidRPr="000B539F">
        <w:rPr>
          <w:rFonts w:asciiTheme="majorHAnsi" w:eastAsia="Times New Roman" w:hAnsiTheme="majorHAnsi" w:cs="Arial"/>
          <w:b/>
          <w:i w:val="0"/>
          <w:sz w:val="24"/>
          <w:szCs w:val="24"/>
          <w:lang w:eastAsia="el-GR"/>
        </w:rPr>
        <w:fldChar w:fldCharType="begin"/>
      </w:r>
      <w:r w:rsidRPr="00AA21A6">
        <w:rPr>
          <w:rFonts w:asciiTheme="majorHAnsi" w:eastAsia="Times New Roman" w:hAnsiTheme="majorHAnsi" w:cs="Arial"/>
          <w:b/>
          <w:i w:val="0"/>
          <w:sz w:val="24"/>
          <w:szCs w:val="24"/>
          <w:lang w:val="el-GR" w:eastAsia="el-GR"/>
        </w:rPr>
        <w:instrText xml:space="preserve"> </w:instrText>
      </w:r>
      <w:r w:rsidRPr="001F0600">
        <w:rPr>
          <w:rFonts w:asciiTheme="majorHAnsi" w:eastAsia="Times New Roman" w:hAnsiTheme="majorHAnsi" w:cs="Arial"/>
          <w:b/>
          <w:i w:val="0"/>
          <w:sz w:val="24"/>
          <w:szCs w:val="24"/>
          <w:lang w:eastAsia="el-GR"/>
        </w:rPr>
        <w:instrText>SEQ</w:instrText>
      </w:r>
      <w:r w:rsidRPr="00AA21A6">
        <w:rPr>
          <w:rFonts w:asciiTheme="majorHAnsi" w:eastAsia="Times New Roman" w:hAnsiTheme="majorHAnsi" w:cs="Arial"/>
          <w:b/>
          <w:i w:val="0"/>
          <w:sz w:val="24"/>
          <w:szCs w:val="24"/>
          <w:lang w:val="el-GR" w:eastAsia="el-GR"/>
        </w:rPr>
        <w:instrText xml:space="preserve"> Γράφημα \* </w:instrText>
      </w:r>
      <w:r w:rsidRPr="001F0600">
        <w:rPr>
          <w:rFonts w:asciiTheme="majorHAnsi" w:eastAsia="Times New Roman" w:hAnsiTheme="majorHAnsi" w:cs="Arial"/>
          <w:b/>
          <w:i w:val="0"/>
          <w:sz w:val="24"/>
          <w:szCs w:val="24"/>
          <w:lang w:eastAsia="el-GR"/>
        </w:rPr>
        <w:instrText>ARABIC</w:instrText>
      </w:r>
      <w:r w:rsidRPr="00AA21A6">
        <w:rPr>
          <w:rFonts w:asciiTheme="majorHAnsi" w:eastAsia="Times New Roman" w:hAnsiTheme="majorHAnsi" w:cs="Arial"/>
          <w:b/>
          <w:i w:val="0"/>
          <w:sz w:val="24"/>
          <w:szCs w:val="24"/>
          <w:lang w:val="el-GR" w:eastAsia="el-GR"/>
        </w:rPr>
        <w:instrText xml:space="preserve"> </w:instrText>
      </w:r>
      <w:r w:rsidRPr="000B539F">
        <w:rPr>
          <w:rFonts w:asciiTheme="majorHAnsi" w:eastAsia="Times New Roman" w:hAnsiTheme="majorHAnsi" w:cs="Arial"/>
          <w:b/>
          <w:i w:val="0"/>
          <w:sz w:val="24"/>
          <w:szCs w:val="24"/>
          <w:lang w:eastAsia="el-GR"/>
        </w:rPr>
        <w:fldChar w:fldCharType="separate"/>
      </w:r>
      <w:r w:rsidR="00DE0303" w:rsidRPr="00DE0303">
        <w:rPr>
          <w:rFonts w:asciiTheme="majorHAnsi" w:eastAsia="Times New Roman" w:hAnsiTheme="majorHAnsi" w:cs="Arial"/>
          <w:b/>
          <w:i w:val="0"/>
          <w:noProof/>
          <w:sz w:val="24"/>
          <w:szCs w:val="24"/>
          <w:lang w:val="el-GR" w:eastAsia="el-GR"/>
        </w:rPr>
        <w:t>3</w:t>
      </w:r>
      <w:r w:rsidRPr="000B539F">
        <w:rPr>
          <w:rFonts w:asciiTheme="majorHAnsi" w:eastAsia="Times New Roman" w:hAnsiTheme="majorHAnsi" w:cs="Arial"/>
          <w:b/>
          <w:i w:val="0"/>
          <w:sz w:val="24"/>
          <w:szCs w:val="24"/>
          <w:lang w:eastAsia="el-GR"/>
        </w:rPr>
        <w:fldChar w:fldCharType="end"/>
      </w:r>
      <w:r w:rsidRPr="00AA21A6">
        <w:rPr>
          <w:rFonts w:asciiTheme="majorHAnsi" w:eastAsia="Times New Roman" w:hAnsiTheme="majorHAnsi" w:cs="Arial"/>
          <w:b/>
          <w:i w:val="0"/>
          <w:sz w:val="24"/>
          <w:szCs w:val="24"/>
          <w:lang w:val="el-GR" w:eastAsia="el-GR"/>
        </w:rPr>
        <w:t>: ΔΑΠΑΝΕΣ ΓΙΑ ΠΑΡΟΧΕΣ ΚΟΙΝΩΝΙΚΗΣ ΠΡΟΣΤΑΣΙΑΣ ΩΣ ΠΟΣΟΣΤΟ ΤΟΥ ΑΕΠ- 2017</w:t>
      </w:r>
    </w:p>
    <w:p w14:paraId="54B1EBE4" w14:textId="7E73ACA0" w:rsidR="009F18F8" w:rsidRDefault="00F811C2" w:rsidP="00F811C2">
      <w:pPr>
        <w:keepNext/>
        <w:spacing w:after="120" w:line="240" w:lineRule="auto"/>
      </w:pPr>
      <w:r>
        <w:rPr>
          <w:noProof/>
        </w:rPr>
        <w:drawing>
          <wp:inline distT="0" distB="0" distL="0" distR="0" wp14:anchorId="36B27235" wp14:editId="7383CB53">
            <wp:extent cx="5941060" cy="5705475"/>
            <wp:effectExtent l="0" t="0" r="2540" b="0"/>
            <wp:docPr id="1" name="Γράφημα 1" descr="12,1 σε Τουρκία.&#10;14,1 σε Ρουμανία.&#10;14,3 σε Ιρλανδία.&#10;14,3 σε Βόρεια Μακεδονία.&#10;14,4 σε Λιθουανία.&#10;14,6 σε Λετονία.&#10;15,8 σε Εσθονία.&#10;15,9 σε Μάλτα.&#10;16,4 σε Βουλγαρία.&#10;17,7 σε Σλοβακία.&#10;17,8 σε Βοζνία-Εζεργοβίνη.&#10;18 σε Τσεχία.&#10;18,1 σε Κύπρος.&#10;18,1 σε Ουγγαρία.&#10;19 σε Σερβία.&#10;19,6 σε Πολωνία.&#10;20,5 σε Κροατία.&#10;21,5 σε Λουξεμβόυργο.&#10;22,3 σε Σλοβενία.&#10;23 σε Ισπανία.&#10;23,2 σε Ισλανδία.&#10;23,6 σε Πορτογαλία.&#10;24,9 σε Ελλάδα.&#10;26,1 σε Αγγλία.&#10;26,1 σε Ελβετία.&#10;26,8 σε E.E.(28).&#10;27,2 σε Βέλγιο.&#10;27,6 σε Ολλανδία.&#10;27,9 σε Νορβηγία.&#10;28 σε Ιταλία.&#10;28,2 σε Σουηδία .&#10;28,5 σε Γερμανία.&#10;28,6 σε Αυστρία .&#10;30,1 σε Φιλανδία.&#10;30,8 σε Δανία.&#10;31,7 σε Γαλλία.">
              <a:extLst xmlns:a="http://schemas.openxmlformats.org/drawingml/2006/main">
                <a:ext uri="{FF2B5EF4-FFF2-40B4-BE49-F238E27FC236}">
                  <a16:creationId xmlns:a16="http://schemas.microsoft.com/office/drawing/2014/main" id="{ED1BB661-2B29-4440-9FF4-116C27B9F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825C6B" w14:textId="77777777" w:rsidR="00AD6138" w:rsidRPr="00DF070A" w:rsidRDefault="00AD6138" w:rsidP="009F1F34">
      <w:pPr>
        <w:pStyle w:val="aa"/>
        <w:spacing w:after="240"/>
        <w:ind w:left="142" w:right="284"/>
        <w:jc w:val="right"/>
        <w:rPr>
          <w:sz w:val="22"/>
          <w:szCs w:val="22"/>
        </w:rPr>
      </w:pPr>
      <w:r w:rsidRPr="00903F32">
        <w:rPr>
          <w:lang w:val="el-GR"/>
        </w:rPr>
        <w:t>ΠΗΓΗ</w:t>
      </w:r>
      <w:r w:rsidRPr="00DF070A">
        <w:t>: Eurostat, European System of Integrated Social Protection Statistics/ESSPROS (2017)</w:t>
      </w:r>
      <w:r w:rsidRPr="00DF070A">
        <w:br/>
      </w:r>
      <w:r>
        <w:rPr>
          <w:lang w:val="el-GR"/>
        </w:rPr>
        <w:t>ΕΠΕΞΕΡΓΑΣΙΑ</w:t>
      </w:r>
      <w:r w:rsidRPr="00DF070A">
        <w:t xml:space="preserve">: </w:t>
      </w:r>
      <w:r>
        <w:rPr>
          <w:lang w:val="el-GR"/>
        </w:rPr>
        <w:t>Παρατηρητήριο</w:t>
      </w:r>
      <w:r w:rsidRPr="00DF070A">
        <w:t xml:space="preserve"> </w:t>
      </w:r>
      <w:r>
        <w:rPr>
          <w:lang w:val="el-GR"/>
        </w:rPr>
        <w:t>Θεμάτων</w:t>
      </w:r>
      <w:r w:rsidRPr="00DF070A">
        <w:t xml:space="preserve"> </w:t>
      </w:r>
      <w:r>
        <w:rPr>
          <w:lang w:val="el-GR"/>
        </w:rPr>
        <w:t>Αναπηρίας</w:t>
      </w:r>
      <w:r w:rsidRPr="00DF070A">
        <w:t>-</w:t>
      </w:r>
      <w:r>
        <w:rPr>
          <w:lang w:val="el-GR"/>
        </w:rPr>
        <w:t>Ε</w:t>
      </w:r>
      <w:r w:rsidRPr="00DF070A">
        <w:t>.</w:t>
      </w:r>
      <w:r>
        <w:rPr>
          <w:lang w:val="el-GR"/>
        </w:rPr>
        <w:t>Σ</w:t>
      </w:r>
      <w:r w:rsidRPr="00DF070A">
        <w:t>.</w:t>
      </w:r>
      <w:r>
        <w:rPr>
          <w:lang w:val="el-GR"/>
        </w:rPr>
        <w:t>Α</w:t>
      </w:r>
      <w:r w:rsidRPr="00DF070A">
        <w:t>.</w:t>
      </w:r>
      <w:r>
        <w:rPr>
          <w:lang w:val="el-GR"/>
        </w:rPr>
        <w:t>μεΑ</w:t>
      </w:r>
      <w:r w:rsidRPr="00DF070A">
        <w:t>.</w:t>
      </w:r>
    </w:p>
    <w:p w14:paraId="25DF7843" w14:textId="2BA57870" w:rsidR="00FE1AE1" w:rsidRPr="007219BD" w:rsidRDefault="00FD11A7" w:rsidP="00F811C2">
      <w:pPr>
        <w:ind w:right="142"/>
        <w:jc w:val="both"/>
        <w:rPr>
          <w:lang w:val="el-GR"/>
        </w:rPr>
      </w:pPr>
      <w:r>
        <w:rPr>
          <w:sz w:val="24"/>
          <w:szCs w:val="24"/>
          <w:lang w:val="el-GR"/>
        </w:rPr>
        <w:t>Π</w:t>
      </w:r>
      <w:r w:rsidR="007219BD" w:rsidRPr="007219BD">
        <w:rPr>
          <w:sz w:val="24"/>
          <w:szCs w:val="24"/>
          <w:lang w:val="el-GR"/>
        </w:rPr>
        <w:t xml:space="preserve">ρέπει </w:t>
      </w:r>
      <w:r w:rsidR="007219BD">
        <w:rPr>
          <w:sz w:val="24"/>
          <w:szCs w:val="24"/>
          <w:lang w:val="el-GR"/>
        </w:rPr>
        <w:t>να σημειωθεί ότι</w:t>
      </w:r>
      <w:r>
        <w:rPr>
          <w:sz w:val="24"/>
          <w:szCs w:val="24"/>
          <w:lang w:val="el-GR"/>
        </w:rPr>
        <w:t>,</w:t>
      </w:r>
      <w:r w:rsidR="008E7B49">
        <w:rPr>
          <w:sz w:val="24"/>
          <w:szCs w:val="24"/>
          <w:lang w:val="el-GR"/>
        </w:rPr>
        <w:t xml:space="preserve"> </w:t>
      </w:r>
      <w:r w:rsidR="00B751CA">
        <w:rPr>
          <w:sz w:val="24"/>
          <w:szCs w:val="24"/>
          <w:lang w:val="el-GR"/>
        </w:rPr>
        <w:t>στην Ελλάδα</w:t>
      </w:r>
      <w:r w:rsidR="007219BD">
        <w:rPr>
          <w:sz w:val="24"/>
          <w:szCs w:val="24"/>
          <w:lang w:val="el-GR"/>
        </w:rPr>
        <w:t>, το ποσοστό των δαπανών για παροχές κοινωνικής προστασ</w:t>
      </w:r>
      <w:r w:rsidR="00B751CA">
        <w:rPr>
          <w:sz w:val="24"/>
          <w:szCs w:val="24"/>
          <w:lang w:val="el-GR"/>
        </w:rPr>
        <w:t xml:space="preserve">ίας εμφανίζεται αυξημένο κατά τα έτη </w:t>
      </w:r>
      <w:r w:rsidR="007665EC">
        <w:rPr>
          <w:sz w:val="24"/>
          <w:szCs w:val="24"/>
          <w:lang w:val="el-GR"/>
        </w:rPr>
        <w:t>εξέλιξης</w:t>
      </w:r>
      <w:r w:rsidR="00B751CA">
        <w:rPr>
          <w:sz w:val="24"/>
          <w:szCs w:val="24"/>
          <w:lang w:val="el-GR"/>
        </w:rPr>
        <w:t xml:space="preserve"> της οικονομικής κρίσης λ</w:t>
      </w:r>
      <w:r w:rsidR="007665EC">
        <w:rPr>
          <w:sz w:val="24"/>
          <w:szCs w:val="24"/>
          <w:lang w:val="el-GR"/>
        </w:rPr>
        <w:t xml:space="preserve">όγω της δραματικής μείωσης του ίδιου του </w:t>
      </w:r>
      <w:r w:rsidR="00222527">
        <w:rPr>
          <w:sz w:val="24"/>
          <w:szCs w:val="24"/>
          <w:lang w:val="el-GR"/>
        </w:rPr>
        <w:t>ΑΕΠ που αποτελεί τον παρονομαστή του δείκτη</w:t>
      </w:r>
      <w:r>
        <w:rPr>
          <w:sz w:val="24"/>
          <w:szCs w:val="24"/>
          <w:lang w:val="el-GR"/>
        </w:rPr>
        <w:t xml:space="preserve"> (</w:t>
      </w:r>
      <w:r w:rsidR="00FE1AE1" w:rsidRPr="00FE1AE1">
        <w:rPr>
          <w:sz w:val="24"/>
          <w:szCs w:val="24"/>
          <w:lang w:val="el-GR"/>
        </w:rPr>
        <w:t>το 2008 ο ίδιος δείκτης βρίσκονταν στο</w:t>
      </w:r>
      <w:r w:rsidR="00FE1AE1">
        <w:rPr>
          <w:sz w:val="24"/>
          <w:szCs w:val="24"/>
          <w:lang w:val="el-GR"/>
        </w:rPr>
        <w:t xml:space="preserve"> 2</w:t>
      </w:r>
      <w:r w:rsidR="00FE1AE1" w:rsidRPr="00FE1AE1">
        <w:rPr>
          <w:sz w:val="24"/>
          <w:szCs w:val="24"/>
          <w:lang w:val="el-GR"/>
        </w:rPr>
        <w:t>2,8%</w:t>
      </w:r>
      <w:r>
        <w:rPr>
          <w:sz w:val="24"/>
          <w:szCs w:val="24"/>
          <w:lang w:val="el-GR"/>
        </w:rPr>
        <w:t>)</w:t>
      </w:r>
      <w:r w:rsidR="00FE1AE1">
        <w:rPr>
          <w:rStyle w:val="a8"/>
          <w:sz w:val="24"/>
          <w:szCs w:val="24"/>
          <w:lang w:val="el-GR"/>
        </w:rPr>
        <w:footnoteReference w:id="13"/>
      </w:r>
      <w:r w:rsidR="00F811C2" w:rsidRPr="00F811C2">
        <w:rPr>
          <w:sz w:val="24"/>
          <w:szCs w:val="24"/>
          <w:lang w:val="el-GR"/>
        </w:rPr>
        <w:t>.</w:t>
      </w:r>
    </w:p>
    <w:p w14:paraId="69D5A9DC" w14:textId="6372B63F" w:rsidR="00AA21A6" w:rsidRPr="00660C45" w:rsidRDefault="00AA21A6" w:rsidP="00660C45">
      <w:pPr>
        <w:pStyle w:val="2"/>
        <w:numPr>
          <w:ilvl w:val="1"/>
          <w:numId w:val="12"/>
        </w:numPr>
        <w:spacing w:before="0" w:after="200"/>
        <w:ind w:left="578" w:hanging="578"/>
        <w:rPr>
          <w:rFonts w:cstheme="majorHAnsi"/>
          <w:b/>
          <w:color w:val="auto"/>
          <w:sz w:val="32"/>
          <w:szCs w:val="32"/>
          <w:lang w:val="el-GR"/>
        </w:rPr>
      </w:pPr>
      <w:bookmarkStart w:id="5" w:name="_Toc53409342"/>
      <w:r w:rsidRPr="00660C45">
        <w:rPr>
          <w:rFonts w:cstheme="majorHAnsi"/>
          <w:b/>
          <w:color w:val="auto"/>
          <w:sz w:val="32"/>
          <w:szCs w:val="32"/>
          <w:lang w:val="el-GR"/>
        </w:rPr>
        <w:lastRenderedPageBreak/>
        <w:t>Κατανομή δαπανών κοινωνικής προστασίας ανά λειτουργία</w:t>
      </w:r>
      <w:bookmarkEnd w:id="5"/>
    </w:p>
    <w:p w14:paraId="35C603BA" w14:textId="4B3A6DC3" w:rsidR="00AA21A6" w:rsidRDefault="00AA21A6" w:rsidP="00AA21A6">
      <w:pPr>
        <w:ind w:right="142"/>
        <w:jc w:val="both"/>
        <w:rPr>
          <w:sz w:val="24"/>
          <w:szCs w:val="24"/>
          <w:lang w:val="el-GR"/>
        </w:rPr>
      </w:pPr>
      <w:r w:rsidRPr="005B5675">
        <w:rPr>
          <w:sz w:val="24"/>
          <w:szCs w:val="24"/>
        </w:rPr>
        <w:t>O</w:t>
      </w:r>
      <w:r w:rsidRPr="00AA21A6">
        <w:rPr>
          <w:sz w:val="24"/>
          <w:szCs w:val="24"/>
          <w:lang w:val="el-GR"/>
        </w:rPr>
        <w:t>ι δαπάνες για παροχές κοινωνικής προστασίας το έτος 2017 ανήλθαν συνολικά σε 44.857 εκατ. Ευρώ. Το</w:t>
      </w:r>
      <w:r w:rsidR="008E7B49">
        <w:rPr>
          <w:sz w:val="24"/>
          <w:szCs w:val="24"/>
          <w:lang w:val="el-GR"/>
        </w:rPr>
        <w:t xml:space="preserve"> </w:t>
      </w:r>
      <w:r w:rsidRPr="00AA21A6">
        <w:rPr>
          <w:sz w:val="24"/>
          <w:szCs w:val="24"/>
          <w:lang w:val="el-GR"/>
        </w:rPr>
        <w:t xml:space="preserve">53,2% της συνολικής δαπάνης αφορά στην προστασία του γήρατος (δηλαδή σε συντάξεις γήρατος), ποσοστό το οποίο είναι το υψηλότερο μεταξύ των χωρών της Ευρώπης, όντας 13 μονάδες πάνω από το μέσο όρο της Ε.Ε. (ΕΕ-28: 40,5%). </w:t>
      </w:r>
    </w:p>
    <w:p w14:paraId="0889D0F0" w14:textId="7D8443F0" w:rsidR="00AA21A6" w:rsidRPr="00AA21A6" w:rsidRDefault="00AA21A6" w:rsidP="00AA21A6">
      <w:pPr>
        <w:ind w:right="142"/>
        <w:jc w:val="both"/>
        <w:rPr>
          <w:sz w:val="24"/>
          <w:szCs w:val="24"/>
          <w:lang w:val="el-GR"/>
        </w:rPr>
      </w:pPr>
      <w:r w:rsidRPr="00AA21A6">
        <w:rPr>
          <w:sz w:val="24"/>
          <w:szCs w:val="24"/>
          <w:lang w:val="el-GR"/>
        </w:rPr>
        <w:t>Το 20,4% των δαπανών κοινωνικής προστασίας δαπανήθηκε για την προστασία της ασθένειας, το 9,6% για την προστασία της χηρείας και το 5,7% αφορά σε κοινωνικές παροχές για την οικογένεια.</w:t>
      </w:r>
    </w:p>
    <w:p w14:paraId="2A213CEA" w14:textId="5896760B" w:rsidR="00AA21A6" w:rsidRDefault="00AA21A6" w:rsidP="00AA21A6">
      <w:pPr>
        <w:ind w:right="142"/>
        <w:jc w:val="both"/>
        <w:rPr>
          <w:b/>
          <w:sz w:val="24"/>
          <w:szCs w:val="24"/>
          <w:lang w:val="el-GR"/>
        </w:rPr>
      </w:pPr>
      <w:r w:rsidRPr="00AA21A6">
        <w:rPr>
          <w:b/>
          <w:sz w:val="24"/>
          <w:szCs w:val="24"/>
          <w:lang w:val="el-GR"/>
        </w:rPr>
        <w:t>Οι δαπάνες κοινωνικής προστασίας για την αναπηρία ανέρχονται σε 2.658 εκατ. Ευρώ, καταλαμβάνοντας το 5,9% των δαπανών κοινωνικής προστασίας.</w:t>
      </w:r>
    </w:p>
    <w:p w14:paraId="1F3B5A2A" w14:textId="77777777" w:rsidR="009F1F34" w:rsidRPr="00AA21A6" w:rsidRDefault="009F1F34" w:rsidP="00AA21A6">
      <w:pPr>
        <w:ind w:right="142"/>
        <w:jc w:val="both"/>
        <w:rPr>
          <w:b/>
          <w:sz w:val="24"/>
          <w:szCs w:val="24"/>
          <w:lang w:val="el-GR"/>
        </w:rPr>
      </w:pPr>
    </w:p>
    <w:p w14:paraId="75518711" w14:textId="5127EF65" w:rsidR="00AA21A6" w:rsidRPr="00AA5AEA" w:rsidRDefault="00AA21A6" w:rsidP="00672BD6">
      <w:pPr>
        <w:pStyle w:val="aa"/>
        <w:widowControl w:val="0"/>
        <w:spacing w:before="240" w:after="120"/>
        <w:rPr>
          <w:rFonts w:asciiTheme="majorHAnsi" w:hAnsiTheme="majorHAnsi"/>
          <w:b/>
          <w:i w:val="0"/>
          <w:iCs w:val="0"/>
          <w:sz w:val="24"/>
          <w:szCs w:val="24"/>
          <w:lang w:val="el-GR"/>
        </w:rPr>
      </w:pPr>
      <w:r w:rsidRPr="00AA5AEA">
        <w:rPr>
          <w:rFonts w:asciiTheme="majorHAnsi" w:hAnsiTheme="majorHAnsi"/>
          <w:b/>
          <w:i w:val="0"/>
          <w:iCs w:val="0"/>
          <w:sz w:val="24"/>
          <w:szCs w:val="24"/>
          <w:lang w:val="el-GR"/>
        </w:rPr>
        <w:t xml:space="preserve">Πίνακας </w:t>
      </w:r>
      <w:r w:rsidRPr="00AA5AEA">
        <w:rPr>
          <w:rFonts w:asciiTheme="majorHAnsi" w:hAnsiTheme="majorHAnsi"/>
          <w:b/>
          <w:i w:val="0"/>
          <w:iCs w:val="0"/>
          <w:sz w:val="24"/>
          <w:szCs w:val="24"/>
        </w:rPr>
        <w:fldChar w:fldCharType="begin"/>
      </w:r>
      <w:r w:rsidRPr="00AA5AEA">
        <w:rPr>
          <w:rFonts w:asciiTheme="majorHAnsi" w:hAnsiTheme="majorHAnsi"/>
          <w:b/>
          <w:i w:val="0"/>
          <w:iCs w:val="0"/>
          <w:sz w:val="24"/>
          <w:szCs w:val="24"/>
          <w:lang w:val="el-GR"/>
        </w:rPr>
        <w:instrText xml:space="preserve"> </w:instrText>
      </w:r>
      <w:r w:rsidRPr="00AA5AEA">
        <w:rPr>
          <w:rFonts w:asciiTheme="majorHAnsi" w:hAnsiTheme="majorHAnsi"/>
          <w:b/>
          <w:i w:val="0"/>
          <w:iCs w:val="0"/>
          <w:sz w:val="24"/>
          <w:szCs w:val="24"/>
        </w:rPr>
        <w:instrText>SEQ</w:instrText>
      </w:r>
      <w:r w:rsidRPr="00AA5AEA">
        <w:rPr>
          <w:rFonts w:asciiTheme="majorHAnsi" w:hAnsiTheme="majorHAnsi"/>
          <w:b/>
          <w:i w:val="0"/>
          <w:iCs w:val="0"/>
          <w:sz w:val="24"/>
          <w:szCs w:val="24"/>
          <w:lang w:val="el-GR"/>
        </w:rPr>
        <w:instrText xml:space="preserve"> Πίνακας \* </w:instrText>
      </w:r>
      <w:r w:rsidRPr="00AA5AEA">
        <w:rPr>
          <w:rFonts w:asciiTheme="majorHAnsi" w:hAnsiTheme="majorHAnsi"/>
          <w:b/>
          <w:i w:val="0"/>
          <w:iCs w:val="0"/>
          <w:sz w:val="24"/>
          <w:szCs w:val="24"/>
        </w:rPr>
        <w:instrText>ARABIC</w:instrText>
      </w:r>
      <w:r w:rsidRPr="00AA5AEA">
        <w:rPr>
          <w:rFonts w:asciiTheme="majorHAnsi" w:hAnsiTheme="majorHAnsi"/>
          <w:b/>
          <w:i w:val="0"/>
          <w:iCs w:val="0"/>
          <w:sz w:val="24"/>
          <w:szCs w:val="24"/>
          <w:lang w:val="el-GR"/>
        </w:rPr>
        <w:instrText xml:space="preserve"> </w:instrText>
      </w:r>
      <w:r w:rsidRPr="00AA5AEA">
        <w:rPr>
          <w:rFonts w:asciiTheme="majorHAnsi" w:hAnsiTheme="majorHAnsi"/>
          <w:b/>
          <w:i w:val="0"/>
          <w:iCs w:val="0"/>
          <w:sz w:val="24"/>
          <w:szCs w:val="24"/>
        </w:rPr>
        <w:fldChar w:fldCharType="separate"/>
      </w:r>
      <w:r w:rsidR="00DE0303" w:rsidRPr="00AA5AEA">
        <w:rPr>
          <w:rFonts w:asciiTheme="majorHAnsi" w:hAnsiTheme="majorHAnsi"/>
          <w:b/>
          <w:i w:val="0"/>
          <w:iCs w:val="0"/>
          <w:noProof/>
          <w:sz w:val="24"/>
          <w:szCs w:val="24"/>
          <w:lang w:val="el-GR"/>
        </w:rPr>
        <w:t>1</w:t>
      </w:r>
      <w:r w:rsidRPr="00AA5AEA">
        <w:rPr>
          <w:rFonts w:asciiTheme="majorHAnsi" w:hAnsiTheme="majorHAnsi"/>
          <w:b/>
          <w:i w:val="0"/>
          <w:iCs w:val="0"/>
          <w:sz w:val="24"/>
          <w:szCs w:val="24"/>
        </w:rPr>
        <w:fldChar w:fldCharType="end"/>
      </w:r>
      <w:r w:rsidRPr="00AA5AEA">
        <w:rPr>
          <w:rFonts w:asciiTheme="majorHAnsi" w:hAnsiTheme="majorHAnsi"/>
          <w:b/>
          <w:i w:val="0"/>
          <w:iCs w:val="0"/>
          <w:sz w:val="24"/>
          <w:szCs w:val="24"/>
          <w:lang w:val="el-GR"/>
        </w:rPr>
        <w:t>:</w:t>
      </w:r>
      <w:r w:rsidRPr="00AA5AEA">
        <w:rPr>
          <w:rFonts w:asciiTheme="majorHAnsi" w:eastAsia="Times New Roman" w:hAnsiTheme="majorHAnsi" w:cs="Arial"/>
          <w:b/>
          <w:i w:val="0"/>
          <w:iCs w:val="0"/>
          <w:sz w:val="24"/>
          <w:szCs w:val="24"/>
          <w:lang w:val="el-GR" w:eastAsia="el-GR"/>
        </w:rPr>
        <w:t xml:space="preserve"> ΔΑΠΑΝΕΣ ΓΙΑ ΠΑΡΟΧΕΣ ΚΟΙΝΩΝΙΚΗΣ ΠΡΟΣΤΑΣΙΑΣ ΜΕ ΤΟ ΣΥΣΤΗΜΑ </w:t>
      </w:r>
      <w:r w:rsidR="00AA5AEA">
        <w:rPr>
          <w:rFonts w:asciiTheme="majorHAnsi" w:eastAsia="Times New Roman" w:hAnsiTheme="majorHAnsi" w:cs="Arial"/>
          <w:b/>
          <w:i w:val="0"/>
          <w:iCs w:val="0"/>
          <w:sz w:val="24"/>
          <w:szCs w:val="24"/>
          <w:lang w:val="el-GR" w:eastAsia="el-GR"/>
        </w:rPr>
        <w:br/>
      </w:r>
      <w:r w:rsidRPr="00AA5AEA">
        <w:rPr>
          <w:rFonts w:asciiTheme="majorHAnsi" w:eastAsia="Times New Roman" w:hAnsiTheme="majorHAnsi" w:cs="Arial"/>
          <w:b/>
          <w:i w:val="0"/>
          <w:iCs w:val="0"/>
          <w:sz w:val="24"/>
          <w:szCs w:val="24"/>
          <w:lang w:eastAsia="el-GR"/>
        </w:rPr>
        <w:t>ESSPROS</w:t>
      </w:r>
      <w:r w:rsidR="008E7B49" w:rsidRPr="00AA5AEA">
        <w:rPr>
          <w:rFonts w:asciiTheme="majorHAnsi" w:eastAsia="Times New Roman" w:hAnsiTheme="majorHAnsi" w:cs="Arial"/>
          <w:b/>
          <w:i w:val="0"/>
          <w:iCs w:val="0"/>
          <w:sz w:val="24"/>
          <w:szCs w:val="24"/>
          <w:lang w:val="el-GR" w:eastAsia="el-GR"/>
        </w:rPr>
        <w:t xml:space="preserve"> </w:t>
      </w:r>
      <w:r w:rsidRPr="00AA5AEA">
        <w:rPr>
          <w:rFonts w:asciiTheme="majorHAnsi" w:eastAsia="Times New Roman" w:hAnsiTheme="majorHAnsi" w:cs="Arial"/>
          <w:b/>
          <w:i w:val="0"/>
          <w:iCs w:val="0"/>
          <w:sz w:val="24"/>
          <w:szCs w:val="24"/>
          <w:lang w:val="el-GR" w:eastAsia="el-GR"/>
        </w:rPr>
        <w:t>-</w:t>
      </w:r>
      <w:r w:rsidR="009F1F34" w:rsidRPr="00AA5AEA">
        <w:rPr>
          <w:rFonts w:asciiTheme="majorHAnsi" w:eastAsia="Times New Roman" w:hAnsiTheme="majorHAnsi" w:cs="Arial"/>
          <w:b/>
          <w:i w:val="0"/>
          <w:iCs w:val="0"/>
          <w:sz w:val="24"/>
          <w:szCs w:val="24"/>
          <w:lang w:val="el-GR" w:eastAsia="el-GR"/>
        </w:rPr>
        <w:t xml:space="preserve"> </w:t>
      </w:r>
      <w:r w:rsidRPr="00AA5AEA">
        <w:rPr>
          <w:rFonts w:asciiTheme="majorHAnsi" w:eastAsia="Times New Roman" w:hAnsiTheme="majorHAnsi" w:cs="Arial"/>
          <w:b/>
          <w:i w:val="0"/>
          <w:iCs w:val="0"/>
          <w:sz w:val="24"/>
          <w:szCs w:val="24"/>
          <w:lang w:val="el-GR" w:eastAsia="el-GR"/>
        </w:rPr>
        <w:t>ΕΤΟΣ 2017</w:t>
      </w:r>
      <w:r w:rsidR="00AA5AEA" w:rsidRPr="00AA5AEA">
        <w:rPr>
          <w:rFonts w:asciiTheme="majorHAnsi" w:eastAsia="Times New Roman" w:hAnsiTheme="majorHAnsi" w:cs="Arial"/>
          <w:b/>
          <w:i w:val="0"/>
          <w:iCs w:val="0"/>
          <w:sz w:val="24"/>
          <w:szCs w:val="24"/>
          <w:lang w:val="el-GR" w:eastAsia="el-GR"/>
        </w:rPr>
        <w:t xml:space="preserve"> </w:t>
      </w:r>
      <w:r w:rsidR="00AA5AEA" w:rsidRPr="00AA5AEA">
        <w:rPr>
          <w:rFonts w:asciiTheme="majorHAnsi" w:eastAsia="Times New Roman" w:hAnsiTheme="majorHAnsi" w:cs="Arial"/>
          <w:bCs/>
          <w:sz w:val="24"/>
          <w:szCs w:val="24"/>
          <w:lang w:val="el-GR" w:eastAsia="el-GR"/>
        </w:rPr>
        <w:t>(σε εκατομμύρια €)</w:t>
      </w:r>
    </w:p>
    <w:tbl>
      <w:tblPr>
        <w:tblW w:w="7513" w:type="dxa"/>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Δαπάνες Κοινωνικής Προστασίας με το Σύστημα Esspros  (σε εκατομμύρια €) -ΕΤΟΣ 2017"/>
        <w:tblDescription w:val="9.133, ήτοι 20,4% στο σύνολο δαπνών&#10;2.658, ήτοι 5,9% στο σύνολο δαπνών&#10;23.881, ήτοι 53,2% στο σύνολο δαπνών&#10;4.321, ήτοι 9,6% στο σύνολο δαπνών&#10;2.539, ήτοι 5,7% στο σύνολο δαπνών&#10;1.662, ήτοι 3,7% στο σύνολο δαπνών&#10;663, ήτοι 1,5% στο σύνολο δαπνών&#10;44.857, ήτοι 100,0% στο σύνολο δαπνών"/>
      </w:tblPr>
      <w:tblGrid>
        <w:gridCol w:w="2960"/>
        <w:gridCol w:w="1718"/>
        <w:gridCol w:w="2835"/>
      </w:tblGrid>
      <w:tr w:rsidR="009F1F34" w:rsidRPr="004A6D4E" w14:paraId="1FF03546" w14:textId="77777777" w:rsidTr="00AA5AEA">
        <w:trPr>
          <w:trHeight w:val="527"/>
        </w:trPr>
        <w:tc>
          <w:tcPr>
            <w:tcW w:w="2960" w:type="dxa"/>
            <w:tcBorders>
              <w:top w:val="nil"/>
              <w:bottom w:val="single" w:sz="18" w:space="0" w:color="D9D9D9" w:themeColor="background1" w:themeShade="D9"/>
            </w:tcBorders>
            <w:shd w:val="clear" w:color="auto" w:fill="auto"/>
            <w:noWrap/>
            <w:vAlign w:val="bottom"/>
            <w:hideMark/>
          </w:tcPr>
          <w:p w14:paraId="643842C2" w14:textId="77777777" w:rsidR="009F1F34" w:rsidRPr="009F1F34" w:rsidRDefault="009F1F34" w:rsidP="009F1F34">
            <w:pPr>
              <w:spacing w:after="0" w:line="240" w:lineRule="auto"/>
              <w:rPr>
                <w:rFonts w:ascii="Times New Roman" w:eastAsia="Times New Roman" w:hAnsi="Times New Roman" w:cs="Times New Roman"/>
                <w:sz w:val="24"/>
                <w:szCs w:val="24"/>
                <w:lang w:val="el-GR"/>
              </w:rPr>
            </w:pPr>
          </w:p>
        </w:tc>
        <w:tc>
          <w:tcPr>
            <w:tcW w:w="1718" w:type="dxa"/>
            <w:tcBorders>
              <w:top w:val="nil"/>
              <w:bottom w:val="single" w:sz="18" w:space="0" w:color="D9D9D9" w:themeColor="background1" w:themeShade="D9"/>
            </w:tcBorders>
            <w:shd w:val="clear" w:color="auto" w:fill="auto"/>
            <w:vAlign w:val="bottom"/>
            <w:hideMark/>
          </w:tcPr>
          <w:p w14:paraId="5D65EBEF" w14:textId="77777777" w:rsidR="009F1F34" w:rsidRPr="009F1F34" w:rsidRDefault="009F1F34" w:rsidP="00F51BFB">
            <w:pPr>
              <w:spacing w:after="0" w:line="240" w:lineRule="auto"/>
              <w:jc w:val="right"/>
              <w:rPr>
                <w:rFonts w:asciiTheme="majorHAnsi" w:eastAsia="Times New Roman" w:hAnsiTheme="majorHAnsi" w:cs="Arial"/>
                <w:color w:val="323E4F" w:themeColor="text2" w:themeShade="BF"/>
                <w:sz w:val="21"/>
                <w:szCs w:val="21"/>
                <w:lang w:eastAsia="el-GR"/>
              </w:rPr>
            </w:pPr>
            <w:r w:rsidRPr="009F1F34">
              <w:rPr>
                <w:rFonts w:asciiTheme="majorHAnsi" w:eastAsia="Times New Roman" w:hAnsiTheme="majorHAnsi" w:cs="Arial"/>
                <w:color w:val="323E4F" w:themeColor="text2" w:themeShade="BF"/>
                <w:sz w:val="21"/>
                <w:szCs w:val="21"/>
                <w:lang w:eastAsia="el-GR"/>
              </w:rPr>
              <w:t>ΔΑΠΑΝΕΣ ΑΝΑ ΛΕΙΤΟΥΡΓΙΑ</w:t>
            </w:r>
          </w:p>
        </w:tc>
        <w:tc>
          <w:tcPr>
            <w:tcW w:w="2835" w:type="dxa"/>
            <w:tcBorders>
              <w:top w:val="nil"/>
              <w:bottom w:val="single" w:sz="18" w:space="0" w:color="D9D9D9" w:themeColor="background1" w:themeShade="D9"/>
            </w:tcBorders>
            <w:shd w:val="clear" w:color="auto" w:fill="auto"/>
            <w:vAlign w:val="bottom"/>
            <w:hideMark/>
          </w:tcPr>
          <w:p w14:paraId="2A191966" w14:textId="77777777" w:rsidR="009F1F34" w:rsidRPr="004A6D4E" w:rsidRDefault="009F1F34" w:rsidP="00F51BFB">
            <w:pPr>
              <w:spacing w:after="0" w:line="240" w:lineRule="auto"/>
              <w:jc w:val="right"/>
              <w:rPr>
                <w:rFonts w:asciiTheme="majorHAnsi" w:eastAsia="Times New Roman" w:hAnsiTheme="majorHAnsi" w:cs="Arial"/>
                <w:color w:val="323E4F" w:themeColor="text2" w:themeShade="BF"/>
                <w:sz w:val="21"/>
                <w:szCs w:val="21"/>
                <w:lang w:val="el-GR" w:eastAsia="el-GR"/>
              </w:rPr>
            </w:pPr>
            <w:r w:rsidRPr="004A6D4E">
              <w:rPr>
                <w:rFonts w:asciiTheme="majorHAnsi" w:eastAsia="Times New Roman" w:hAnsiTheme="majorHAnsi" w:cs="Arial"/>
                <w:color w:val="323E4F" w:themeColor="text2" w:themeShade="BF"/>
                <w:sz w:val="21"/>
                <w:szCs w:val="21"/>
                <w:lang w:val="el-GR" w:eastAsia="el-GR"/>
              </w:rPr>
              <w:t xml:space="preserve">% ΣΤΟ ΣΥΝΟΛΟ ΔΑΠΑΝΩΝ ΚΟΙΝΩΝΙΚΗΣ ΠΡΟΣΤΑΣΙΑΣ </w:t>
            </w:r>
          </w:p>
        </w:tc>
      </w:tr>
      <w:tr w:rsidR="009F1F34" w:rsidRPr="009F1F34" w14:paraId="5911A1BD" w14:textId="77777777" w:rsidTr="00AA5AEA">
        <w:trPr>
          <w:trHeight w:val="264"/>
        </w:trPr>
        <w:tc>
          <w:tcPr>
            <w:tcW w:w="2960" w:type="dxa"/>
            <w:tcBorders>
              <w:top w:val="single" w:sz="18" w:space="0" w:color="D9D9D9" w:themeColor="background1" w:themeShade="D9"/>
            </w:tcBorders>
            <w:shd w:val="clear" w:color="auto" w:fill="auto"/>
            <w:noWrap/>
            <w:vAlign w:val="bottom"/>
            <w:hideMark/>
          </w:tcPr>
          <w:p w14:paraId="5D388263"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Ασθένεια</w:t>
            </w:r>
          </w:p>
        </w:tc>
        <w:tc>
          <w:tcPr>
            <w:tcW w:w="1718" w:type="dxa"/>
            <w:tcBorders>
              <w:top w:val="single" w:sz="18" w:space="0" w:color="D9D9D9" w:themeColor="background1" w:themeShade="D9"/>
            </w:tcBorders>
            <w:shd w:val="clear" w:color="auto" w:fill="auto"/>
            <w:noWrap/>
            <w:vAlign w:val="bottom"/>
            <w:hideMark/>
          </w:tcPr>
          <w:p w14:paraId="5BEF0680" w14:textId="51E23B84"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9</w:t>
            </w:r>
            <w:r w:rsidR="00F51BFB">
              <w:rPr>
                <w:rFonts w:eastAsia="Times New Roman" w:cstheme="minorHAnsi"/>
                <w:b/>
                <w:bCs/>
                <w:sz w:val="23"/>
                <w:szCs w:val="23"/>
                <w:lang w:val="el-GR"/>
              </w:rPr>
              <w:t>.</w:t>
            </w:r>
            <w:r w:rsidRPr="009F1F34">
              <w:rPr>
                <w:rFonts w:eastAsia="Times New Roman" w:cstheme="minorHAnsi"/>
                <w:b/>
                <w:bCs/>
                <w:sz w:val="23"/>
                <w:szCs w:val="23"/>
              </w:rPr>
              <w:t>133</w:t>
            </w:r>
          </w:p>
        </w:tc>
        <w:tc>
          <w:tcPr>
            <w:tcW w:w="2835" w:type="dxa"/>
            <w:tcBorders>
              <w:top w:val="single" w:sz="18" w:space="0" w:color="D9D9D9" w:themeColor="background1" w:themeShade="D9"/>
            </w:tcBorders>
            <w:shd w:val="clear" w:color="auto" w:fill="auto"/>
            <w:vAlign w:val="bottom"/>
            <w:hideMark/>
          </w:tcPr>
          <w:p w14:paraId="7BD943F9"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20,4%</w:t>
            </w:r>
          </w:p>
        </w:tc>
      </w:tr>
      <w:tr w:rsidR="009F1F34" w:rsidRPr="009F1F34" w14:paraId="0830B886" w14:textId="77777777" w:rsidTr="00AA5AEA">
        <w:trPr>
          <w:trHeight w:val="264"/>
        </w:trPr>
        <w:tc>
          <w:tcPr>
            <w:tcW w:w="2960" w:type="dxa"/>
            <w:shd w:val="clear" w:color="auto" w:fill="auto"/>
            <w:noWrap/>
            <w:vAlign w:val="bottom"/>
            <w:hideMark/>
          </w:tcPr>
          <w:p w14:paraId="1476BA49"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Αναπηρία</w:t>
            </w:r>
          </w:p>
        </w:tc>
        <w:tc>
          <w:tcPr>
            <w:tcW w:w="1718" w:type="dxa"/>
            <w:shd w:val="clear" w:color="auto" w:fill="auto"/>
            <w:noWrap/>
            <w:vAlign w:val="bottom"/>
            <w:hideMark/>
          </w:tcPr>
          <w:p w14:paraId="29D54834" w14:textId="6F1216EF"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2</w:t>
            </w:r>
            <w:r w:rsidR="00F51BFB">
              <w:rPr>
                <w:rFonts w:eastAsia="Times New Roman" w:cstheme="minorHAnsi"/>
                <w:b/>
                <w:bCs/>
                <w:sz w:val="23"/>
                <w:szCs w:val="23"/>
                <w:lang w:val="el-GR"/>
              </w:rPr>
              <w:t>.</w:t>
            </w:r>
            <w:r w:rsidRPr="009F1F34">
              <w:rPr>
                <w:rFonts w:eastAsia="Times New Roman" w:cstheme="minorHAnsi"/>
                <w:b/>
                <w:bCs/>
                <w:sz w:val="23"/>
                <w:szCs w:val="23"/>
              </w:rPr>
              <w:t>658</w:t>
            </w:r>
          </w:p>
        </w:tc>
        <w:tc>
          <w:tcPr>
            <w:tcW w:w="2835" w:type="dxa"/>
            <w:shd w:val="clear" w:color="auto" w:fill="auto"/>
            <w:vAlign w:val="bottom"/>
            <w:hideMark/>
          </w:tcPr>
          <w:p w14:paraId="763FC9E1"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5,9%</w:t>
            </w:r>
          </w:p>
        </w:tc>
      </w:tr>
      <w:tr w:rsidR="009F1F34" w:rsidRPr="009F1F34" w14:paraId="13B1E3B0" w14:textId="77777777" w:rsidTr="00AA5AEA">
        <w:trPr>
          <w:trHeight w:val="264"/>
        </w:trPr>
        <w:tc>
          <w:tcPr>
            <w:tcW w:w="2960" w:type="dxa"/>
            <w:shd w:val="clear" w:color="auto" w:fill="auto"/>
            <w:noWrap/>
            <w:vAlign w:val="bottom"/>
            <w:hideMark/>
          </w:tcPr>
          <w:p w14:paraId="5023A2DA"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Γήρας</w:t>
            </w:r>
          </w:p>
        </w:tc>
        <w:tc>
          <w:tcPr>
            <w:tcW w:w="1718" w:type="dxa"/>
            <w:shd w:val="clear" w:color="auto" w:fill="auto"/>
            <w:noWrap/>
            <w:vAlign w:val="bottom"/>
            <w:hideMark/>
          </w:tcPr>
          <w:p w14:paraId="022B6B8D" w14:textId="2406C2D1"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23</w:t>
            </w:r>
            <w:r w:rsidR="00F51BFB">
              <w:rPr>
                <w:rFonts w:eastAsia="Times New Roman" w:cstheme="minorHAnsi"/>
                <w:b/>
                <w:bCs/>
                <w:sz w:val="23"/>
                <w:szCs w:val="23"/>
                <w:lang w:val="el-GR"/>
              </w:rPr>
              <w:t>.</w:t>
            </w:r>
            <w:r w:rsidRPr="009F1F34">
              <w:rPr>
                <w:rFonts w:eastAsia="Times New Roman" w:cstheme="minorHAnsi"/>
                <w:b/>
                <w:bCs/>
                <w:sz w:val="23"/>
                <w:szCs w:val="23"/>
              </w:rPr>
              <w:t>881</w:t>
            </w:r>
          </w:p>
        </w:tc>
        <w:tc>
          <w:tcPr>
            <w:tcW w:w="2835" w:type="dxa"/>
            <w:shd w:val="clear" w:color="auto" w:fill="auto"/>
            <w:vAlign w:val="bottom"/>
            <w:hideMark/>
          </w:tcPr>
          <w:p w14:paraId="56C9B858"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53,2%</w:t>
            </w:r>
          </w:p>
        </w:tc>
      </w:tr>
      <w:tr w:rsidR="009F1F34" w:rsidRPr="009F1F34" w14:paraId="6A01282A" w14:textId="77777777" w:rsidTr="00AA5AEA">
        <w:trPr>
          <w:trHeight w:val="264"/>
        </w:trPr>
        <w:tc>
          <w:tcPr>
            <w:tcW w:w="2960" w:type="dxa"/>
            <w:shd w:val="clear" w:color="auto" w:fill="auto"/>
            <w:noWrap/>
            <w:vAlign w:val="bottom"/>
            <w:hideMark/>
          </w:tcPr>
          <w:p w14:paraId="2A7887A4"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Χηρεία</w:t>
            </w:r>
          </w:p>
        </w:tc>
        <w:tc>
          <w:tcPr>
            <w:tcW w:w="1718" w:type="dxa"/>
            <w:shd w:val="clear" w:color="auto" w:fill="auto"/>
            <w:noWrap/>
            <w:vAlign w:val="bottom"/>
            <w:hideMark/>
          </w:tcPr>
          <w:p w14:paraId="6CF87AF6" w14:textId="326C864C"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4</w:t>
            </w:r>
            <w:r w:rsidR="00F51BFB">
              <w:rPr>
                <w:rFonts w:eastAsia="Times New Roman" w:cstheme="minorHAnsi"/>
                <w:b/>
                <w:bCs/>
                <w:sz w:val="23"/>
                <w:szCs w:val="23"/>
                <w:lang w:val="el-GR"/>
              </w:rPr>
              <w:t>.</w:t>
            </w:r>
            <w:r w:rsidRPr="009F1F34">
              <w:rPr>
                <w:rFonts w:eastAsia="Times New Roman" w:cstheme="minorHAnsi"/>
                <w:b/>
                <w:bCs/>
                <w:sz w:val="23"/>
                <w:szCs w:val="23"/>
              </w:rPr>
              <w:t>321</w:t>
            </w:r>
          </w:p>
        </w:tc>
        <w:tc>
          <w:tcPr>
            <w:tcW w:w="2835" w:type="dxa"/>
            <w:shd w:val="clear" w:color="auto" w:fill="auto"/>
            <w:vAlign w:val="bottom"/>
            <w:hideMark/>
          </w:tcPr>
          <w:p w14:paraId="13922E26"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9,6%</w:t>
            </w:r>
          </w:p>
        </w:tc>
      </w:tr>
      <w:tr w:rsidR="009F1F34" w:rsidRPr="009F1F34" w14:paraId="5E463FF2" w14:textId="77777777" w:rsidTr="00AA5AEA">
        <w:trPr>
          <w:trHeight w:val="264"/>
        </w:trPr>
        <w:tc>
          <w:tcPr>
            <w:tcW w:w="2960" w:type="dxa"/>
            <w:shd w:val="clear" w:color="auto" w:fill="auto"/>
            <w:noWrap/>
            <w:vAlign w:val="bottom"/>
            <w:hideMark/>
          </w:tcPr>
          <w:p w14:paraId="496ED495"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Οικογένεια</w:t>
            </w:r>
          </w:p>
        </w:tc>
        <w:tc>
          <w:tcPr>
            <w:tcW w:w="1718" w:type="dxa"/>
            <w:shd w:val="clear" w:color="auto" w:fill="auto"/>
            <w:noWrap/>
            <w:vAlign w:val="bottom"/>
            <w:hideMark/>
          </w:tcPr>
          <w:p w14:paraId="3BDE459A" w14:textId="0868D832"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2</w:t>
            </w:r>
            <w:r w:rsidR="00F51BFB">
              <w:rPr>
                <w:rFonts w:eastAsia="Times New Roman" w:cstheme="minorHAnsi"/>
                <w:b/>
                <w:bCs/>
                <w:sz w:val="23"/>
                <w:szCs w:val="23"/>
                <w:lang w:val="el-GR"/>
              </w:rPr>
              <w:t>.</w:t>
            </w:r>
            <w:r w:rsidRPr="009F1F34">
              <w:rPr>
                <w:rFonts w:eastAsia="Times New Roman" w:cstheme="minorHAnsi"/>
                <w:b/>
                <w:bCs/>
                <w:sz w:val="23"/>
                <w:szCs w:val="23"/>
              </w:rPr>
              <w:t>539</w:t>
            </w:r>
          </w:p>
        </w:tc>
        <w:tc>
          <w:tcPr>
            <w:tcW w:w="2835" w:type="dxa"/>
            <w:shd w:val="clear" w:color="auto" w:fill="auto"/>
            <w:vAlign w:val="bottom"/>
            <w:hideMark/>
          </w:tcPr>
          <w:p w14:paraId="5920E6E2"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5,7%</w:t>
            </w:r>
          </w:p>
        </w:tc>
      </w:tr>
      <w:tr w:rsidR="009F1F34" w:rsidRPr="009F1F34" w14:paraId="1A3411EF" w14:textId="77777777" w:rsidTr="00AA5AEA">
        <w:trPr>
          <w:trHeight w:val="264"/>
        </w:trPr>
        <w:tc>
          <w:tcPr>
            <w:tcW w:w="2960" w:type="dxa"/>
            <w:shd w:val="clear" w:color="auto" w:fill="auto"/>
            <w:noWrap/>
            <w:vAlign w:val="bottom"/>
            <w:hideMark/>
          </w:tcPr>
          <w:p w14:paraId="48100A92"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Ανεργία</w:t>
            </w:r>
          </w:p>
        </w:tc>
        <w:tc>
          <w:tcPr>
            <w:tcW w:w="1718" w:type="dxa"/>
            <w:shd w:val="clear" w:color="auto" w:fill="auto"/>
            <w:noWrap/>
            <w:vAlign w:val="bottom"/>
            <w:hideMark/>
          </w:tcPr>
          <w:p w14:paraId="2A724CD8" w14:textId="393AADB0"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1</w:t>
            </w:r>
            <w:r w:rsidR="00F51BFB">
              <w:rPr>
                <w:rFonts w:eastAsia="Times New Roman" w:cstheme="minorHAnsi"/>
                <w:b/>
                <w:bCs/>
                <w:sz w:val="23"/>
                <w:szCs w:val="23"/>
                <w:lang w:val="el-GR"/>
              </w:rPr>
              <w:t>.</w:t>
            </w:r>
            <w:r w:rsidRPr="009F1F34">
              <w:rPr>
                <w:rFonts w:eastAsia="Times New Roman" w:cstheme="minorHAnsi"/>
                <w:b/>
                <w:bCs/>
                <w:sz w:val="23"/>
                <w:szCs w:val="23"/>
              </w:rPr>
              <w:t>662</w:t>
            </w:r>
          </w:p>
        </w:tc>
        <w:tc>
          <w:tcPr>
            <w:tcW w:w="2835" w:type="dxa"/>
            <w:shd w:val="clear" w:color="auto" w:fill="auto"/>
            <w:vAlign w:val="bottom"/>
            <w:hideMark/>
          </w:tcPr>
          <w:p w14:paraId="7DFAD115"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3,7%</w:t>
            </w:r>
          </w:p>
        </w:tc>
      </w:tr>
      <w:tr w:rsidR="009F1F34" w:rsidRPr="009F1F34" w14:paraId="694D995D" w14:textId="77777777" w:rsidTr="00AA5AEA">
        <w:trPr>
          <w:trHeight w:val="264"/>
        </w:trPr>
        <w:tc>
          <w:tcPr>
            <w:tcW w:w="2960" w:type="dxa"/>
            <w:tcBorders>
              <w:bottom w:val="single" w:sz="18" w:space="0" w:color="D9D9D9" w:themeColor="background1" w:themeShade="D9"/>
            </w:tcBorders>
            <w:shd w:val="clear" w:color="auto" w:fill="auto"/>
            <w:noWrap/>
            <w:vAlign w:val="bottom"/>
            <w:hideMark/>
          </w:tcPr>
          <w:p w14:paraId="5AA0C8AD"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Κοινωνικός αποκλεισμός</w:t>
            </w:r>
          </w:p>
        </w:tc>
        <w:tc>
          <w:tcPr>
            <w:tcW w:w="1718" w:type="dxa"/>
            <w:tcBorders>
              <w:bottom w:val="single" w:sz="18" w:space="0" w:color="D9D9D9" w:themeColor="background1" w:themeShade="D9"/>
            </w:tcBorders>
            <w:shd w:val="clear" w:color="auto" w:fill="auto"/>
            <w:noWrap/>
            <w:vAlign w:val="bottom"/>
            <w:hideMark/>
          </w:tcPr>
          <w:p w14:paraId="653F804B"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663</w:t>
            </w:r>
          </w:p>
        </w:tc>
        <w:tc>
          <w:tcPr>
            <w:tcW w:w="2835" w:type="dxa"/>
            <w:tcBorders>
              <w:bottom w:val="single" w:sz="18" w:space="0" w:color="D9D9D9" w:themeColor="background1" w:themeShade="D9"/>
            </w:tcBorders>
            <w:shd w:val="clear" w:color="auto" w:fill="auto"/>
            <w:vAlign w:val="bottom"/>
            <w:hideMark/>
          </w:tcPr>
          <w:p w14:paraId="5029A938"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1,5%</w:t>
            </w:r>
          </w:p>
        </w:tc>
      </w:tr>
      <w:tr w:rsidR="009F1F34" w:rsidRPr="009F1F34" w14:paraId="56703BBB" w14:textId="77777777" w:rsidTr="00AA5AEA">
        <w:trPr>
          <w:trHeight w:val="264"/>
        </w:trPr>
        <w:tc>
          <w:tcPr>
            <w:tcW w:w="2960" w:type="dxa"/>
            <w:tcBorders>
              <w:top w:val="single" w:sz="18" w:space="0" w:color="D9D9D9" w:themeColor="background1" w:themeShade="D9"/>
              <w:bottom w:val="nil"/>
            </w:tcBorders>
            <w:shd w:val="clear" w:color="auto" w:fill="auto"/>
            <w:noWrap/>
            <w:vAlign w:val="bottom"/>
            <w:hideMark/>
          </w:tcPr>
          <w:p w14:paraId="610184B0" w14:textId="77777777" w:rsidR="009F1F34" w:rsidRPr="009F1F34" w:rsidRDefault="009F1F34" w:rsidP="00F51BFB">
            <w:pPr>
              <w:spacing w:before="120" w:after="120" w:line="240" w:lineRule="auto"/>
              <w:jc w:val="right"/>
              <w:rPr>
                <w:rFonts w:asciiTheme="majorHAnsi" w:eastAsia="Times New Roman" w:hAnsiTheme="majorHAnsi" w:cs="Arial"/>
                <w:b/>
                <w:bCs/>
                <w:color w:val="323E4F" w:themeColor="text2" w:themeShade="BF"/>
                <w:sz w:val="24"/>
                <w:szCs w:val="24"/>
                <w:lang w:val="el-GR" w:eastAsia="el-GR"/>
              </w:rPr>
            </w:pPr>
            <w:r w:rsidRPr="009F1F34">
              <w:rPr>
                <w:rFonts w:asciiTheme="majorHAnsi" w:eastAsia="Times New Roman" w:hAnsiTheme="majorHAnsi" w:cs="Arial"/>
                <w:b/>
                <w:bCs/>
                <w:color w:val="323E4F" w:themeColor="text2" w:themeShade="BF"/>
                <w:sz w:val="24"/>
                <w:szCs w:val="24"/>
                <w:lang w:val="el-GR" w:eastAsia="el-GR"/>
              </w:rPr>
              <w:t>Σύνολο</w:t>
            </w:r>
          </w:p>
        </w:tc>
        <w:tc>
          <w:tcPr>
            <w:tcW w:w="1718" w:type="dxa"/>
            <w:tcBorders>
              <w:top w:val="single" w:sz="18" w:space="0" w:color="D9D9D9" w:themeColor="background1" w:themeShade="D9"/>
              <w:bottom w:val="nil"/>
            </w:tcBorders>
            <w:shd w:val="clear" w:color="auto" w:fill="auto"/>
            <w:noWrap/>
            <w:vAlign w:val="bottom"/>
            <w:hideMark/>
          </w:tcPr>
          <w:p w14:paraId="124C301A" w14:textId="1B260345"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44</w:t>
            </w:r>
            <w:r w:rsidR="00F51BFB">
              <w:rPr>
                <w:rFonts w:eastAsia="Times New Roman" w:cstheme="minorHAnsi"/>
                <w:b/>
                <w:bCs/>
                <w:sz w:val="23"/>
                <w:szCs w:val="23"/>
                <w:lang w:val="el-GR"/>
              </w:rPr>
              <w:t>.</w:t>
            </w:r>
            <w:r w:rsidRPr="009F1F34">
              <w:rPr>
                <w:rFonts w:eastAsia="Times New Roman" w:cstheme="minorHAnsi"/>
                <w:b/>
                <w:bCs/>
                <w:sz w:val="23"/>
                <w:szCs w:val="23"/>
              </w:rPr>
              <w:t>857</w:t>
            </w:r>
          </w:p>
        </w:tc>
        <w:tc>
          <w:tcPr>
            <w:tcW w:w="2835" w:type="dxa"/>
            <w:tcBorders>
              <w:top w:val="single" w:sz="18" w:space="0" w:color="D9D9D9" w:themeColor="background1" w:themeShade="D9"/>
              <w:bottom w:val="nil"/>
            </w:tcBorders>
            <w:shd w:val="clear" w:color="auto" w:fill="auto"/>
            <w:vAlign w:val="bottom"/>
            <w:hideMark/>
          </w:tcPr>
          <w:p w14:paraId="0FDE18F5" w14:textId="77777777" w:rsidR="009F1F34" w:rsidRPr="009F1F34" w:rsidRDefault="009F1F34" w:rsidP="00F51BFB">
            <w:pPr>
              <w:spacing w:before="120" w:after="120" w:line="240" w:lineRule="auto"/>
              <w:jc w:val="right"/>
              <w:rPr>
                <w:rFonts w:eastAsia="Times New Roman" w:cstheme="minorHAnsi"/>
                <w:b/>
                <w:bCs/>
                <w:sz w:val="23"/>
                <w:szCs w:val="23"/>
              </w:rPr>
            </w:pPr>
            <w:r w:rsidRPr="009F1F34">
              <w:rPr>
                <w:rFonts w:eastAsia="Times New Roman" w:cstheme="minorHAnsi"/>
                <w:b/>
                <w:bCs/>
                <w:sz w:val="23"/>
                <w:szCs w:val="23"/>
              </w:rPr>
              <w:t>100,0%</w:t>
            </w:r>
          </w:p>
        </w:tc>
      </w:tr>
    </w:tbl>
    <w:p w14:paraId="2F587F20" w14:textId="6714B823" w:rsidR="00F51BFB" w:rsidRPr="00AA21A6" w:rsidRDefault="00F51BFB" w:rsidP="00AA5AEA">
      <w:pPr>
        <w:pStyle w:val="aa"/>
        <w:spacing w:before="120" w:after="240"/>
        <w:ind w:right="992"/>
        <w:rPr>
          <w:lang w:val="el-GR"/>
        </w:rPr>
      </w:pPr>
      <w:r w:rsidRPr="00AA21A6">
        <w:rPr>
          <w:lang w:val="el-GR"/>
        </w:rPr>
        <w:t>ΠΗΓΗ: Ελληνική Στατιστική Αρχή,</w:t>
      </w:r>
      <w:r>
        <w:rPr>
          <w:lang w:val="el-GR"/>
        </w:rPr>
        <w:t xml:space="preserve"> </w:t>
      </w:r>
      <w:r w:rsidRPr="00AA21A6">
        <w:rPr>
          <w:lang w:val="el-GR"/>
        </w:rPr>
        <w:t>Ευρωπαϊκό Σύστημα Ολοκληρωμένων Στατιστικών Κοινωνικής Προστασίας (</w:t>
      </w:r>
      <w:r w:rsidRPr="00265D36">
        <w:t>ESSP</w:t>
      </w:r>
      <w:r>
        <w:t>ROS</w:t>
      </w:r>
      <w:r w:rsidRPr="00AA21A6">
        <w:rPr>
          <w:lang w:val="el-GR"/>
        </w:rPr>
        <w:t>).</w:t>
      </w:r>
    </w:p>
    <w:p w14:paraId="48F026A7" w14:textId="77777777" w:rsidR="00F51BFB" w:rsidRDefault="00F51BFB">
      <w:pPr>
        <w:rPr>
          <w:rFonts w:asciiTheme="majorHAnsi" w:eastAsiaTheme="majorEastAsia" w:hAnsiTheme="majorHAnsi" w:cstheme="majorHAnsi"/>
          <w:b/>
          <w:sz w:val="32"/>
          <w:szCs w:val="32"/>
          <w:lang w:val="el-GR"/>
        </w:rPr>
      </w:pPr>
      <w:bookmarkStart w:id="6" w:name="_Toc53409343"/>
      <w:r>
        <w:rPr>
          <w:rFonts w:cstheme="majorHAnsi"/>
          <w:b/>
          <w:sz w:val="32"/>
          <w:szCs w:val="32"/>
          <w:lang w:val="el-GR"/>
        </w:rPr>
        <w:br w:type="page"/>
      </w:r>
    </w:p>
    <w:p w14:paraId="7BC8431B" w14:textId="2099D795" w:rsidR="00AA21A6" w:rsidRPr="00660C45" w:rsidRDefault="00AA21A6" w:rsidP="00660C45">
      <w:pPr>
        <w:pStyle w:val="2"/>
        <w:numPr>
          <w:ilvl w:val="1"/>
          <w:numId w:val="12"/>
        </w:numPr>
        <w:spacing w:before="0" w:after="200"/>
        <w:ind w:left="578" w:hanging="578"/>
        <w:rPr>
          <w:rFonts w:cstheme="majorHAnsi"/>
          <w:b/>
          <w:color w:val="auto"/>
          <w:sz w:val="32"/>
          <w:szCs w:val="32"/>
          <w:lang w:val="el-GR"/>
        </w:rPr>
      </w:pPr>
      <w:r w:rsidRPr="00660C45">
        <w:rPr>
          <w:rFonts w:cstheme="majorHAnsi"/>
          <w:b/>
          <w:color w:val="auto"/>
          <w:sz w:val="32"/>
          <w:szCs w:val="32"/>
          <w:lang w:val="el-GR"/>
        </w:rPr>
        <w:lastRenderedPageBreak/>
        <w:t>Διαχρονική εξέλιξη δαπανών κοινωνικής προστασίας για την αναπηρία το διάστημα 2008-2017</w:t>
      </w:r>
      <w:bookmarkEnd w:id="6"/>
    </w:p>
    <w:p w14:paraId="7FCE2F6B" w14:textId="2250E060" w:rsidR="00AA21A6" w:rsidRPr="00AA21A6" w:rsidRDefault="00AA21A6" w:rsidP="00AA21A6">
      <w:pPr>
        <w:ind w:right="142"/>
        <w:jc w:val="both"/>
        <w:rPr>
          <w:sz w:val="24"/>
          <w:szCs w:val="24"/>
          <w:lang w:val="el-GR"/>
        </w:rPr>
      </w:pPr>
      <w:r w:rsidRPr="00AA21A6">
        <w:rPr>
          <w:sz w:val="24"/>
          <w:szCs w:val="24"/>
          <w:lang w:val="el-GR"/>
        </w:rPr>
        <w:t>Η διαχρ</w:t>
      </w:r>
      <w:r w:rsidR="000401D1">
        <w:rPr>
          <w:sz w:val="24"/>
          <w:szCs w:val="24"/>
          <w:lang w:val="el-GR"/>
        </w:rPr>
        <w:t>ονική ανάλυση των στοιχείων φανερώνει</w:t>
      </w:r>
      <w:r w:rsidRPr="00AA21A6">
        <w:rPr>
          <w:sz w:val="24"/>
          <w:szCs w:val="24"/>
          <w:lang w:val="el-GR"/>
        </w:rPr>
        <w:t xml:space="preserve"> μια σταθερή τάση μείωσης των δαπανών κοινωνικής προστασίας για την αναπηρία,</w:t>
      </w:r>
      <w:r w:rsidR="008E7B49">
        <w:rPr>
          <w:sz w:val="24"/>
          <w:szCs w:val="24"/>
          <w:lang w:val="el-GR"/>
        </w:rPr>
        <w:t xml:space="preserve"> </w:t>
      </w:r>
      <w:r w:rsidRPr="00AA21A6">
        <w:rPr>
          <w:sz w:val="24"/>
          <w:szCs w:val="24"/>
          <w:lang w:val="el-GR"/>
        </w:rPr>
        <w:t>από το έτος 2011</w:t>
      </w:r>
      <w:r w:rsidR="008E7B49">
        <w:rPr>
          <w:sz w:val="24"/>
          <w:szCs w:val="24"/>
          <w:lang w:val="el-GR"/>
        </w:rPr>
        <w:t xml:space="preserve"> </w:t>
      </w:r>
      <w:r w:rsidRPr="00AA21A6">
        <w:rPr>
          <w:sz w:val="24"/>
          <w:szCs w:val="24"/>
          <w:lang w:val="el-GR"/>
        </w:rPr>
        <w:t>έως και το 2017.</w:t>
      </w:r>
    </w:p>
    <w:p w14:paraId="23FE169B" w14:textId="20AA23A3" w:rsidR="00AA21A6" w:rsidRPr="00AA21A6" w:rsidRDefault="00AA21A6" w:rsidP="00AA21A6">
      <w:pPr>
        <w:ind w:right="142"/>
        <w:jc w:val="both"/>
        <w:rPr>
          <w:b/>
          <w:lang w:val="el-GR"/>
        </w:rPr>
      </w:pPr>
      <w:r w:rsidRPr="00AA21A6">
        <w:rPr>
          <w:sz w:val="24"/>
          <w:szCs w:val="24"/>
          <w:lang w:val="el-GR"/>
        </w:rPr>
        <w:t xml:space="preserve">Υπολογίζοντας αθροιστικά τις σταδιακές περικοπές που υπέστη η συνολική δαπάνη για την κοινωνική προστασία </w:t>
      </w:r>
      <w:r w:rsidR="000401D1">
        <w:rPr>
          <w:sz w:val="24"/>
          <w:szCs w:val="24"/>
          <w:lang w:val="el-GR"/>
        </w:rPr>
        <w:t>των ατόμων με αναπηρία</w:t>
      </w:r>
      <w:r w:rsidR="00DE1303">
        <w:rPr>
          <w:sz w:val="24"/>
          <w:szCs w:val="24"/>
          <w:lang w:val="el-GR"/>
        </w:rPr>
        <w:t>,</w:t>
      </w:r>
      <w:r w:rsidRPr="00AA21A6">
        <w:rPr>
          <w:sz w:val="24"/>
          <w:szCs w:val="24"/>
          <w:lang w:val="el-GR"/>
        </w:rPr>
        <w:t xml:space="preserve"> μεταξύ των ετών 2010 και 2017, διαπιστώνεται </w:t>
      </w:r>
      <w:r w:rsidRPr="00DE1303">
        <w:rPr>
          <w:b/>
          <w:sz w:val="24"/>
          <w:szCs w:val="24"/>
          <w:lang w:val="el-GR"/>
        </w:rPr>
        <w:t>συνολική μείωση της τάξεως του 28%</w:t>
      </w:r>
      <w:r w:rsidRPr="00AA21A6">
        <w:rPr>
          <w:sz w:val="24"/>
          <w:szCs w:val="24"/>
          <w:lang w:val="el-GR"/>
        </w:rPr>
        <w:t>, όταν το ύψος των περικοπών στο σύνολο των δαπανών για κοινωνική προστασία ανέρχεται στο 22%.</w:t>
      </w:r>
    </w:p>
    <w:p w14:paraId="416B8B3C" w14:textId="77777777" w:rsidR="00AA5AEA" w:rsidRPr="00AA5AEA" w:rsidRDefault="00AA21A6" w:rsidP="00AA5AEA">
      <w:pPr>
        <w:pStyle w:val="aa"/>
        <w:widowControl w:val="0"/>
        <w:spacing w:before="240" w:after="120"/>
        <w:rPr>
          <w:rFonts w:asciiTheme="majorHAnsi" w:hAnsiTheme="majorHAnsi"/>
          <w:b/>
          <w:i w:val="0"/>
          <w:iCs w:val="0"/>
          <w:sz w:val="24"/>
          <w:szCs w:val="24"/>
          <w:lang w:val="el-GR"/>
        </w:rPr>
      </w:pPr>
      <w:r w:rsidRPr="00AA5AEA">
        <w:rPr>
          <w:rFonts w:asciiTheme="majorHAnsi" w:hAnsiTheme="majorHAnsi"/>
          <w:b/>
          <w:i w:val="0"/>
          <w:iCs w:val="0"/>
          <w:sz w:val="24"/>
          <w:szCs w:val="24"/>
          <w:lang w:val="el-GR"/>
        </w:rPr>
        <w:t xml:space="preserve">Γράφημα </w:t>
      </w:r>
      <w:r w:rsidRPr="00AA5AEA">
        <w:rPr>
          <w:rFonts w:asciiTheme="majorHAnsi" w:hAnsiTheme="majorHAnsi"/>
          <w:b/>
          <w:i w:val="0"/>
          <w:iCs w:val="0"/>
          <w:sz w:val="24"/>
          <w:szCs w:val="24"/>
          <w:lang w:val="el-GR"/>
        </w:rPr>
        <w:fldChar w:fldCharType="begin"/>
      </w:r>
      <w:r w:rsidRPr="00AA5AEA">
        <w:rPr>
          <w:rFonts w:asciiTheme="majorHAnsi" w:hAnsiTheme="majorHAnsi"/>
          <w:b/>
          <w:i w:val="0"/>
          <w:iCs w:val="0"/>
          <w:sz w:val="24"/>
          <w:szCs w:val="24"/>
          <w:lang w:val="el-GR"/>
        </w:rPr>
        <w:instrText xml:space="preserve"> SEQ Γράφημα \* ARABIC </w:instrText>
      </w:r>
      <w:r w:rsidRPr="00AA5AEA">
        <w:rPr>
          <w:rFonts w:asciiTheme="majorHAnsi" w:hAnsiTheme="majorHAnsi"/>
          <w:b/>
          <w:i w:val="0"/>
          <w:iCs w:val="0"/>
          <w:sz w:val="24"/>
          <w:szCs w:val="24"/>
          <w:lang w:val="el-GR"/>
        </w:rPr>
        <w:fldChar w:fldCharType="separate"/>
      </w:r>
      <w:r w:rsidR="00DE0303" w:rsidRPr="00AA5AEA">
        <w:rPr>
          <w:rFonts w:asciiTheme="majorHAnsi" w:hAnsiTheme="majorHAnsi"/>
          <w:b/>
          <w:i w:val="0"/>
          <w:iCs w:val="0"/>
          <w:sz w:val="24"/>
          <w:szCs w:val="24"/>
          <w:lang w:val="el-GR"/>
        </w:rPr>
        <w:t>4</w:t>
      </w:r>
      <w:r w:rsidRPr="00AA5AEA">
        <w:rPr>
          <w:rFonts w:asciiTheme="majorHAnsi" w:hAnsiTheme="majorHAnsi"/>
          <w:b/>
          <w:i w:val="0"/>
          <w:iCs w:val="0"/>
          <w:sz w:val="24"/>
          <w:szCs w:val="24"/>
          <w:lang w:val="el-GR"/>
        </w:rPr>
        <w:fldChar w:fldCharType="end"/>
      </w:r>
      <w:r w:rsidRPr="00AA5AEA">
        <w:rPr>
          <w:rFonts w:asciiTheme="majorHAnsi" w:hAnsiTheme="majorHAnsi"/>
          <w:b/>
          <w:i w:val="0"/>
          <w:iCs w:val="0"/>
          <w:sz w:val="24"/>
          <w:szCs w:val="24"/>
          <w:lang w:val="el-GR"/>
        </w:rPr>
        <w:t xml:space="preserve">: ΔΙΑΧΡΟΝΙΚΗ ΕΞΕΛΙΞΗ ΔΑΠΑΝΩΝ ΓΙΑ ΠΑΡΟΧΕΣ ΚΟΙΝΩΝΙΚΗΣ ΠΡΟΣΤΑΣΙΑΣ ΓΙΑ ΤΗΝ ΑΝΑΠΗΡΙΑ </w:t>
      </w:r>
      <w:r w:rsidRPr="00AA5AEA">
        <w:rPr>
          <w:rFonts w:asciiTheme="majorHAnsi" w:hAnsiTheme="majorHAnsi"/>
          <w:bCs/>
          <w:sz w:val="24"/>
          <w:szCs w:val="24"/>
          <w:lang w:val="el-GR"/>
        </w:rPr>
        <w:t>(σε εκατομμύρια €)</w:t>
      </w:r>
    </w:p>
    <w:p w14:paraId="12312C85" w14:textId="000E298A" w:rsidR="00AA21A6" w:rsidRPr="00AA21A6" w:rsidRDefault="00AA21A6" w:rsidP="00AA21A6">
      <w:pPr>
        <w:pStyle w:val="aa"/>
        <w:keepNext/>
        <w:ind w:right="142"/>
        <w:jc w:val="both"/>
        <w:rPr>
          <w:lang w:val="el-GR"/>
        </w:rPr>
      </w:pPr>
      <w:r>
        <w:rPr>
          <w:noProof/>
          <w:lang w:val="el-GR" w:eastAsia="el-GR"/>
        </w:rPr>
        <w:drawing>
          <wp:inline distT="0" distB="0" distL="0" distR="0" wp14:anchorId="401DF128" wp14:editId="57E987CC">
            <wp:extent cx="5943600" cy="3268980"/>
            <wp:effectExtent l="0" t="0" r="0" b="7620"/>
            <wp:docPr id="30" name="Γράφημα 30" descr="3.334 το 2008.&#10;3.576 το 2009.&#10;3.673 το 2010.&#10;3.615 το 2011.&#10;3.361 το 2012.&#10;2.979 το 2013.&#10;2.938 το 2014.&#10;2.921 το 2015.&#10;2.691 το 2016.&#10;2.658 το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8594F4" w14:textId="655EC917" w:rsidR="00AA21A6" w:rsidRPr="00F36C04" w:rsidRDefault="00AA21A6" w:rsidP="004F338E">
      <w:pPr>
        <w:pStyle w:val="aa"/>
        <w:ind w:right="142"/>
        <w:jc w:val="right"/>
        <w:rPr>
          <w:lang w:val="el-GR"/>
        </w:rPr>
      </w:pPr>
      <w:r w:rsidRPr="00AA21A6">
        <w:rPr>
          <w:lang w:val="el-GR"/>
        </w:rPr>
        <w:t>ΠΗΓΗ: Ελληνική Στατιστική Αρχή,</w:t>
      </w:r>
      <w:r w:rsidR="008E7B49">
        <w:rPr>
          <w:lang w:val="el-GR"/>
        </w:rPr>
        <w:t xml:space="preserve"> </w:t>
      </w:r>
      <w:r w:rsidRPr="00AA21A6">
        <w:rPr>
          <w:lang w:val="el-GR"/>
        </w:rPr>
        <w:t>Ευρωπαϊκό Σύστημα Ολοκληρωμένων Στατιστικών Κοινωνικής Προστασίας (</w:t>
      </w:r>
      <w:r w:rsidRPr="00265D36">
        <w:t>ESSP</w:t>
      </w:r>
      <w:r>
        <w:t>ROS</w:t>
      </w:r>
      <w:r w:rsidRPr="00AA21A6">
        <w:rPr>
          <w:lang w:val="el-GR"/>
        </w:rPr>
        <w:t>)</w:t>
      </w:r>
      <w:r w:rsidR="00AA5AEA">
        <w:rPr>
          <w:lang w:val="el-GR"/>
        </w:rPr>
        <w:br/>
      </w:r>
      <w:r w:rsidR="00AA5AEA" w:rsidRPr="00AA21A6">
        <w:rPr>
          <w:lang w:val="el-GR"/>
        </w:rPr>
        <w:t>ΕΠΕΞΕΡΓΑΣΙΑ</w:t>
      </w:r>
      <w:r w:rsidRPr="00AA21A6">
        <w:rPr>
          <w:lang w:val="el-GR"/>
        </w:rPr>
        <w:t xml:space="preserve">: </w:t>
      </w:r>
      <w:r w:rsidR="00F36C04">
        <w:rPr>
          <w:lang w:val="el-GR"/>
        </w:rPr>
        <w:t>Παρατηρητήριο</w:t>
      </w:r>
      <w:r w:rsidR="00F36C04" w:rsidRPr="00F36C04">
        <w:rPr>
          <w:lang w:val="el-GR"/>
        </w:rPr>
        <w:t xml:space="preserve"> </w:t>
      </w:r>
      <w:r w:rsidR="00F36C04">
        <w:rPr>
          <w:lang w:val="el-GR"/>
        </w:rPr>
        <w:t>Θεμάτων</w:t>
      </w:r>
      <w:r w:rsidR="00F36C04" w:rsidRPr="00F36C04">
        <w:rPr>
          <w:lang w:val="el-GR"/>
        </w:rPr>
        <w:t xml:space="preserve"> </w:t>
      </w:r>
      <w:r w:rsidR="00F36C04">
        <w:rPr>
          <w:lang w:val="el-GR"/>
        </w:rPr>
        <w:t>Αναπηρίας</w:t>
      </w:r>
      <w:r w:rsidR="00F36C04" w:rsidRPr="00F36C04">
        <w:rPr>
          <w:lang w:val="el-GR"/>
        </w:rPr>
        <w:t>-</w:t>
      </w:r>
      <w:r w:rsidR="00F36C04">
        <w:rPr>
          <w:lang w:val="el-GR"/>
        </w:rPr>
        <w:t>Ε</w:t>
      </w:r>
      <w:r w:rsidR="00F36C04" w:rsidRPr="00F36C04">
        <w:rPr>
          <w:lang w:val="el-GR"/>
        </w:rPr>
        <w:t>.</w:t>
      </w:r>
      <w:r w:rsidR="00F36C04">
        <w:rPr>
          <w:lang w:val="el-GR"/>
        </w:rPr>
        <w:t>Σ</w:t>
      </w:r>
      <w:r w:rsidR="00F36C04" w:rsidRPr="00F36C04">
        <w:rPr>
          <w:lang w:val="el-GR"/>
        </w:rPr>
        <w:t>.</w:t>
      </w:r>
      <w:r w:rsidR="00F36C04">
        <w:rPr>
          <w:lang w:val="el-GR"/>
        </w:rPr>
        <w:t>Α</w:t>
      </w:r>
      <w:r w:rsidR="00F36C04" w:rsidRPr="00F36C04">
        <w:rPr>
          <w:lang w:val="el-GR"/>
        </w:rPr>
        <w:t>.</w:t>
      </w:r>
      <w:r w:rsidR="00F36C04">
        <w:rPr>
          <w:lang w:val="el-GR"/>
        </w:rPr>
        <w:t>μεΑ</w:t>
      </w:r>
      <w:r w:rsidR="00F36C04" w:rsidRPr="00F36C04">
        <w:rPr>
          <w:lang w:val="el-GR"/>
        </w:rPr>
        <w:t>.</w:t>
      </w:r>
    </w:p>
    <w:p w14:paraId="1709B57B" w14:textId="77777777" w:rsidR="00AA5AEA" w:rsidRDefault="00AA5AEA" w:rsidP="00AA21A6">
      <w:pPr>
        <w:ind w:right="142"/>
        <w:jc w:val="both"/>
        <w:rPr>
          <w:sz w:val="24"/>
          <w:szCs w:val="24"/>
          <w:lang w:val="el-GR"/>
        </w:rPr>
      </w:pPr>
    </w:p>
    <w:p w14:paraId="1C3C812A" w14:textId="64ADBF86" w:rsidR="00AA21A6" w:rsidRPr="004A6D4E" w:rsidRDefault="002358EA" w:rsidP="00AA5AEA">
      <w:pPr>
        <w:ind w:right="142"/>
        <w:jc w:val="both"/>
        <w:rPr>
          <w:b/>
          <w:lang w:val="el-GR"/>
        </w:rPr>
      </w:pPr>
      <w:r>
        <w:rPr>
          <w:sz w:val="24"/>
          <w:szCs w:val="24"/>
          <w:lang w:val="el-GR"/>
        </w:rPr>
        <w:t>Η αθροιστική περικοπή</w:t>
      </w:r>
      <w:r w:rsidR="00AA21A6" w:rsidRPr="00AA21A6">
        <w:rPr>
          <w:sz w:val="24"/>
          <w:szCs w:val="24"/>
          <w:lang w:val="el-GR"/>
        </w:rPr>
        <w:t xml:space="preserve"> σχεδόν του 1/3 των δαπανών για κοινωνικές παροχές προς όφελος των ατόμων με αναπηρία, έλαβε χώρα κυρίως κατά τα έτη 2012-2013, αλλά και μεταξύ των ετών 2015 και 2016 (βλ. Πίνακα 2).</w:t>
      </w:r>
    </w:p>
    <w:p w14:paraId="5833F0A3" w14:textId="203AF092" w:rsidR="00AA21A6" w:rsidRPr="00AA21A6" w:rsidRDefault="00AA21A6" w:rsidP="00AA21A6">
      <w:pPr>
        <w:pStyle w:val="aa"/>
        <w:keepNext/>
        <w:ind w:right="142"/>
        <w:jc w:val="both"/>
        <w:rPr>
          <w:rFonts w:asciiTheme="majorHAnsi" w:eastAsia="Times New Roman" w:hAnsiTheme="majorHAnsi" w:cs="Arial"/>
          <w:b/>
          <w:i w:val="0"/>
          <w:sz w:val="24"/>
          <w:szCs w:val="24"/>
          <w:lang w:val="el-GR" w:eastAsia="el-GR"/>
        </w:rPr>
      </w:pPr>
      <w:r w:rsidRPr="00AA21A6">
        <w:rPr>
          <w:rFonts w:asciiTheme="majorHAnsi" w:eastAsia="Times New Roman" w:hAnsiTheme="majorHAnsi" w:cs="Arial"/>
          <w:b/>
          <w:i w:val="0"/>
          <w:sz w:val="24"/>
          <w:szCs w:val="24"/>
          <w:lang w:val="el-GR" w:eastAsia="el-GR"/>
        </w:rPr>
        <w:lastRenderedPageBreak/>
        <w:t xml:space="preserve">Πίνακας </w:t>
      </w:r>
      <w:r w:rsidRPr="003760B1">
        <w:rPr>
          <w:rFonts w:asciiTheme="majorHAnsi" w:eastAsia="Times New Roman" w:hAnsiTheme="majorHAnsi" w:cs="Arial"/>
          <w:b/>
          <w:i w:val="0"/>
          <w:sz w:val="24"/>
          <w:szCs w:val="24"/>
          <w:lang w:eastAsia="el-GR"/>
        </w:rPr>
        <w:fldChar w:fldCharType="begin"/>
      </w:r>
      <w:r w:rsidRPr="00AA21A6">
        <w:rPr>
          <w:rFonts w:asciiTheme="majorHAnsi" w:eastAsia="Times New Roman" w:hAnsiTheme="majorHAnsi" w:cs="Arial"/>
          <w:b/>
          <w:i w:val="0"/>
          <w:sz w:val="24"/>
          <w:szCs w:val="24"/>
          <w:lang w:val="el-GR" w:eastAsia="el-GR"/>
        </w:rPr>
        <w:instrText xml:space="preserve"> </w:instrText>
      </w:r>
      <w:r w:rsidRPr="003760B1">
        <w:rPr>
          <w:rFonts w:asciiTheme="majorHAnsi" w:eastAsia="Times New Roman" w:hAnsiTheme="majorHAnsi" w:cs="Arial"/>
          <w:b/>
          <w:i w:val="0"/>
          <w:sz w:val="24"/>
          <w:szCs w:val="24"/>
          <w:lang w:eastAsia="el-GR"/>
        </w:rPr>
        <w:instrText>SEQ</w:instrText>
      </w:r>
      <w:r w:rsidRPr="00AA21A6">
        <w:rPr>
          <w:rFonts w:asciiTheme="majorHAnsi" w:eastAsia="Times New Roman" w:hAnsiTheme="majorHAnsi" w:cs="Arial"/>
          <w:b/>
          <w:i w:val="0"/>
          <w:sz w:val="24"/>
          <w:szCs w:val="24"/>
          <w:lang w:val="el-GR" w:eastAsia="el-GR"/>
        </w:rPr>
        <w:instrText xml:space="preserve"> Πίνακας \* </w:instrText>
      </w:r>
      <w:r w:rsidRPr="003760B1">
        <w:rPr>
          <w:rFonts w:asciiTheme="majorHAnsi" w:eastAsia="Times New Roman" w:hAnsiTheme="majorHAnsi" w:cs="Arial"/>
          <w:b/>
          <w:i w:val="0"/>
          <w:sz w:val="24"/>
          <w:szCs w:val="24"/>
          <w:lang w:eastAsia="el-GR"/>
        </w:rPr>
        <w:instrText>ARABIC</w:instrText>
      </w:r>
      <w:r w:rsidRPr="00AA21A6">
        <w:rPr>
          <w:rFonts w:asciiTheme="majorHAnsi" w:eastAsia="Times New Roman" w:hAnsiTheme="majorHAnsi" w:cs="Arial"/>
          <w:b/>
          <w:i w:val="0"/>
          <w:sz w:val="24"/>
          <w:szCs w:val="24"/>
          <w:lang w:val="el-GR" w:eastAsia="el-GR"/>
        </w:rPr>
        <w:instrText xml:space="preserve"> </w:instrText>
      </w:r>
      <w:r w:rsidRPr="003760B1">
        <w:rPr>
          <w:rFonts w:asciiTheme="majorHAnsi" w:eastAsia="Times New Roman" w:hAnsiTheme="majorHAnsi" w:cs="Arial"/>
          <w:b/>
          <w:i w:val="0"/>
          <w:sz w:val="24"/>
          <w:szCs w:val="24"/>
          <w:lang w:eastAsia="el-GR"/>
        </w:rPr>
        <w:fldChar w:fldCharType="separate"/>
      </w:r>
      <w:r w:rsidR="00DE0303" w:rsidRPr="00DE0303">
        <w:rPr>
          <w:rFonts w:asciiTheme="majorHAnsi" w:eastAsia="Times New Roman" w:hAnsiTheme="majorHAnsi" w:cs="Arial"/>
          <w:b/>
          <w:i w:val="0"/>
          <w:noProof/>
          <w:sz w:val="24"/>
          <w:szCs w:val="24"/>
          <w:lang w:val="el-GR" w:eastAsia="el-GR"/>
        </w:rPr>
        <w:t>2</w:t>
      </w:r>
      <w:r w:rsidRPr="003760B1">
        <w:rPr>
          <w:rFonts w:asciiTheme="majorHAnsi" w:eastAsia="Times New Roman" w:hAnsiTheme="majorHAnsi" w:cs="Arial"/>
          <w:b/>
          <w:i w:val="0"/>
          <w:sz w:val="24"/>
          <w:szCs w:val="24"/>
          <w:lang w:eastAsia="el-GR"/>
        </w:rPr>
        <w:fldChar w:fldCharType="end"/>
      </w:r>
      <w:r w:rsidRPr="00AA21A6">
        <w:rPr>
          <w:rFonts w:asciiTheme="majorHAnsi" w:eastAsia="Times New Roman" w:hAnsiTheme="majorHAnsi" w:cs="Arial"/>
          <w:b/>
          <w:i w:val="0"/>
          <w:sz w:val="24"/>
          <w:szCs w:val="24"/>
          <w:lang w:val="el-GR" w:eastAsia="el-GR"/>
        </w:rPr>
        <w:t xml:space="preserve">: ΕΤΗΣΙΑ ΠΟΣΟΣΤΙΑΙΑ ΜΕΤΑΒΟΛΗ ΔΑΠΑΝΩΝ ΓΙΑ ΠΑΡΟΧΕΣ ΚΟΙΝΩΝΙΚΗΣ ΠΡΟΣΤΑΣΙΑΣ ΓΙΑ ΤΗΝ ΑΝΑΠΗΡΙΑ </w:t>
      </w:r>
      <w:r w:rsidRPr="00AA5AEA">
        <w:rPr>
          <w:rFonts w:asciiTheme="majorHAnsi" w:eastAsia="Times New Roman" w:hAnsiTheme="majorHAnsi" w:cs="Arial"/>
          <w:bCs/>
          <w:iCs w:val="0"/>
          <w:sz w:val="24"/>
          <w:szCs w:val="24"/>
          <w:lang w:val="el-GR" w:eastAsia="el-GR"/>
        </w:rPr>
        <w:t>(</w:t>
      </w:r>
      <w:r w:rsidRPr="00AA5AEA">
        <w:rPr>
          <w:rFonts w:asciiTheme="majorHAnsi" w:eastAsia="Times New Roman" w:hAnsiTheme="majorHAnsi" w:cs="Arial"/>
          <w:bCs/>
          <w:sz w:val="24"/>
          <w:szCs w:val="24"/>
          <w:lang w:val="el-GR" w:eastAsia="el-GR"/>
        </w:rPr>
        <w:t>σε εκατομμύρια €)</w:t>
      </w:r>
    </w:p>
    <w:tbl>
      <w:tblPr>
        <w:tblStyle w:val="1-3"/>
        <w:tblW w:w="9215" w:type="dxa"/>
        <w:jc w:val="center"/>
        <w:tblLook w:val="04A0" w:firstRow="1" w:lastRow="0" w:firstColumn="1" w:lastColumn="0" w:noHBand="0" w:noVBand="1"/>
        <w:tblCaption w:val="ΕΤΗΣΙΑ ΠΟΣΟΣΤΙΑΙΑ ΜΕΤΑΒΟΛΗ ΔΑΠΑΝΩΝ ΓΙΑ ΠΑΡΟΧΕΣ ΚΟΙΝΩΝΙΚΗΣ ΠΡΟΣΤΑΣΙΑΣ ΓΙΑ ΤΗΝ ΑΝΑΠΗΡΙΑ (σε εκατομμύρια €)"/>
        <w:tblDescription w:val="3.673 το 2010.&#10;3.615 το 2011, ήτοι -1,6% ποσοστιαία μεταβολή.&#10;3.361 το 2012, ήτοι -7,0% ποσοστιαία μεταβολή.&#10;2.979 το 2013, ήτοι -11,4% ποσοστιαία μεταβολή.&#10;2.938 το 2014, ήτοι -1,4% ποσοστιαία μεταβολή.&#10;2.921 το 2015, ήτοι -0,6% ποσοστιαία μεταβολή.&#10;2.691 το 2016, ήτοι -7,9% ποσοστιαία μεταβολή.&#10;2.658 το 2017, ήτοι -1,2% ποσοστιαία μεταβολή."/>
      </w:tblPr>
      <w:tblGrid>
        <w:gridCol w:w="2006"/>
        <w:gridCol w:w="901"/>
        <w:gridCol w:w="901"/>
        <w:gridCol w:w="901"/>
        <w:gridCol w:w="901"/>
        <w:gridCol w:w="901"/>
        <w:gridCol w:w="901"/>
        <w:gridCol w:w="901"/>
        <w:gridCol w:w="902"/>
      </w:tblGrid>
      <w:tr w:rsidR="00AA21A6" w:rsidRPr="00BA0BCF" w14:paraId="5811DFA9" w14:textId="77777777" w:rsidTr="00F36C04">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006" w:type="dxa"/>
            <w:tcBorders>
              <w:top w:val="nil"/>
              <w:left w:val="nil"/>
            </w:tcBorders>
            <w:hideMark/>
          </w:tcPr>
          <w:p w14:paraId="5BA388E3" w14:textId="77777777" w:rsidR="00AA21A6" w:rsidRPr="00AA21A6" w:rsidRDefault="00AA21A6" w:rsidP="003E7456">
            <w:pPr>
              <w:ind w:right="142"/>
              <w:jc w:val="center"/>
              <w:rPr>
                <w:rFonts w:asciiTheme="majorHAnsi" w:eastAsia="Times New Roman" w:hAnsiTheme="majorHAnsi" w:cs="Arial"/>
                <w:sz w:val="24"/>
                <w:szCs w:val="24"/>
                <w:lang w:val="el-GR" w:eastAsia="el-GR"/>
              </w:rPr>
            </w:pPr>
          </w:p>
        </w:tc>
        <w:tc>
          <w:tcPr>
            <w:tcW w:w="901" w:type="dxa"/>
            <w:tcBorders>
              <w:top w:val="nil"/>
            </w:tcBorders>
            <w:hideMark/>
          </w:tcPr>
          <w:p w14:paraId="2BC746FB"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2010</w:t>
            </w:r>
          </w:p>
        </w:tc>
        <w:tc>
          <w:tcPr>
            <w:tcW w:w="901" w:type="dxa"/>
            <w:tcBorders>
              <w:top w:val="nil"/>
            </w:tcBorders>
            <w:hideMark/>
          </w:tcPr>
          <w:p w14:paraId="16FACED9"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2011</w:t>
            </w:r>
          </w:p>
        </w:tc>
        <w:tc>
          <w:tcPr>
            <w:tcW w:w="901" w:type="dxa"/>
            <w:tcBorders>
              <w:top w:val="nil"/>
            </w:tcBorders>
            <w:hideMark/>
          </w:tcPr>
          <w:p w14:paraId="2EDE0F22"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2012</w:t>
            </w:r>
          </w:p>
        </w:tc>
        <w:tc>
          <w:tcPr>
            <w:tcW w:w="901" w:type="dxa"/>
            <w:tcBorders>
              <w:top w:val="nil"/>
            </w:tcBorders>
            <w:hideMark/>
          </w:tcPr>
          <w:p w14:paraId="17F75CF4"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2013</w:t>
            </w:r>
          </w:p>
        </w:tc>
        <w:tc>
          <w:tcPr>
            <w:tcW w:w="901" w:type="dxa"/>
            <w:tcBorders>
              <w:top w:val="nil"/>
            </w:tcBorders>
            <w:hideMark/>
          </w:tcPr>
          <w:p w14:paraId="07B5A8B4"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2014</w:t>
            </w:r>
          </w:p>
        </w:tc>
        <w:tc>
          <w:tcPr>
            <w:tcW w:w="901" w:type="dxa"/>
            <w:tcBorders>
              <w:top w:val="nil"/>
            </w:tcBorders>
            <w:hideMark/>
          </w:tcPr>
          <w:p w14:paraId="5F15AD5F"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2015</w:t>
            </w:r>
          </w:p>
        </w:tc>
        <w:tc>
          <w:tcPr>
            <w:tcW w:w="901" w:type="dxa"/>
            <w:tcBorders>
              <w:top w:val="nil"/>
            </w:tcBorders>
            <w:hideMark/>
          </w:tcPr>
          <w:p w14:paraId="5DA90740"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2016</w:t>
            </w:r>
          </w:p>
        </w:tc>
        <w:tc>
          <w:tcPr>
            <w:tcW w:w="902" w:type="dxa"/>
            <w:tcBorders>
              <w:top w:val="nil"/>
              <w:right w:val="nil"/>
            </w:tcBorders>
            <w:hideMark/>
          </w:tcPr>
          <w:p w14:paraId="3888181D" w14:textId="77777777" w:rsidR="00AA21A6" w:rsidRPr="00BA0BCF" w:rsidRDefault="00AA21A6" w:rsidP="000B0AA7">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2017</w:t>
            </w:r>
          </w:p>
        </w:tc>
      </w:tr>
      <w:tr w:rsidR="00AA21A6" w:rsidRPr="00BA0BCF" w14:paraId="60C6D468" w14:textId="77777777" w:rsidTr="00F36C04">
        <w:trPr>
          <w:trHeight w:val="552"/>
          <w:jc w:val="center"/>
        </w:trPr>
        <w:tc>
          <w:tcPr>
            <w:cnfStyle w:val="001000000000" w:firstRow="0" w:lastRow="0" w:firstColumn="1" w:lastColumn="0" w:oddVBand="0" w:evenVBand="0" w:oddHBand="0" w:evenHBand="0" w:firstRowFirstColumn="0" w:firstRowLastColumn="0" w:lastRowFirstColumn="0" w:lastRowLastColumn="0"/>
            <w:tcW w:w="2006" w:type="dxa"/>
            <w:tcBorders>
              <w:left w:val="nil"/>
            </w:tcBorders>
            <w:hideMark/>
          </w:tcPr>
          <w:p w14:paraId="40BE290A" w14:textId="77777777" w:rsidR="00AA21A6" w:rsidRPr="000B0AA7" w:rsidRDefault="00AA21A6" w:rsidP="000B0AA7">
            <w:pPr>
              <w:rPr>
                <w:rFonts w:asciiTheme="majorHAnsi" w:eastAsia="Times New Roman" w:hAnsiTheme="majorHAnsi" w:cs="Arial"/>
                <w:sz w:val="24"/>
                <w:szCs w:val="24"/>
                <w:lang w:val="el-GR" w:eastAsia="el-GR"/>
              </w:rPr>
            </w:pPr>
            <w:r w:rsidRPr="000B0AA7">
              <w:rPr>
                <w:rFonts w:asciiTheme="majorHAnsi" w:eastAsia="Times New Roman" w:hAnsiTheme="majorHAnsi" w:cs="Arial"/>
                <w:sz w:val="24"/>
                <w:szCs w:val="24"/>
                <w:lang w:val="el-GR" w:eastAsia="el-GR"/>
              </w:rPr>
              <w:t>Δαπάνες</w:t>
            </w:r>
          </w:p>
        </w:tc>
        <w:tc>
          <w:tcPr>
            <w:tcW w:w="901" w:type="dxa"/>
            <w:hideMark/>
          </w:tcPr>
          <w:p w14:paraId="5A394BE2" w14:textId="77777777" w:rsidR="00AA21A6" w:rsidRPr="00BA0BCF" w:rsidRDefault="00AA21A6" w:rsidP="003E7456">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3</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673</w:t>
            </w:r>
          </w:p>
        </w:tc>
        <w:tc>
          <w:tcPr>
            <w:tcW w:w="901" w:type="dxa"/>
            <w:hideMark/>
          </w:tcPr>
          <w:p w14:paraId="6321027A"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3</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615</w:t>
            </w:r>
          </w:p>
        </w:tc>
        <w:tc>
          <w:tcPr>
            <w:tcW w:w="901" w:type="dxa"/>
            <w:hideMark/>
          </w:tcPr>
          <w:p w14:paraId="0468F94F"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3</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361</w:t>
            </w:r>
          </w:p>
        </w:tc>
        <w:tc>
          <w:tcPr>
            <w:tcW w:w="901" w:type="dxa"/>
            <w:hideMark/>
          </w:tcPr>
          <w:p w14:paraId="4A311042"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979</w:t>
            </w:r>
          </w:p>
        </w:tc>
        <w:tc>
          <w:tcPr>
            <w:tcW w:w="901" w:type="dxa"/>
            <w:hideMark/>
          </w:tcPr>
          <w:p w14:paraId="57499588"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938</w:t>
            </w:r>
          </w:p>
        </w:tc>
        <w:tc>
          <w:tcPr>
            <w:tcW w:w="901" w:type="dxa"/>
            <w:hideMark/>
          </w:tcPr>
          <w:p w14:paraId="3CFA6F47"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921</w:t>
            </w:r>
          </w:p>
        </w:tc>
        <w:tc>
          <w:tcPr>
            <w:tcW w:w="901" w:type="dxa"/>
            <w:hideMark/>
          </w:tcPr>
          <w:p w14:paraId="6E8BCDB5"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691</w:t>
            </w:r>
          </w:p>
        </w:tc>
        <w:tc>
          <w:tcPr>
            <w:tcW w:w="902" w:type="dxa"/>
            <w:tcBorders>
              <w:right w:val="nil"/>
            </w:tcBorders>
            <w:hideMark/>
          </w:tcPr>
          <w:p w14:paraId="045F8D92"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2</w:t>
            </w:r>
            <w:r>
              <w:rPr>
                <w:rFonts w:asciiTheme="majorHAnsi" w:eastAsia="Times New Roman" w:hAnsiTheme="majorHAnsi" w:cs="Arial"/>
                <w:sz w:val="24"/>
                <w:szCs w:val="24"/>
                <w:lang w:eastAsia="el-GR"/>
              </w:rPr>
              <w:t>.</w:t>
            </w:r>
            <w:r w:rsidRPr="00BA0BCF">
              <w:rPr>
                <w:rFonts w:asciiTheme="majorHAnsi" w:eastAsia="Times New Roman" w:hAnsiTheme="majorHAnsi" w:cs="Arial"/>
                <w:sz w:val="24"/>
                <w:szCs w:val="24"/>
                <w:lang w:eastAsia="el-GR"/>
              </w:rPr>
              <w:t>658</w:t>
            </w:r>
          </w:p>
        </w:tc>
      </w:tr>
      <w:tr w:rsidR="00AA21A6" w:rsidRPr="00BA0BCF" w14:paraId="3C15F58C" w14:textId="77777777" w:rsidTr="00F36C04">
        <w:trPr>
          <w:trHeight w:val="58"/>
          <w:jc w:val="center"/>
        </w:trPr>
        <w:tc>
          <w:tcPr>
            <w:cnfStyle w:val="001000000000" w:firstRow="0" w:lastRow="0" w:firstColumn="1" w:lastColumn="0" w:oddVBand="0" w:evenVBand="0" w:oddHBand="0" w:evenHBand="0" w:firstRowFirstColumn="0" w:firstRowLastColumn="0" w:lastRowFirstColumn="0" w:lastRowLastColumn="0"/>
            <w:tcW w:w="2006" w:type="dxa"/>
            <w:tcBorders>
              <w:left w:val="nil"/>
              <w:bottom w:val="nil"/>
            </w:tcBorders>
            <w:hideMark/>
          </w:tcPr>
          <w:p w14:paraId="46CF86BA" w14:textId="77777777" w:rsidR="00AA21A6" w:rsidRPr="000B0AA7" w:rsidRDefault="00AA21A6" w:rsidP="000B0AA7">
            <w:pPr>
              <w:rPr>
                <w:rFonts w:asciiTheme="majorHAnsi" w:eastAsia="Times New Roman" w:hAnsiTheme="majorHAnsi" w:cs="Arial"/>
                <w:sz w:val="24"/>
                <w:szCs w:val="24"/>
                <w:lang w:val="el-GR" w:eastAsia="el-GR"/>
              </w:rPr>
            </w:pPr>
            <w:r w:rsidRPr="000B0AA7">
              <w:rPr>
                <w:rFonts w:asciiTheme="majorHAnsi" w:eastAsia="Times New Roman" w:hAnsiTheme="majorHAnsi" w:cs="Arial"/>
                <w:sz w:val="24"/>
                <w:szCs w:val="24"/>
                <w:lang w:val="el-GR" w:eastAsia="el-GR"/>
              </w:rPr>
              <w:t>Ποσοστιαία ετήσια μεταβολή</w:t>
            </w:r>
          </w:p>
        </w:tc>
        <w:tc>
          <w:tcPr>
            <w:tcW w:w="901" w:type="dxa"/>
            <w:tcBorders>
              <w:bottom w:val="nil"/>
            </w:tcBorders>
            <w:hideMark/>
          </w:tcPr>
          <w:p w14:paraId="22706B75" w14:textId="77777777" w:rsidR="00AA21A6" w:rsidRPr="00BA0BCF" w:rsidRDefault="00AA21A6" w:rsidP="000B0AA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p>
        </w:tc>
        <w:tc>
          <w:tcPr>
            <w:tcW w:w="901" w:type="dxa"/>
            <w:tcBorders>
              <w:bottom w:val="nil"/>
            </w:tcBorders>
            <w:hideMark/>
          </w:tcPr>
          <w:p w14:paraId="4DD731D5"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-1,6%</w:t>
            </w:r>
          </w:p>
        </w:tc>
        <w:tc>
          <w:tcPr>
            <w:tcW w:w="901" w:type="dxa"/>
            <w:tcBorders>
              <w:bottom w:val="nil"/>
            </w:tcBorders>
            <w:hideMark/>
          </w:tcPr>
          <w:p w14:paraId="539F9969"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4"/>
                <w:szCs w:val="24"/>
                <w:lang w:eastAsia="el-GR"/>
              </w:rPr>
            </w:pPr>
            <w:r w:rsidRPr="00BA0BCF">
              <w:rPr>
                <w:rFonts w:asciiTheme="majorHAnsi" w:eastAsia="Times New Roman" w:hAnsiTheme="majorHAnsi" w:cs="Arial"/>
                <w:b/>
                <w:sz w:val="24"/>
                <w:szCs w:val="24"/>
                <w:lang w:eastAsia="el-GR"/>
              </w:rPr>
              <w:t>-7,0%</w:t>
            </w:r>
          </w:p>
        </w:tc>
        <w:tc>
          <w:tcPr>
            <w:tcW w:w="901" w:type="dxa"/>
            <w:tcBorders>
              <w:bottom w:val="nil"/>
            </w:tcBorders>
            <w:hideMark/>
          </w:tcPr>
          <w:p w14:paraId="2CCD339A"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4"/>
                <w:szCs w:val="24"/>
                <w:lang w:eastAsia="el-GR"/>
              </w:rPr>
            </w:pPr>
            <w:r w:rsidRPr="00BA0BCF">
              <w:rPr>
                <w:rFonts w:asciiTheme="majorHAnsi" w:eastAsia="Times New Roman" w:hAnsiTheme="majorHAnsi" w:cs="Arial"/>
                <w:b/>
                <w:sz w:val="24"/>
                <w:szCs w:val="24"/>
                <w:lang w:eastAsia="el-GR"/>
              </w:rPr>
              <w:t>-11,4%</w:t>
            </w:r>
          </w:p>
        </w:tc>
        <w:tc>
          <w:tcPr>
            <w:tcW w:w="901" w:type="dxa"/>
            <w:tcBorders>
              <w:bottom w:val="nil"/>
            </w:tcBorders>
            <w:hideMark/>
          </w:tcPr>
          <w:p w14:paraId="57416858"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-1,4%</w:t>
            </w:r>
          </w:p>
        </w:tc>
        <w:tc>
          <w:tcPr>
            <w:tcW w:w="901" w:type="dxa"/>
            <w:tcBorders>
              <w:bottom w:val="nil"/>
            </w:tcBorders>
            <w:hideMark/>
          </w:tcPr>
          <w:p w14:paraId="034CEA2A"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-0,6%</w:t>
            </w:r>
          </w:p>
        </w:tc>
        <w:tc>
          <w:tcPr>
            <w:tcW w:w="901" w:type="dxa"/>
            <w:tcBorders>
              <w:bottom w:val="nil"/>
            </w:tcBorders>
            <w:hideMark/>
          </w:tcPr>
          <w:p w14:paraId="38BFF9D7" w14:textId="77777777" w:rsidR="00AA21A6" w:rsidRPr="00BA0BCF" w:rsidRDefault="00AA21A6" w:rsidP="000B0AA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4"/>
                <w:szCs w:val="24"/>
                <w:lang w:eastAsia="el-GR"/>
              </w:rPr>
            </w:pPr>
            <w:r w:rsidRPr="00BA0BCF">
              <w:rPr>
                <w:rFonts w:asciiTheme="majorHAnsi" w:eastAsia="Times New Roman" w:hAnsiTheme="majorHAnsi" w:cs="Arial"/>
                <w:b/>
                <w:sz w:val="24"/>
                <w:szCs w:val="24"/>
                <w:lang w:eastAsia="el-GR"/>
              </w:rPr>
              <w:t>-7,9%</w:t>
            </w:r>
          </w:p>
        </w:tc>
        <w:tc>
          <w:tcPr>
            <w:tcW w:w="902" w:type="dxa"/>
            <w:tcBorders>
              <w:bottom w:val="nil"/>
              <w:right w:val="nil"/>
            </w:tcBorders>
            <w:hideMark/>
          </w:tcPr>
          <w:p w14:paraId="37E089DF" w14:textId="77777777" w:rsidR="00AA21A6" w:rsidRPr="00BA0BCF" w:rsidRDefault="00AA21A6" w:rsidP="000B0AA7">
            <w:pPr>
              <w:keepNext/>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4"/>
                <w:szCs w:val="24"/>
                <w:lang w:eastAsia="el-GR"/>
              </w:rPr>
            </w:pPr>
            <w:r w:rsidRPr="00BA0BCF">
              <w:rPr>
                <w:rFonts w:asciiTheme="majorHAnsi" w:eastAsia="Times New Roman" w:hAnsiTheme="majorHAnsi" w:cs="Arial"/>
                <w:sz w:val="24"/>
                <w:szCs w:val="24"/>
                <w:lang w:eastAsia="el-GR"/>
              </w:rPr>
              <w:t>-1,2%</w:t>
            </w:r>
          </w:p>
        </w:tc>
      </w:tr>
    </w:tbl>
    <w:p w14:paraId="3179C4EA" w14:textId="642FBBCD" w:rsidR="00AA21A6" w:rsidRPr="00F36C04" w:rsidRDefault="00AA21A6" w:rsidP="00F36C04">
      <w:pPr>
        <w:pStyle w:val="aa"/>
        <w:spacing w:before="120"/>
        <w:ind w:left="142" w:right="142"/>
        <w:rPr>
          <w:lang w:val="el-GR"/>
        </w:rPr>
      </w:pPr>
      <w:r w:rsidRPr="00AA21A6">
        <w:rPr>
          <w:lang w:val="el-GR"/>
        </w:rPr>
        <w:t>ΠΗΓΗ: Ελληνική Στατιστική Αρχή,</w:t>
      </w:r>
      <w:r w:rsidR="008E7B49">
        <w:rPr>
          <w:lang w:val="el-GR"/>
        </w:rPr>
        <w:t xml:space="preserve"> </w:t>
      </w:r>
      <w:r w:rsidRPr="00AA21A6">
        <w:rPr>
          <w:lang w:val="el-GR"/>
        </w:rPr>
        <w:t>Ευρωπαϊκό Σύστημα Ολοκληρωμένων Στατιστικών Κοινωνικής Προστασίας (</w:t>
      </w:r>
      <w:r w:rsidRPr="00F36C04">
        <w:rPr>
          <w:lang w:val="el-GR"/>
        </w:rPr>
        <w:t>ESSPROS</w:t>
      </w:r>
      <w:r w:rsidRPr="00AA21A6">
        <w:rPr>
          <w:lang w:val="el-GR"/>
        </w:rPr>
        <w:t xml:space="preserve">)/ </w:t>
      </w:r>
      <w:r w:rsidR="00F36C04" w:rsidRPr="00AA21A6">
        <w:rPr>
          <w:lang w:val="el-GR"/>
        </w:rPr>
        <w:t>ΕΠΕΞΕΡΓΑΣΙΑ</w:t>
      </w:r>
      <w:r w:rsidRPr="00AA21A6">
        <w:rPr>
          <w:lang w:val="el-GR"/>
        </w:rPr>
        <w:t xml:space="preserve">: </w:t>
      </w:r>
      <w:r w:rsidR="00F36C04">
        <w:rPr>
          <w:lang w:val="el-GR"/>
        </w:rPr>
        <w:t>Παρατηρητήριο</w:t>
      </w:r>
      <w:r w:rsidR="00F36C04" w:rsidRPr="00F36C04">
        <w:rPr>
          <w:lang w:val="el-GR"/>
        </w:rPr>
        <w:t xml:space="preserve"> </w:t>
      </w:r>
      <w:r w:rsidR="00F36C04">
        <w:rPr>
          <w:lang w:val="el-GR"/>
        </w:rPr>
        <w:t>Θεμάτων</w:t>
      </w:r>
      <w:r w:rsidR="00F36C04" w:rsidRPr="00F36C04">
        <w:rPr>
          <w:lang w:val="el-GR"/>
        </w:rPr>
        <w:t xml:space="preserve"> </w:t>
      </w:r>
      <w:r w:rsidR="00F36C04">
        <w:rPr>
          <w:lang w:val="el-GR"/>
        </w:rPr>
        <w:t>Αναπηρίας</w:t>
      </w:r>
      <w:r w:rsidR="00F36C04" w:rsidRPr="00F36C04">
        <w:rPr>
          <w:lang w:val="el-GR"/>
        </w:rPr>
        <w:t>-</w:t>
      </w:r>
      <w:r w:rsidR="00F36C04">
        <w:rPr>
          <w:lang w:val="el-GR"/>
        </w:rPr>
        <w:t>Ε</w:t>
      </w:r>
      <w:r w:rsidR="00F36C04" w:rsidRPr="00F36C04">
        <w:rPr>
          <w:lang w:val="el-GR"/>
        </w:rPr>
        <w:t>.</w:t>
      </w:r>
      <w:r w:rsidR="00F36C04">
        <w:rPr>
          <w:lang w:val="el-GR"/>
        </w:rPr>
        <w:t>Σ</w:t>
      </w:r>
      <w:r w:rsidR="00F36C04" w:rsidRPr="00F36C04">
        <w:rPr>
          <w:lang w:val="el-GR"/>
        </w:rPr>
        <w:t>.</w:t>
      </w:r>
      <w:r w:rsidR="00F36C04">
        <w:rPr>
          <w:lang w:val="el-GR"/>
        </w:rPr>
        <w:t>Α</w:t>
      </w:r>
      <w:r w:rsidR="00F36C04" w:rsidRPr="00F36C04">
        <w:rPr>
          <w:lang w:val="el-GR"/>
        </w:rPr>
        <w:t>.</w:t>
      </w:r>
      <w:r w:rsidR="00F36C04">
        <w:rPr>
          <w:lang w:val="el-GR"/>
        </w:rPr>
        <w:t>μεΑ</w:t>
      </w:r>
      <w:r w:rsidR="00F36C04" w:rsidRPr="00F36C04">
        <w:rPr>
          <w:lang w:val="el-GR"/>
        </w:rPr>
        <w:t>.</w:t>
      </w:r>
    </w:p>
    <w:p w14:paraId="278422AC" w14:textId="49131093" w:rsidR="00AA21A6" w:rsidRPr="00AA21A6" w:rsidRDefault="00AA21A6" w:rsidP="00AA21A6">
      <w:pPr>
        <w:ind w:right="142"/>
        <w:jc w:val="both"/>
        <w:rPr>
          <w:sz w:val="24"/>
          <w:szCs w:val="24"/>
          <w:lang w:val="el-GR"/>
        </w:rPr>
      </w:pPr>
      <w:r w:rsidRPr="00AA21A6">
        <w:rPr>
          <w:sz w:val="24"/>
          <w:szCs w:val="24"/>
          <w:lang w:val="el-GR"/>
        </w:rPr>
        <w:t>Είναι σ</w:t>
      </w:r>
      <w:r w:rsidR="000C75E0">
        <w:rPr>
          <w:sz w:val="24"/>
          <w:szCs w:val="24"/>
          <w:lang w:val="el-GR"/>
        </w:rPr>
        <w:t>ημαντικό δε να ληφθεί υπόψη ότι</w:t>
      </w:r>
      <w:r w:rsidR="000C75E0" w:rsidRPr="000C75E0">
        <w:rPr>
          <w:sz w:val="24"/>
          <w:szCs w:val="24"/>
          <w:lang w:val="el-GR"/>
        </w:rPr>
        <w:t>,</w:t>
      </w:r>
      <w:r w:rsidRPr="00AA21A6">
        <w:rPr>
          <w:sz w:val="24"/>
          <w:szCs w:val="24"/>
          <w:lang w:val="el-GR"/>
        </w:rPr>
        <w:t xml:space="preserve"> κατά το ίδιο διάστημα, καταγράφεται αύξηση του δείκτη κινδύνου φτώχειας ή/και κοινωνικού αποκλεισμού στα άτομα με σοβαρή αναπηρία (ηλικίας 16-64 ετών) κατά 16 μονάδες, με το ποσοστό όσων διαβιούν σε φτώχεια ή αποκλεισμό να ανέρχεται το 2017 σε 59,4% (το 2010 ήταν 43,3%)</w:t>
      </w:r>
      <w:r>
        <w:rPr>
          <w:rStyle w:val="a8"/>
          <w:sz w:val="24"/>
          <w:szCs w:val="24"/>
        </w:rPr>
        <w:footnoteReference w:id="14"/>
      </w:r>
      <w:r w:rsidRPr="00AA21A6">
        <w:rPr>
          <w:sz w:val="24"/>
          <w:szCs w:val="24"/>
          <w:lang w:val="el-GR"/>
        </w:rPr>
        <w:t>.</w:t>
      </w:r>
    </w:p>
    <w:p w14:paraId="7D45B4AC" w14:textId="77777777" w:rsidR="00AA21A6" w:rsidRDefault="00AA21A6" w:rsidP="00AA21A6">
      <w:pPr>
        <w:pStyle w:val="Default"/>
        <w:ind w:right="142"/>
        <w:jc w:val="both"/>
        <w:rPr>
          <w:b/>
        </w:rPr>
      </w:pPr>
    </w:p>
    <w:p w14:paraId="76313420" w14:textId="5F613EC1" w:rsidR="00AA21A6" w:rsidRPr="00660C45" w:rsidRDefault="00AA21A6" w:rsidP="00F36C04">
      <w:pPr>
        <w:pStyle w:val="2"/>
        <w:numPr>
          <w:ilvl w:val="1"/>
          <w:numId w:val="12"/>
        </w:numPr>
        <w:spacing w:before="600" w:after="200"/>
        <w:ind w:left="578" w:hanging="578"/>
        <w:rPr>
          <w:rFonts w:cstheme="majorHAnsi"/>
          <w:b/>
          <w:color w:val="auto"/>
          <w:sz w:val="32"/>
          <w:szCs w:val="32"/>
          <w:lang w:val="el-GR"/>
        </w:rPr>
      </w:pPr>
      <w:bookmarkStart w:id="7" w:name="_Toc53409344"/>
      <w:r w:rsidRPr="00660C45">
        <w:rPr>
          <w:rFonts w:cstheme="majorHAnsi"/>
          <w:b/>
          <w:color w:val="auto"/>
          <w:sz w:val="32"/>
          <w:szCs w:val="32"/>
          <w:lang w:val="el-GR"/>
        </w:rPr>
        <w:t>Αναλυτική κατανομή δαπανών για παροχές κοινωνικής προστασίας για την αναπηρία</w:t>
      </w:r>
      <w:bookmarkEnd w:id="7"/>
    </w:p>
    <w:p w14:paraId="7EEDFF3A" w14:textId="595F0865" w:rsidR="00AA21A6" w:rsidRPr="00AA21A6" w:rsidRDefault="00AA21A6" w:rsidP="00AA21A6">
      <w:pPr>
        <w:ind w:right="142"/>
        <w:jc w:val="both"/>
        <w:rPr>
          <w:sz w:val="24"/>
          <w:szCs w:val="24"/>
          <w:lang w:val="el-GR"/>
        </w:rPr>
      </w:pPr>
      <w:r w:rsidRPr="00AA21A6">
        <w:rPr>
          <w:sz w:val="24"/>
          <w:szCs w:val="24"/>
          <w:lang w:val="el-GR"/>
        </w:rPr>
        <w:t>Όπως φαίνεται αναλυτικά στον πίνακα 3, οι δαπάνες κοινωνικής προστασίας για την αναπηρία αφορούν σχεδόν αποκλειστικά σε περιοδικές παροχές σε χρήμα και ειδικότερα, σε</w:t>
      </w:r>
      <w:r w:rsidR="008E7B49">
        <w:rPr>
          <w:sz w:val="24"/>
          <w:szCs w:val="24"/>
          <w:lang w:val="el-GR"/>
        </w:rPr>
        <w:t xml:space="preserve"> </w:t>
      </w:r>
      <w:r w:rsidRPr="00AA21A6">
        <w:rPr>
          <w:sz w:val="24"/>
          <w:szCs w:val="24"/>
          <w:lang w:val="el-GR"/>
        </w:rPr>
        <w:t>συντάξεις αναπηρίας (73% της δαπάνης) και σε αναπηρικά επιδόματα (25% της δαπάνης).</w:t>
      </w:r>
    </w:p>
    <w:p w14:paraId="0B65545A" w14:textId="2DD1F28B" w:rsidR="00AA21A6" w:rsidRPr="00AA21A6" w:rsidRDefault="00AA21A6" w:rsidP="00AA21A6">
      <w:pPr>
        <w:ind w:right="142"/>
        <w:jc w:val="both"/>
        <w:rPr>
          <w:sz w:val="24"/>
          <w:szCs w:val="24"/>
          <w:lang w:val="el-GR"/>
        </w:rPr>
      </w:pPr>
      <w:r w:rsidRPr="00AA21A6">
        <w:rPr>
          <w:sz w:val="24"/>
          <w:szCs w:val="24"/>
          <w:lang w:val="el-GR"/>
        </w:rPr>
        <w:t xml:space="preserve">Επιβεβαιώνεται δηλαδή </w:t>
      </w:r>
      <w:r w:rsidR="005C1444">
        <w:rPr>
          <w:sz w:val="24"/>
          <w:szCs w:val="24"/>
          <w:lang w:val="el-GR"/>
        </w:rPr>
        <w:t>από την αναλυτική κατανομή δαπανών η γενική πεποίθηση</w:t>
      </w:r>
      <w:r w:rsidR="008E7B49">
        <w:rPr>
          <w:sz w:val="24"/>
          <w:szCs w:val="24"/>
          <w:lang w:val="el-GR"/>
        </w:rPr>
        <w:t xml:space="preserve"> </w:t>
      </w:r>
      <w:r w:rsidR="005C1444">
        <w:rPr>
          <w:sz w:val="24"/>
          <w:szCs w:val="24"/>
          <w:lang w:val="el-GR"/>
        </w:rPr>
        <w:t>ότι,</w:t>
      </w:r>
      <w:r w:rsidRPr="00AA21A6">
        <w:rPr>
          <w:sz w:val="24"/>
          <w:szCs w:val="24"/>
          <w:lang w:val="el-GR"/>
        </w:rPr>
        <w:t xml:space="preserve"> οι παροχές σ</w:t>
      </w:r>
      <w:r w:rsidR="005C1444">
        <w:rPr>
          <w:sz w:val="24"/>
          <w:szCs w:val="24"/>
          <w:lang w:val="el-GR"/>
        </w:rPr>
        <w:t>ε επίπεδο υπηρεσίων υποστήριξης</w:t>
      </w:r>
      <w:r w:rsidRPr="00AA21A6">
        <w:rPr>
          <w:sz w:val="24"/>
          <w:szCs w:val="24"/>
          <w:lang w:val="el-GR"/>
        </w:rPr>
        <w:t xml:space="preserve"> είναι ιδιαίτερα περιορισμένες</w:t>
      </w:r>
      <w:r w:rsidR="005C1444" w:rsidRPr="005C1444">
        <w:rPr>
          <w:sz w:val="24"/>
          <w:szCs w:val="24"/>
          <w:lang w:val="el-GR"/>
        </w:rPr>
        <w:t xml:space="preserve"> </w:t>
      </w:r>
      <w:r w:rsidR="005C1444">
        <w:rPr>
          <w:sz w:val="24"/>
          <w:szCs w:val="24"/>
          <w:lang w:val="el-GR"/>
        </w:rPr>
        <w:t>στη</w:t>
      </w:r>
      <w:r w:rsidR="005C1444" w:rsidRPr="00AA21A6">
        <w:rPr>
          <w:sz w:val="24"/>
          <w:szCs w:val="24"/>
          <w:lang w:val="el-GR"/>
        </w:rPr>
        <w:t xml:space="preserve"> </w:t>
      </w:r>
      <w:r w:rsidR="005C1444">
        <w:rPr>
          <w:sz w:val="24"/>
          <w:szCs w:val="24"/>
          <w:lang w:val="el-GR"/>
        </w:rPr>
        <w:t>χώρα</w:t>
      </w:r>
      <w:r w:rsidRPr="00AA21A6">
        <w:rPr>
          <w:sz w:val="24"/>
          <w:szCs w:val="24"/>
          <w:lang w:val="el-GR"/>
        </w:rPr>
        <w:t>, και</w:t>
      </w:r>
      <w:r w:rsidR="008E7B49">
        <w:rPr>
          <w:sz w:val="24"/>
          <w:szCs w:val="24"/>
          <w:lang w:val="el-GR"/>
        </w:rPr>
        <w:t xml:space="preserve"> </w:t>
      </w:r>
      <w:r w:rsidRPr="00AA21A6">
        <w:rPr>
          <w:sz w:val="24"/>
          <w:szCs w:val="24"/>
          <w:lang w:val="el-GR"/>
        </w:rPr>
        <w:t xml:space="preserve">η πρόνοια </w:t>
      </w:r>
      <w:r w:rsidR="00053EFC">
        <w:rPr>
          <w:sz w:val="24"/>
          <w:szCs w:val="24"/>
          <w:lang w:val="el-GR"/>
        </w:rPr>
        <w:t xml:space="preserve">είναι </w:t>
      </w:r>
      <w:r w:rsidRPr="00AA21A6">
        <w:rPr>
          <w:sz w:val="24"/>
          <w:szCs w:val="24"/>
          <w:lang w:val="el-GR"/>
        </w:rPr>
        <w:t>σχεδόν ανύπαρκτη σε ότι αφορά ζητήματα στέγασης,</w:t>
      </w:r>
      <w:r w:rsidR="008E7B49">
        <w:rPr>
          <w:sz w:val="24"/>
          <w:szCs w:val="24"/>
          <w:lang w:val="el-GR"/>
        </w:rPr>
        <w:t xml:space="preserve"> </w:t>
      </w:r>
      <w:r w:rsidRPr="00AA21A6">
        <w:rPr>
          <w:sz w:val="24"/>
          <w:szCs w:val="24"/>
          <w:lang w:val="el-GR"/>
        </w:rPr>
        <w:t>βοήθεια</w:t>
      </w:r>
      <w:r w:rsidR="00A37F75">
        <w:rPr>
          <w:sz w:val="24"/>
          <w:szCs w:val="24"/>
          <w:lang w:val="el-GR"/>
        </w:rPr>
        <w:t>ς</w:t>
      </w:r>
      <w:r w:rsidRPr="00AA21A6">
        <w:rPr>
          <w:sz w:val="24"/>
          <w:szCs w:val="24"/>
          <w:lang w:val="el-GR"/>
        </w:rPr>
        <w:t xml:space="preserve"> σε καθημερινές δραστηριότητες, αποκατάστασης/ επαναποκατάστασης.</w:t>
      </w:r>
      <w:r w:rsidR="008E7B49">
        <w:rPr>
          <w:sz w:val="24"/>
          <w:szCs w:val="24"/>
          <w:lang w:val="el-GR"/>
        </w:rPr>
        <w:t xml:space="preserve"> </w:t>
      </w:r>
      <w:r w:rsidRPr="00AA21A6">
        <w:rPr>
          <w:sz w:val="24"/>
          <w:szCs w:val="24"/>
          <w:lang w:val="el-GR"/>
        </w:rPr>
        <w:t xml:space="preserve">Το έτος 2017 οι </w:t>
      </w:r>
      <w:r w:rsidR="00A37F75">
        <w:rPr>
          <w:sz w:val="24"/>
          <w:szCs w:val="24"/>
          <w:lang w:val="el-GR"/>
        </w:rPr>
        <w:t>δαπάνες σ</w:t>
      </w:r>
      <w:r w:rsidR="00053EFC">
        <w:rPr>
          <w:sz w:val="24"/>
          <w:szCs w:val="24"/>
          <w:lang w:val="el-GR"/>
        </w:rPr>
        <w:t xml:space="preserve">τους </w:t>
      </w:r>
      <w:r w:rsidR="00A37F75">
        <w:rPr>
          <w:sz w:val="24"/>
          <w:szCs w:val="24"/>
          <w:lang w:val="el-GR"/>
        </w:rPr>
        <w:t xml:space="preserve">προαναφερθέντες </w:t>
      </w:r>
      <w:r w:rsidRPr="00AA21A6">
        <w:rPr>
          <w:sz w:val="24"/>
          <w:szCs w:val="24"/>
          <w:lang w:val="el-GR"/>
        </w:rPr>
        <w:t>τομείς λα</w:t>
      </w:r>
      <w:r w:rsidR="00147AB1">
        <w:rPr>
          <w:sz w:val="24"/>
          <w:szCs w:val="24"/>
          <w:lang w:val="el-GR"/>
        </w:rPr>
        <w:t>μβάνουν σχεδόν μηδενικές τιμές</w:t>
      </w:r>
      <w:r w:rsidRPr="00AA21A6">
        <w:rPr>
          <w:sz w:val="24"/>
          <w:szCs w:val="24"/>
          <w:lang w:val="el-GR"/>
        </w:rPr>
        <w:t>. Αξίζει να σημειωθεί ότι, η Ελλάδα βρίσκεται στην τελευταία θέση</w:t>
      </w:r>
      <w:r>
        <w:rPr>
          <w:rStyle w:val="a8"/>
          <w:sz w:val="24"/>
          <w:szCs w:val="24"/>
        </w:rPr>
        <w:footnoteReference w:id="15"/>
      </w:r>
      <w:r w:rsidRPr="00AA21A6">
        <w:rPr>
          <w:sz w:val="24"/>
          <w:szCs w:val="24"/>
          <w:lang w:val="el-GR"/>
        </w:rPr>
        <w:t xml:space="preserve"> μεταξύ των ευρωπαϊκών χωρών και αναφορικά με το ποσοστό δαπανών κοινωνικής προστασίας που αφιερώνει σε παροχές σε είδος.</w:t>
      </w:r>
    </w:p>
    <w:p w14:paraId="4961B2F9" w14:textId="7C40BD35" w:rsidR="00AA21A6" w:rsidRPr="00AA21A6" w:rsidRDefault="00AA21A6" w:rsidP="00053EFC">
      <w:pPr>
        <w:tabs>
          <w:tab w:val="left" w:pos="3852"/>
          <w:tab w:val="center" w:pos="4535"/>
        </w:tabs>
        <w:ind w:right="142"/>
        <w:rPr>
          <w:lang w:val="el-GR"/>
        </w:rPr>
      </w:pPr>
    </w:p>
    <w:p w14:paraId="441BCFBA" w14:textId="12D6D698" w:rsidR="00AA21A6" w:rsidRPr="00AA21A6" w:rsidRDefault="00AA21A6" w:rsidP="00AA21A6">
      <w:pPr>
        <w:pStyle w:val="aa"/>
        <w:keepNext/>
        <w:ind w:right="142"/>
        <w:jc w:val="both"/>
        <w:rPr>
          <w:rFonts w:asciiTheme="majorHAnsi" w:eastAsia="Times New Roman" w:hAnsiTheme="majorHAnsi" w:cs="Arial"/>
          <w:b/>
          <w:i w:val="0"/>
          <w:sz w:val="24"/>
          <w:szCs w:val="24"/>
          <w:lang w:val="el-GR" w:eastAsia="el-GR"/>
        </w:rPr>
      </w:pPr>
      <w:bookmarkStart w:id="8" w:name="_Hlk44944067"/>
      <w:r w:rsidRPr="00AA21A6">
        <w:rPr>
          <w:rFonts w:asciiTheme="majorHAnsi" w:eastAsia="Times New Roman" w:hAnsiTheme="majorHAnsi" w:cs="Arial"/>
          <w:b/>
          <w:i w:val="0"/>
          <w:sz w:val="24"/>
          <w:szCs w:val="24"/>
          <w:lang w:val="el-GR" w:eastAsia="el-GR"/>
        </w:rPr>
        <w:lastRenderedPageBreak/>
        <w:t xml:space="preserve">Πίνακας </w:t>
      </w:r>
      <w:r w:rsidRPr="00F36C04">
        <w:rPr>
          <w:rFonts w:asciiTheme="majorHAnsi" w:eastAsia="Times New Roman" w:hAnsiTheme="majorHAnsi" w:cs="Arial"/>
          <w:b/>
          <w:i w:val="0"/>
          <w:sz w:val="24"/>
          <w:szCs w:val="24"/>
          <w:lang w:val="el-GR" w:eastAsia="el-GR"/>
        </w:rPr>
        <w:fldChar w:fldCharType="begin"/>
      </w:r>
      <w:r w:rsidRPr="00300331">
        <w:rPr>
          <w:rFonts w:asciiTheme="majorHAnsi" w:eastAsia="Times New Roman" w:hAnsiTheme="majorHAnsi" w:cs="Arial"/>
          <w:b/>
          <w:i w:val="0"/>
          <w:sz w:val="24"/>
          <w:szCs w:val="24"/>
          <w:lang w:val="el-GR" w:eastAsia="el-GR"/>
        </w:rPr>
        <w:instrText xml:space="preserve"> </w:instrText>
      </w:r>
      <w:r w:rsidRPr="00F36C04">
        <w:rPr>
          <w:rFonts w:asciiTheme="majorHAnsi" w:eastAsia="Times New Roman" w:hAnsiTheme="majorHAnsi" w:cs="Arial"/>
          <w:b/>
          <w:i w:val="0"/>
          <w:sz w:val="24"/>
          <w:szCs w:val="24"/>
          <w:lang w:val="el-GR" w:eastAsia="el-GR"/>
        </w:rPr>
        <w:instrText>SEQ</w:instrText>
      </w:r>
      <w:r w:rsidRPr="00300331">
        <w:rPr>
          <w:rFonts w:asciiTheme="majorHAnsi" w:eastAsia="Times New Roman" w:hAnsiTheme="majorHAnsi" w:cs="Arial"/>
          <w:b/>
          <w:i w:val="0"/>
          <w:sz w:val="24"/>
          <w:szCs w:val="24"/>
          <w:lang w:val="el-GR" w:eastAsia="el-GR"/>
        </w:rPr>
        <w:instrText xml:space="preserve"> Πίνακας \* </w:instrText>
      </w:r>
      <w:r w:rsidRPr="00F36C04">
        <w:rPr>
          <w:rFonts w:asciiTheme="majorHAnsi" w:eastAsia="Times New Roman" w:hAnsiTheme="majorHAnsi" w:cs="Arial"/>
          <w:b/>
          <w:i w:val="0"/>
          <w:sz w:val="24"/>
          <w:szCs w:val="24"/>
          <w:lang w:val="el-GR" w:eastAsia="el-GR"/>
        </w:rPr>
        <w:instrText>ARABIC</w:instrText>
      </w:r>
      <w:r w:rsidRPr="00300331">
        <w:rPr>
          <w:rFonts w:asciiTheme="majorHAnsi" w:eastAsia="Times New Roman" w:hAnsiTheme="majorHAnsi" w:cs="Arial"/>
          <w:b/>
          <w:i w:val="0"/>
          <w:sz w:val="24"/>
          <w:szCs w:val="24"/>
          <w:lang w:val="el-GR" w:eastAsia="el-GR"/>
        </w:rPr>
        <w:instrText xml:space="preserve"> </w:instrText>
      </w:r>
      <w:r w:rsidRPr="00F36C04">
        <w:rPr>
          <w:rFonts w:asciiTheme="majorHAnsi" w:eastAsia="Times New Roman" w:hAnsiTheme="majorHAnsi" w:cs="Arial"/>
          <w:b/>
          <w:i w:val="0"/>
          <w:sz w:val="24"/>
          <w:szCs w:val="24"/>
          <w:lang w:val="el-GR" w:eastAsia="el-GR"/>
        </w:rPr>
        <w:fldChar w:fldCharType="separate"/>
      </w:r>
      <w:r w:rsidR="00DE0303" w:rsidRPr="00DE0303">
        <w:rPr>
          <w:rFonts w:asciiTheme="majorHAnsi" w:eastAsia="Times New Roman" w:hAnsiTheme="majorHAnsi" w:cs="Arial"/>
          <w:b/>
          <w:i w:val="0"/>
          <w:sz w:val="24"/>
          <w:szCs w:val="24"/>
          <w:lang w:val="el-GR" w:eastAsia="el-GR"/>
        </w:rPr>
        <w:t>3</w:t>
      </w:r>
      <w:r w:rsidRPr="00F36C04">
        <w:rPr>
          <w:rFonts w:asciiTheme="majorHAnsi" w:eastAsia="Times New Roman" w:hAnsiTheme="majorHAnsi" w:cs="Arial"/>
          <w:b/>
          <w:i w:val="0"/>
          <w:sz w:val="24"/>
          <w:szCs w:val="24"/>
          <w:lang w:val="el-GR" w:eastAsia="el-GR"/>
        </w:rPr>
        <w:fldChar w:fldCharType="end"/>
      </w:r>
      <w:r w:rsidRPr="00AA21A6">
        <w:rPr>
          <w:rFonts w:asciiTheme="majorHAnsi" w:eastAsia="Times New Roman" w:hAnsiTheme="majorHAnsi" w:cs="Arial"/>
          <w:b/>
          <w:i w:val="0"/>
          <w:sz w:val="24"/>
          <w:szCs w:val="24"/>
          <w:lang w:val="el-GR" w:eastAsia="el-GR"/>
        </w:rPr>
        <w:t xml:space="preserve">: Αναλυτικός πίνακας παροχών κοινωνικής προστασίας για την αναπηρία </w:t>
      </w:r>
      <w:r w:rsidR="00F36C04">
        <w:rPr>
          <w:rFonts w:asciiTheme="majorHAnsi" w:eastAsia="Times New Roman" w:hAnsiTheme="majorHAnsi" w:cs="Arial"/>
          <w:b/>
          <w:i w:val="0"/>
          <w:sz w:val="24"/>
          <w:szCs w:val="24"/>
          <w:lang w:val="el-GR" w:eastAsia="el-GR"/>
        </w:rPr>
        <w:br/>
      </w:r>
      <w:r w:rsidRPr="00F36C04">
        <w:rPr>
          <w:rFonts w:asciiTheme="majorHAnsi" w:eastAsia="Times New Roman" w:hAnsiTheme="majorHAnsi" w:cs="Arial"/>
          <w:bCs/>
          <w:iCs w:val="0"/>
          <w:sz w:val="24"/>
          <w:szCs w:val="24"/>
          <w:lang w:val="el-GR" w:eastAsia="el-GR"/>
        </w:rPr>
        <w:t>(σε εκατομμύρια €)</w:t>
      </w:r>
    </w:p>
    <w:tbl>
      <w:tblPr>
        <w:tblW w:w="9498" w:type="dxa"/>
        <w:tblBorders>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Caption w:val="Αναλυτικός πίνακας παροχών κοινωνικής προστασίας για την αναπηρία "/>
        <w:tblDescription w:val="Παροχές κοινωνικής προστασίας το 2010 3673, το 2011 3615, το 2012 3361, το 2013 2979, το 2014 2938, το 2015 2921, το 2016 2691 και το 2017 2658&#10;Χωρίς εισοδηματικά κριτήρια το 2010 3485, το 2011 3472, το 2012 3229, το 2013 2846, το 2014 2840, το 2015 2820, το 2016 2601 και το 2017 2610&#10;Παροχές σε χρήμα το 2010 3469, το 2011 3456, το 2012 3200, το 2013 2833, το 2014 2826, το 2015 2815, το 2016 2601 και το 2017 2610&#10;Περιοδικές το 2010 3462, το 2011 3448, το 2012 3191, το 2013 2830, το 2014 2824, το 2015 2813, το 2016 2599 και το 2017 2608&#10;Συντάξεις αναπηρίας  το 2010 2694, το 2011 2693, το 2012 2439, το 2013 2156, το 2014 2105, το 2015 2140, το 2016 1930 και το 2017 1937&#10;Επίδομα περίθαλψης το 2010 0, το 2011 0, το 2012 0, το 2013 0, το 2014 0, το 2015 0, το 2016 0 και το 2017 0&#10;Λοιπά Προνοιακά επιδόματα το 2010 768, το 2011 755, το 2012 752, το 2013 674, το 2014 719, το 2015 673, το 2016 669 και το 2017 671&#10;Εφάπαξ το 2010 7, το 2011 8, το 2012 9, το 2013 3, το 2014 2, το 2015 2, το 2016 2 και το 2017 2&#10; Επίδομα αναπηρίας - ανικανότητας το 2010 0, το 2011 0, το 2012 0, το 2013 0, το 2014 0, το 2015 0, το 2016 0 και το 2017 0&#10;Άλλες εφάπαξ παροχές σε χρήμα το 2010 7, το 2011 8, το 2012 9, το 2013 3, το 2014 2, το 2015 2, το 2016 2 και το 2017 2&#10;Παροχές σε είδος το 2010 16, το 2011 16, το 2012 29, το 2013 13, το 2014 14, το 2015 5, το 2016 0 και το 2017 0&#10;Διαμονή το 2010 0, το 2011 0, το 2012 0, το 2013 0, το 2014 0, το 2015 0, το 2016 0 και το 2017 0&#10;Βοήθεια στις καθημερινές δραστηριότητες το 2010 0, το 2011 0, το 2012 0, το 2013 0, το 2014 0, το 2015 0, το 2016 0 και το 2017 0&#10;Αποκατάσταση - επανένταξη το 2010 16, το 2011 16, το 2012 29, το 2013 13, το 2014 14, το 2015 5, το 2016 0 και το 2017 0&#10;Άλλες παροχές σε είδος το 2010 0, το 2011 0, το 2012 0, το 2013 0, το 2014 0, το 2015 0, το 2016 0 και το 2017 0&#10;Με βάση εισοδηματικά κριτήρια (χαμηλά εισοδήματα) το 2010 188, το 2011 143, το 2012 132, το 2013 133, το 2014 98, το 2015 101, το 2016 90 και το 2017 48&#10;Παροχές σε χρήμα το 2010 160, το 2011 123, το 2012 111, το 2013 102, το 2014 71, το 2015 80, το 2016 68 και το 2017 28&#10;Παροχές σε είδος το 2010 28, το 2011 20, το 2012 21, το 2013 31, το 2014 27, το 2015 21, το 2016 22 και το 2017 20"/>
      </w:tblPr>
      <w:tblGrid>
        <w:gridCol w:w="2268"/>
        <w:gridCol w:w="993"/>
        <w:gridCol w:w="969"/>
        <w:gridCol w:w="873"/>
        <w:gridCol w:w="851"/>
        <w:gridCol w:w="883"/>
        <w:gridCol w:w="992"/>
        <w:gridCol w:w="818"/>
        <w:gridCol w:w="851"/>
      </w:tblGrid>
      <w:tr w:rsidR="00AA21A6" w:rsidRPr="004322FC" w14:paraId="3B8CECBC" w14:textId="77777777" w:rsidTr="00C050A6">
        <w:trPr>
          <w:trHeight w:val="264"/>
        </w:trPr>
        <w:tc>
          <w:tcPr>
            <w:tcW w:w="2268" w:type="dxa"/>
            <w:tcBorders>
              <w:bottom w:val="single" w:sz="18" w:space="0" w:color="BFBFBF" w:themeColor="background1" w:themeShade="BF"/>
            </w:tcBorders>
            <w:shd w:val="clear" w:color="auto" w:fill="auto"/>
            <w:noWrap/>
            <w:textDirection w:val="tbRl"/>
            <w:vAlign w:val="bottom"/>
            <w:hideMark/>
          </w:tcPr>
          <w:p w14:paraId="79FCE12B" w14:textId="77777777" w:rsidR="00AA21A6" w:rsidRPr="00AA21A6" w:rsidRDefault="00AA21A6" w:rsidP="003E7456">
            <w:pPr>
              <w:spacing w:after="0" w:line="240" w:lineRule="auto"/>
              <w:ind w:right="142"/>
              <w:jc w:val="center"/>
              <w:rPr>
                <w:rFonts w:ascii="Arial" w:eastAsia="Times New Roman" w:hAnsi="Arial" w:cs="Arial"/>
                <w:sz w:val="18"/>
                <w:szCs w:val="18"/>
                <w:lang w:val="el-GR" w:eastAsia="el-GR"/>
              </w:rPr>
            </w:pPr>
          </w:p>
        </w:tc>
        <w:tc>
          <w:tcPr>
            <w:tcW w:w="993" w:type="dxa"/>
            <w:tcBorders>
              <w:bottom w:val="single" w:sz="18" w:space="0" w:color="BFBFBF" w:themeColor="background1" w:themeShade="BF"/>
            </w:tcBorders>
            <w:shd w:val="clear" w:color="auto" w:fill="auto"/>
            <w:noWrap/>
            <w:vAlign w:val="bottom"/>
            <w:hideMark/>
          </w:tcPr>
          <w:p w14:paraId="75571D36"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2010</w:t>
            </w:r>
          </w:p>
        </w:tc>
        <w:tc>
          <w:tcPr>
            <w:tcW w:w="969" w:type="dxa"/>
            <w:tcBorders>
              <w:bottom w:val="single" w:sz="18" w:space="0" w:color="BFBFBF" w:themeColor="background1" w:themeShade="BF"/>
            </w:tcBorders>
            <w:shd w:val="clear" w:color="auto" w:fill="auto"/>
            <w:noWrap/>
            <w:vAlign w:val="bottom"/>
            <w:hideMark/>
          </w:tcPr>
          <w:p w14:paraId="2A08A4B8"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2011</w:t>
            </w:r>
          </w:p>
        </w:tc>
        <w:tc>
          <w:tcPr>
            <w:tcW w:w="873" w:type="dxa"/>
            <w:tcBorders>
              <w:bottom w:val="single" w:sz="18" w:space="0" w:color="BFBFBF" w:themeColor="background1" w:themeShade="BF"/>
            </w:tcBorders>
            <w:shd w:val="clear" w:color="auto" w:fill="auto"/>
            <w:noWrap/>
            <w:vAlign w:val="bottom"/>
            <w:hideMark/>
          </w:tcPr>
          <w:p w14:paraId="28A3E350"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2012</w:t>
            </w:r>
          </w:p>
        </w:tc>
        <w:tc>
          <w:tcPr>
            <w:tcW w:w="851" w:type="dxa"/>
            <w:tcBorders>
              <w:bottom w:val="single" w:sz="18" w:space="0" w:color="BFBFBF" w:themeColor="background1" w:themeShade="BF"/>
            </w:tcBorders>
            <w:shd w:val="clear" w:color="auto" w:fill="auto"/>
            <w:noWrap/>
            <w:vAlign w:val="bottom"/>
            <w:hideMark/>
          </w:tcPr>
          <w:p w14:paraId="32543DF1"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2013</w:t>
            </w:r>
          </w:p>
        </w:tc>
        <w:tc>
          <w:tcPr>
            <w:tcW w:w="883" w:type="dxa"/>
            <w:tcBorders>
              <w:bottom w:val="single" w:sz="18" w:space="0" w:color="BFBFBF" w:themeColor="background1" w:themeShade="BF"/>
            </w:tcBorders>
            <w:shd w:val="clear" w:color="auto" w:fill="auto"/>
            <w:noWrap/>
            <w:vAlign w:val="bottom"/>
            <w:hideMark/>
          </w:tcPr>
          <w:p w14:paraId="64D92422"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2014</w:t>
            </w:r>
          </w:p>
        </w:tc>
        <w:tc>
          <w:tcPr>
            <w:tcW w:w="992" w:type="dxa"/>
            <w:tcBorders>
              <w:bottom w:val="single" w:sz="18" w:space="0" w:color="BFBFBF" w:themeColor="background1" w:themeShade="BF"/>
            </w:tcBorders>
            <w:shd w:val="clear" w:color="auto" w:fill="auto"/>
            <w:noWrap/>
            <w:vAlign w:val="bottom"/>
            <w:hideMark/>
          </w:tcPr>
          <w:p w14:paraId="794C2788"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2015</w:t>
            </w:r>
          </w:p>
        </w:tc>
        <w:tc>
          <w:tcPr>
            <w:tcW w:w="818" w:type="dxa"/>
            <w:tcBorders>
              <w:bottom w:val="single" w:sz="18" w:space="0" w:color="BFBFBF" w:themeColor="background1" w:themeShade="BF"/>
            </w:tcBorders>
            <w:shd w:val="clear" w:color="auto" w:fill="auto"/>
            <w:noWrap/>
            <w:vAlign w:val="bottom"/>
            <w:hideMark/>
          </w:tcPr>
          <w:p w14:paraId="79957DEB"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2016</w:t>
            </w:r>
          </w:p>
        </w:tc>
        <w:tc>
          <w:tcPr>
            <w:tcW w:w="851" w:type="dxa"/>
            <w:tcBorders>
              <w:bottom w:val="single" w:sz="18" w:space="0" w:color="BFBFBF" w:themeColor="background1" w:themeShade="BF"/>
            </w:tcBorders>
            <w:shd w:val="clear" w:color="auto" w:fill="auto"/>
            <w:noWrap/>
            <w:vAlign w:val="bottom"/>
            <w:hideMark/>
          </w:tcPr>
          <w:p w14:paraId="770CA7C3" w14:textId="77777777" w:rsidR="00AA21A6" w:rsidRPr="00C050A6" w:rsidRDefault="00AA21A6" w:rsidP="00C050A6">
            <w:pPr>
              <w:spacing w:before="120" w:after="120" w:line="240" w:lineRule="auto"/>
              <w:ind w:right="142"/>
              <w:jc w:val="right"/>
              <w:rPr>
                <w:rFonts w:ascii="Arial" w:eastAsia="Times New Roman" w:hAnsi="Arial" w:cs="Arial"/>
                <w:b/>
                <w:bCs/>
                <w:sz w:val="18"/>
                <w:szCs w:val="18"/>
                <w:lang w:eastAsia="el-GR"/>
              </w:rPr>
            </w:pPr>
            <w:r w:rsidRPr="00C050A6">
              <w:rPr>
                <w:rFonts w:ascii="Arial" w:eastAsia="Times New Roman" w:hAnsi="Arial" w:cs="Arial"/>
                <w:b/>
                <w:bCs/>
                <w:sz w:val="18"/>
                <w:szCs w:val="18"/>
                <w:lang w:eastAsia="el-GR"/>
              </w:rPr>
              <w:t>2017</w:t>
            </w:r>
          </w:p>
        </w:tc>
      </w:tr>
      <w:tr w:rsidR="00AA21A6" w:rsidRPr="004322FC" w14:paraId="2E49EFA9" w14:textId="77777777" w:rsidTr="00C050A6">
        <w:trPr>
          <w:trHeight w:val="264"/>
        </w:trPr>
        <w:tc>
          <w:tcPr>
            <w:tcW w:w="2268" w:type="dxa"/>
            <w:tcBorders>
              <w:top w:val="single" w:sz="18" w:space="0" w:color="BFBFBF" w:themeColor="background1" w:themeShade="BF"/>
              <w:bottom w:val="single" w:sz="18" w:space="0" w:color="BFBFBF" w:themeColor="background1" w:themeShade="BF"/>
            </w:tcBorders>
            <w:shd w:val="clear" w:color="auto" w:fill="auto"/>
            <w:noWrap/>
            <w:hideMark/>
          </w:tcPr>
          <w:p w14:paraId="2862BCBE" w14:textId="77777777" w:rsidR="00AA21A6" w:rsidRPr="00F36C04" w:rsidRDefault="00AA21A6" w:rsidP="00C050A6">
            <w:pPr>
              <w:spacing w:before="120" w:after="120" w:line="240" w:lineRule="auto"/>
              <w:ind w:right="142"/>
              <w:rPr>
                <w:rFonts w:ascii="Arial" w:eastAsia="Times New Roman" w:hAnsi="Arial" w:cs="Arial"/>
                <w:b/>
                <w:bCs/>
                <w:sz w:val="18"/>
                <w:szCs w:val="18"/>
                <w:lang w:val="el-GR" w:eastAsia="el-GR"/>
              </w:rPr>
            </w:pPr>
            <w:r w:rsidRPr="00F36C04">
              <w:rPr>
                <w:rFonts w:ascii="Arial" w:eastAsia="Times New Roman" w:hAnsi="Arial" w:cs="Arial"/>
                <w:b/>
                <w:bCs/>
                <w:sz w:val="18"/>
                <w:szCs w:val="18"/>
                <w:lang w:val="el-GR" w:eastAsia="el-GR"/>
              </w:rPr>
              <w:t>Παροχές κοινωνικής προστασίας</w:t>
            </w:r>
          </w:p>
        </w:tc>
        <w:tc>
          <w:tcPr>
            <w:tcW w:w="993" w:type="dxa"/>
            <w:tcBorders>
              <w:top w:val="single" w:sz="18" w:space="0" w:color="BFBFBF" w:themeColor="background1" w:themeShade="BF"/>
              <w:bottom w:val="single" w:sz="18" w:space="0" w:color="BFBFBF" w:themeColor="background1" w:themeShade="BF"/>
            </w:tcBorders>
            <w:shd w:val="clear" w:color="auto" w:fill="auto"/>
            <w:noWrap/>
            <w:hideMark/>
          </w:tcPr>
          <w:p w14:paraId="6EEF93B2"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3.673</w:t>
            </w:r>
          </w:p>
        </w:tc>
        <w:tc>
          <w:tcPr>
            <w:tcW w:w="969" w:type="dxa"/>
            <w:tcBorders>
              <w:top w:val="single" w:sz="18" w:space="0" w:color="BFBFBF" w:themeColor="background1" w:themeShade="BF"/>
              <w:bottom w:val="single" w:sz="18" w:space="0" w:color="BFBFBF" w:themeColor="background1" w:themeShade="BF"/>
            </w:tcBorders>
            <w:shd w:val="clear" w:color="auto" w:fill="auto"/>
            <w:noWrap/>
            <w:hideMark/>
          </w:tcPr>
          <w:p w14:paraId="78020939"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3.615</w:t>
            </w:r>
          </w:p>
        </w:tc>
        <w:tc>
          <w:tcPr>
            <w:tcW w:w="873" w:type="dxa"/>
            <w:tcBorders>
              <w:top w:val="single" w:sz="18" w:space="0" w:color="BFBFBF" w:themeColor="background1" w:themeShade="BF"/>
              <w:bottom w:val="single" w:sz="18" w:space="0" w:color="BFBFBF" w:themeColor="background1" w:themeShade="BF"/>
            </w:tcBorders>
            <w:shd w:val="clear" w:color="auto" w:fill="auto"/>
            <w:noWrap/>
            <w:hideMark/>
          </w:tcPr>
          <w:p w14:paraId="0128CFC3"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3.361</w:t>
            </w:r>
          </w:p>
        </w:tc>
        <w:tc>
          <w:tcPr>
            <w:tcW w:w="851" w:type="dxa"/>
            <w:tcBorders>
              <w:top w:val="single" w:sz="18" w:space="0" w:color="BFBFBF" w:themeColor="background1" w:themeShade="BF"/>
              <w:bottom w:val="single" w:sz="18" w:space="0" w:color="BFBFBF" w:themeColor="background1" w:themeShade="BF"/>
            </w:tcBorders>
            <w:shd w:val="clear" w:color="auto" w:fill="auto"/>
            <w:noWrap/>
            <w:hideMark/>
          </w:tcPr>
          <w:p w14:paraId="15B72FA7"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2.979</w:t>
            </w:r>
          </w:p>
        </w:tc>
        <w:tc>
          <w:tcPr>
            <w:tcW w:w="883" w:type="dxa"/>
            <w:tcBorders>
              <w:top w:val="single" w:sz="18" w:space="0" w:color="BFBFBF" w:themeColor="background1" w:themeShade="BF"/>
              <w:bottom w:val="single" w:sz="18" w:space="0" w:color="BFBFBF" w:themeColor="background1" w:themeShade="BF"/>
            </w:tcBorders>
            <w:shd w:val="clear" w:color="auto" w:fill="auto"/>
            <w:noWrap/>
            <w:hideMark/>
          </w:tcPr>
          <w:p w14:paraId="2FABDBE8"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2.938</w:t>
            </w:r>
          </w:p>
        </w:tc>
        <w:tc>
          <w:tcPr>
            <w:tcW w:w="992" w:type="dxa"/>
            <w:tcBorders>
              <w:top w:val="single" w:sz="18" w:space="0" w:color="BFBFBF" w:themeColor="background1" w:themeShade="BF"/>
              <w:bottom w:val="single" w:sz="18" w:space="0" w:color="BFBFBF" w:themeColor="background1" w:themeShade="BF"/>
            </w:tcBorders>
            <w:shd w:val="clear" w:color="auto" w:fill="auto"/>
            <w:noWrap/>
            <w:hideMark/>
          </w:tcPr>
          <w:p w14:paraId="6F202823"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2.921</w:t>
            </w:r>
          </w:p>
        </w:tc>
        <w:tc>
          <w:tcPr>
            <w:tcW w:w="818" w:type="dxa"/>
            <w:tcBorders>
              <w:top w:val="single" w:sz="18" w:space="0" w:color="BFBFBF" w:themeColor="background1" w:themeShade="BF"/>
              <w:bottom w:val="single" w:sz="18" w:space="0" w:color="BFBFBF" w:themeColor="background1" w:themeShade="BF"/>
            </w:tcBorders>
            <w:shd w:val="clear" w:color="auto" w:fill="auto"/>
            <w:noWrap/>
            <w:hideMark/>
          </w:tcPr>
          <w:p w14:paraId="3FB0A889"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2.691</w:t>
            </w:r>
          </w:p>
        </w:tc>
        <w:tc>
          <w:tcPr>
            <w:tcW w:w="851" w:type="dxa"/>
            <w:tcBorders>
              <w:top w:val="single" w:sz="18" w:space="0" w:color="BFBFBF" w:themeColor="background1" w:themeShade="BF"/>
              <w:bottom w:val="single" w:sz="18" w:space="0" w:color="BFBFBF" w:themeColor="background1" w:themeShade="BF"/>
            </w:tcBorders>
            <w:shd w:val="clear" w:color="auto" w:fill="auto"/>
            <w:noWrap/>
            <w:hideMark/>
          </w:tcPr>
          <w:p w14:paraId="773E5B85"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2.658</w:t>
            </w:r>
          </w:p>
        </w:tc>
      </w:tr>
      <w:tr w:rsidR="00AA21A6" w:rsidRPr="004322FC" w14:paraId="2235CC34" w14:textId="77777777" w:rsidTr="00C050A6">
        <w:trPr>
          <w:trHeight w:val="264"/>
        </w:trPr>
        <w:tc>
          <w:tcPr>
            <w:tcW w:w="2268" w:type="dxa"/>
            <w:tcBorders>
              <w:top w:val="single" w:sz="18" w:space="0" w:color="BFBFBF" w:themeColor="background1" w:themeShade="BF"/>
              <w:bottom w:val="single" w:sz="18" w:space="0" w:color="BFBFBF" w:themeColor="background1" w:themeShade="BF"/>
            </w:tcBorders>
            <w:shd w:val="clear" w:color="auto" w:fill="auto"/>
            <w:noWrap/>
            <w:hideMark/>
          </w:tcPr>
          <w:p w14:paraId="657BE110" w14:textId="77777777" w:rsidR="00AA21A6" w:rsidRPr="00F36C04" w:rsidRDefault="00AA21A6" w:rsidP="00C050A6">
            <w:pPr>
              <w:spacing w:before="120" w:after="120" w:line="240" w:lineRule="auto"/>
              <w:ind w:right="142"/>
              <w:rPr>
                <w:rFonts w:ascii="Arial" w:eastAsia="Times New Roman" w:hAnsi="Arial" w:cs="Arial"/>
                <w:b/>
                <w:bCs/>
                <w:sz w:val="18"/>
                <w:szCs w:val="18"/>
                <w:lang w:val="el-GR" w:eastAsia="el-GR"/>
              </w:rPr>
            </w:pPr>
            <w:r w:rsidRPr="00F36C04">
              <w:rPr>
                <w:rFonts w:ascii="Arial" w:eastAsia="Times New Roman" w:hAnsi="Arial" w:cs="Arial"/>
                <w:b/>
                <w:bCs/>
                <w:sz w:val="18"/>
                <w:szCs w:val="18"/>
                <w:lang w:val="el-GR" w:eastAsia="el-GR"/>
              </w:rPr>
              <w:t>Χωρίς εισοδηματικά κριτήρια</w:t>
            </w:r>
          </w:p>
        </w:tc>
        <w:tc>
          <w:tcPr>
            <w:tcW w:w="993" w:type="dxa"/>
            <w:tcBorders>
              <w:top w:val="single" w:sz="18" w:space="0" w:color="BFBFBF" w:themeColor="background1" w:themeShade="BF"/>
              <w:bottom w:val="single" w:sz="18" w:space="0" w:color="BFBFBF" w:themeColor="background1" w:themeShade="BF"/>
            </w:tcBorders>
            <w:shd w:val="clear" w:color="auto" w:fill="auto"/>
            <w:noWrap/>
            <w:hideMark/>
          </w:tcPr>
          <w:p w14:paraId="5C760544"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3.485</w:t>
            </w:r>
          </w:p>
        </w:tc>
        <w:tc>
          <w:tcPr>
            <w:tcW w:w="969" w:type="dxa"/>
            <w:tcBorders>
              <w:top w:val="single" w:sz="18" w:space="0" w:color="BFBFBF" w:themeColor="background1" w:themeShade="BF"/>
              <w:bottom w:val="single" w:sz="18" w:space="0" w:color="BFBFBF" w:themeColor="background1" w:themeShade="BF"/>
            </w:tcBorders>
            <w:shd w:val="clear" w:color="auto" w:fill="auto"/>
            <w:noWrap/>
            <w:hideMark/>
          </w:tcPr>
          <w:p w14:paraId="36B4F578"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3.472</w:t>
            </w:r>
          </w:p>
        </w:tc>
        <w:tc>
          <w:tcPr>
            <w:tcW w:w="873" w:type="dxa"/>
            <w:tcBorders>
              <w:top w:val="single" w:sz="18" w:space="0" w:color="BFBFBF" w:themeColor="background1" w:themeShade="BF"/>
              <w:bottom w:val="single" w:sz="18" w:space="0" w:color="BFBFBF" w:themeColor="background1" w:themeShade="BF"/>
            </w:tcBorders>
            <w:shd w:val="clear" w:color="auto" w:fill="auto"/>
            <w:noWrap/>
            <w:hideMark/>
          </w:tcPr>
          <w:p w14:paraId="5739C86C"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3.229</w:t>
            </w:r>
          </w:p>
        </w:tc>
        <w:tc>
          <w:tcPr>
            <w:tcW w:w="851" w:type="dxa"/>
            <w:tcBorders>
              <w:top w:val="single" w:sz="18" w:space="0" w:color="BFBFBF" w:themeColor="background1" w:themeShade="BF"/>
              <w:bottom w:val="single" w:sz="18" w:space="0" w:color="BFBFBF" w:themeColor="background1" w:themeShade="BF"/>
            </w:tcBorders>
            <w:shd w:val="clear" w:color="auto" w:fill="auto"/>
            <w:noWrap/>
            <w:hideMark/>
          </w:tcPr>
          <w:p w14:paraId="5ECAAA2E"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2.846</w:t>
            </w:r>
          </w:p>
        </w:tc>
        <w:tc>
          <w:tcPr>
            <w:tcW w:w="883" w:type="dxa"/>
            <w:tcBorders>
              <w:top w:val="single" w:sz="18" w:space="0" w:color="BFBFBF" w:themeColor="background1" w:themeShade="BF"/>
              <w:bottom w:val="single" w:sz="18" w:space="0" w:color="BFBFBF" w:themeColor="background1" w:themeShade="BF"/>
            </w:tcBorders>
            <w:shd w:val="clear" w:color="auto" w:fill="auto"/>
            <w:noWrap/>
            <w:hideMark/>
          </w:tcPr>
          <w:p w14:paraId="1FEF8379"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2.840</w:t>
            </w:r>
          </w:p>
        </w:tc>
        <w:tc>
          <w:tcPr>
            <w:tcW w:w="992" w:type="dxa"/>
            <w:tcBorders>
              <w:top w:val="single" w:sz="18" w:space="0" w:color="BFBFBF" w:themeColor="background1" w:themeShade="BF"/>
              <w:bottom w:val="single" w:sz="18" w:space="0" w:color="BFBFBF" w:themeColor="background1" w:themeShade="BF"/>
            </w:tcBorders>
            <w:shd w:val="clear" w:color="auto" w:fill="auto"/>
            <w:noWrap/>
            <w:hideMark/>
          </w:tcPr>
          <w:p w14:paraId="42938DDA"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2.820</w:t>
            </w:r>
          </w:p>
        </w:tc>
        <w:tc>
          <w:tcPr>
            <w:tcW w:w="818" w:type="dxa"/>
            <w:tcBorders>
              <w:top w:val="single" w:sz="18" w:space="0" w:color="BFBFBF" w:themeColor="background1" w:themeShade="BF"/>
              <w:bottom w:val="single" w:sz="18" w:space="0" w:color="BFBFBF" w:themeColor="background1" w:themeShade="BF"/>
            </w:tcBorders>
            <w:shd w:val="clear" w:color="auto" w:fill="auto"/>
            <w:noWrap/>
            <w:hideMark/>
          </w:tcPr>
          <w:p w14:paraId="31B5B651"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2.601</w:t>
            </w:r>
          </w:p>
        </w:tc>
        <w:tc>
          <w:tcPr>
            <w:tcW w:w="851" w:type="dxa"/>
            <w:tcBorders>
              <w:top w:val="single" w:sz="18" w:space="0" w:color="BFBFBF" w:themeColor="background1" w:themeShade="BF"/>
              <w:bottom w:val="single" w:sz="18" w:space="0" w:color="BFBFBF" w:themeColor="background1" w:themeShade="BF"/>
            </w:tcBorders>
            <w:shd w:val="clear" w:color="auto" w:fill="auto"/>
            <w:noWrap/>
            <w:hideMark/>
          </w:tcPr>
          <w:p w14:paraId="23201E44"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2.610</w:t>
            </w:r>
          </w:p>
        </w:tc>
      </w:tr>
      <w:tr w:rsidR="00AA21A6" w:rsidRPr="004322FC" w14:paraId="035744E0" w14:textId="77777777" w:rsidTr="00C050A6">
        <w:trPr>
          <w:trHeight w:val="264"/>
        </w:trPr>
        <w:tc>
          <w:tcPr>
            <w:tcW w:w="2268" w:type="dxa"/>
            <w:tcBorders>
              <w:top w:val="single" w:sz="18" w:space="0" w:color="BFBFBF" w:themeColor="background1" w:themeShade="BF"/>
              <w:bottom w:val="single" w:sz="18" w:space="0" w:color="BFBFBF" w:themeColor="background1" w:themeShade="BF"/>
            </w:tcBorders>
            <w:shd w:val="clear" w:color="auto" w:fill="auto"/>
            <w:noWrap/>
            <w:hideMark/>
          </w:tcPr>
          <w:p w14:paraId="04E7B4E5" w14:textId="77777777" w:rsidR="00AA21A6" w:rsidRPr="00F36C04" w:rsidRDefault="00AA21A6" w:rsidP="00C050A6">
            <w:pPr>
              <w:spacing w:before="120" w:after="120" w:line="240" w:lineRule="auto"/>
              <w:ind w:right="142"/>
              <w:rPr>
                <w:rFonts w:ascii="Arial" w:eastAsia="Times New Roman" w:hAnsi="Arial" w:cs="Arial"/>
                <w:b/>
                <w:bCs/>
                <w:sz w:val="18"/>
                <w:szCs w:val="18"/>
                <w:lang w:val="el-GR" w:eastAsia="el-GR"/>
              </w:rPr>
            </w:pPr>
            <w:r w:rsidRPr="00F36C04">
              <w:rPr>
                <w:rFonts w:ascii="Arial" w:eastAsia="Times New Roman" w:hAnsi="Arial" w:cs="Arial"/>
                <w:b/>
                <w:bCs/>
                <w:sz w:val="18"/>
                <w:szCs w:val="18"/>
                <w:lang w:val="el-GR" w:eastAsia="el-GR"/>
              </w:rPr>
              <w:t>Παροχές σε χρήμα</w:t>
            </w:r>
          </w:p>
        </w:tc>
        <w:tc>
          <w:tcPr>
            <w:tcW w:w="993" w:type="dxa"/>
            <w:tcBorders>
              <w:top w:val="single" w:sz="18" w:space="0" w:color="BFBFBF" w:themeColor="background1" w:themeShade="BF"/>
              <w:bottom w:val="single" w:sz="18" w:space="0" w:color="BFBFBF" w:themeColor="background1" w:themeShade="BF"/>
            </w:tcBorders>
            <w:shd w:val="clear" w:color="auto" w:fill="auto"/>
            <w:noWrap/>
            <w:hideMark/>
          </w:tcPr>
          <w:p w14:paraId="48136C0A"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3.469</w:t>
            </w:r>
          </w:p>
        </w:tc>
        <w:tc>
          <w:tcPr>
            <w:tcW w:w="969" w:type="dxa"/>
            <w:tcBorders>
              <w:top w:val="single" w:sz="18" w:space="0" w:color="BFBFBF" w:themeColor="background1" w:themeShade="BF"/>
              <w:bottom w:val="single" w:sz="18" w:space="0" w:color="BFBFBF" w:themeColor="background1" w:themeShade="BF"/>
            </w:tcBorders>
            <w:shd w:val="clear" w:color="auto" w:fill="auto"/>
            <w:noWrap/>
            <w:hideMark/>
          </w:tcPr>
          <w:p w14:paraId="2C2493FA"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3.456</w:t>
            </w:r>
          </w:p>
        </w:tc>
        <w:tc>
          <w:tcPr>
            <w:tcW w:w="873" w:type="dxa"/>
            <w:tcBorders>
              <w:top w:val="single" w:sz="18" w:space="0" w:color="BFBFBF" w:themeColor="background1" w:themeShade="BF"/>
              <w:bottom w:val="single" w:sz="18" w:space="0" w:color="BFBFBF" w:themeColor="background1" w:themeShade="BF"/>
            </w:tcBorders>
            <w:shd w:val="clear" w:color="auto" w:fill="auto"/>
            <w:noWrap/>
            <w:hideMark/>
          </w:tcPr>
          <w:p w14:paraId="124D9738"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3.200</w:t>
            </w:r>
          </w:p>
        </w:tc>
        <w:tc>
          <w:tcPr>
            <w:tcW w:w="851" w:type="dxa"/>
            <w:tcBorders>
              <w:top w:val="single" w:sz="18" w:space="0" w:color="BFBFBF" w:themeColor="background1" w:themeShade="BF"/>
              <w:bottom w:val="single" w:sz="18" w:space="0" w:color="BFBFBF" w:themeColor="background1" w:themeShade="BF"/>
            </w:tcBorders>
            <w:shd w:val="clear" w:color="auto" w:fill="auto"/>
            <w:noWrap/>
            <w:hideMark/>
          </w:tcPr>
          <w:p w14:paraId="45AEF810"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2.833</w:t>
            </w:r>
          </w:p>
        </w:tc>
        <w:tc>
          <w:tcPr>
            <w:tcW w:w="883" w:type="dxa"/>
            <w:tcBorders>
              <w:top w:val="single" w:sz="18" w:space="0" w:color="BFBFBF" w:themeColor="background1" w:themeShade="BF"/>
              <w:bottom w:val="single" w:sz="18" w:space="0" w:color="BFBFBF" w:themeColor="background1" w:themeShade="BF"/>
            </w:tcBorders>
            <w:shd w:val="clear" w:color="auto" w:fill="auto"/>
            <w:noWrap/>
            <w:hideMark/>
          </w:tcPr>
          <w:p w14:paraId="646F6AE8"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2.826</w:t>
            </w:r>
          </w:p>
        </w:tc>
        <w:tc>
          <w:tcPr>
            <w:tcW w:w="992" w:type="dxa"/>
            <w:tcBorders>
              <w:top w:val="single" w:sz="18" w:space="0" w:color="BFBFBF" w:themeColor="background1" w:themeShade="BF"/>
              <w:bottom w:val="single" w:sz="18" w:space="0" w:color="BFBFBF" w:themeColor="background1" w:themeShade="BF"/>
            </w:tcBorders>
            <w:shd w:val="clear" w:color="auto" w:fill="auto"/>
            <w:noWrap/>
            <w:hideMark/>
          </w:tcPr>
          <w:p w14:paraId="2165321B"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2.815</w:t>
            </w:r>
          </w:p>
        </w:tc>
        <w:tc>
          <w:tcPr>
            <w:tcW w:w="818" w:type="dxa"/>
            <w:tcBorders>
              <w:top w:val="single" w:sz="18" w:space="0" w:color="BFBFBF" w:themeColor="background1" w:themeShade="BF"/>
              <w:bottom w:val="single" w:sz="18" w:space="0" w:color="BFBFBF" w:themeColor="background1" w:themeShade="BF"/>
            </w:tcBorders>
            <w:shd w:val="clear" w:color="auto" w:fill="auto"/>
            <w:noWrap/>
            <w:hideMark/>
          </w:tcPr>
          <w:p w14:paraId="423FF7E5"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2.601</w:t>
            </w:r>
          </w:p>
        </w:tc>
        <w:tc>
          <w:tcPr>
            <w:tcW w:w="851" w:type="dxa"/>
            <w:tcBorders>
              <w:top w:val="single" w:sz="18" w:space="0" w:color="BFBFBF" w:themeColor="background1" w:themeShade="BF"/>
              <w:bottom w:val="single" w:sz="18" w:space="0" w:color="BFBFBF" w:themeColor="background1" w:themeShade="BF"/>
            </w:tcBorders>
            <w:shd w:val="clear" w:color="auto" w:fill="auto"/>
            <w:noWrap/>
            <w:hideMark/>
          </w:tcPr>
          <w:p w14:paraId="2B15EDF9"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2.610</w:t>
            </w:r>
          </w:p>
        </w:tc>
      </w:tr>
      <w:tr w:rsidR="00AA21A6" w:rsidRPr="004322FC" w14:paraId="10A55624" w14:textId="77777777" w:rsidTr="00C050A6">
        <w:trPr>
          <w:trHeight w:val="264"/>
        </w:trPr>
        <w:tc>
          <w:tcPr>
            <w:tcW w:w="2268" w:type="dxa"/>
            <w:tcBorders>
              <w:top w:val="single" w:sz="18" w:space="0" w:color="BFBFBF" w:themeColor="background1" w:themeShade="BF"/>
              <w:bottom w:val="nil"/>
            </w:tcBorders>
            <w:shd w:val="clear" w:color="auto" w:fill="auto"/>
            <w:noWrap/>
            <w:hideMark/>
          </w:tcPr>
          <w:p w14:paraId="45F9E991" w14:textId="77777777" w:rsidR="00AA21A6" w:rsidRPr="00F36C04" w:rsidRDefault="00AA21A6" w:rsidP="00C050A6">
            <w:pPr>
              <w:spacing w:before="120" w:after="120" w:line="240" w:lineRule="auto"/>
              <w:ind w:right="142"/>
              <w:rPr>
                <w:rFonts w:ascii="Arial" w:eastAsia="Times New Roman" w:hAnsi="Arial" w:cs="Arial"/>
                <w:b/>
                <w:bCs/>
                <w:sz w:val="18"/>
                <w:szCs w:val="18"/>
                <w:lang w:val="el-GR" w:eastAsia="el-GR"/>
              </w:rPr>
            </w:pPr>
            <w:r w:rsidRPr="00F36C04">
              <w:rPr>
                <w:rFonts w:ascii="Arial" w:eastAsia="Times New Roman" w:hAnsi="Arial" w:cs="Arial"/>
                <w:b/>
                <w:bCs/>
                <w:sz w:val="18"/>
                <w:szCs w:val="18"/>
                <w:lang w:val="el-GR" w:eastAsia="el-GR"/>
              </w:rPr>
              <w:t>Περιοδικές</w:t>
            </w:r>
          </w:p>
        </w:tc>
        <w:tc>
          <w:tcPr>
            <w:tcW w:w="993" w:type="dxa"/>
            <w:tcBorders>
              <w:top w:val="single" w:sz="18" w:space="0" w:color="BFBFBF" w:themeColor="background1" w:themeShade="BF"/>
              <w:bottom w:val="nil"/>
            </w:tcBorders>
            <w:shd w:val="clear" w:color="auto" w:fill="auto"/>
            <w:noWrap/>
            <w:hideMark/>
          </w:tcPr>
          <w:p w14:paraId="1F822F40"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3.462</w:t>
            </w:r>
          </w:p>
        </w:tc>
        <w:tc>
          <w:tcPr>
            <w:tcW w:w="969" w:type="dxa"/>
            <w:tcBorders>
              <w:top w:val="single" w:sz="18" w:space="0" w:color="BFBFBF" w:themeColor="background1" w:themeShade="BF"/>
              <w:bottom w:val="nil"/>
            </w:tcBorders>
            <w:shd w:val="clear" w:color="auto" w:fill="auto"/>
            <w:noWrap/>
            <w:hideMark/>
          </w:tcPr>
          <w:p w14:paraId="605B8057"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3.448</w:t>
            </w:r>
          </w:p>
        </w:tc>
        <w:tc>
          <w:tcPr>
            <w:tcW w:w="873" w:type="dxa"/>
            <w:tcBorders>
              <w:top w:val="single" w:sz="18" w:space="0" w:color="BFBFBF" w:themeColor="background1" w:themeShade="BF"/>
              <w:bottom w:val="nil"/>
            </w:tcBorders>
            <w:shd w:val="clear" w:color="auto" w:fill="auto"/>
            <w:noWrap/>
            <w:hideMark/>
          </w:tcPr>
          <w:p w14:paraId="31577E7F"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3.191</w:t>
            </w:r>
          </w:p>
        </w:tc>
        <w:tc>
          <w:tcPr>
            <w:tcW w:w="851" w:type="dxa"/>
            <w:tcBorders>
              <w:top w:val="single" w:sz="18" w:space="0" w:color="BFBFBF" w:themeColor="background1" w:themeShade="BF"/>
              <w:bottom w:val="nil"/>
            </w:tcBorders>
            <w:shd w:val="clear" w:color="auto" w:fill="auto"/>
            <w:noWrap/>
            <w:hideMark/>
          </w:tcPr>
          <w:p w14:paraId="049C8F67"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2.830</w:t>
            </w:r>
          </w:p>
        </w:tc>
        <w:tc>
          <w:tcPr>
            <w:tcW w:w="883" w:type="dxa"/>
            <w:tcBorders>
              <w:top w:val="single" w:sz="18" w:space="0" w:color="BFBFBF" w:themeColor="background1" w:themeShade="BF"/>
              <w:bottom w:val="nil"/>
            </w:tcBorders>
            <w:shd w:val="clear" w:color="auto" w:fill="auto"/>
            <w:noWrap/>
            <w:hideMark/>
          </w:tcPr>
          <w:p w14:paraId="05361DEA"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2.824</w:t>
            </w:r>
          </w:p>
        </w:tc>
        <w:tc>
          <w:tcPr>
            <w:tcW w:w="992" w:type="dxa"/>
            <w:tcBorders>
              <w:top w:val="single" w:sz="18" w:space="0" w:color="BFBFBF" w:themeColor="background1" w:themeShade="BF"/>
              <w:bottom w:val="nil"/>
            </w:tcBorders>
            <w:shd w:val="clear" w:color="auto" w:fill="auto"/>
            <w:noWrap/>
            <w:hideMark/>
          </w:tcPr>
          <w:p w14:paraId="08265607"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2.813</w:t>
            </w:r>
          </w:p>
        </w:tc>
        <w:tc>
          <w:tcPr>
            <w:tcW w:w="818" w:type="dxa"/>
            <w:tcBorders>
              <w:top w:val="single" w:sz="18" w:space="0" w:color="BFBFBF" w:themeColor="background1" w:themeShade="BF"/>
              <w:bottom w:val="nil"/>
            </w:tcBorders>
            <w:shd w:val="clear" w:color="auto" w:fill="auto"/>
            <w:noWrap/>
            <w:hideMark/>
          </w:tcPr>
          <w:p w14:paraId="41BF10FA"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2.599</w:t>
            </w:r>
          </w:p>
        </w:tc>
        <w:tc>
          <w:tcPr>
            <w:tcW w:w="851" w:type="dxa"/>
            <w:tcBorders>
              <w:top w:val="single" w:sz="18" w:space="0" w:color="BFBFBF" w:themeColor="background1" w:themeShade="BF"/>
              <w:bottom w:val="nil"/>
            </w:tcBorders>
            <w:shd w:val="clear" w:color="auto" w:fill="auto"/>
            <w:noWrap/>
            <w:hideMark/>
          </w:tcPr>
          <w:p w14:paraId="59FB16C4"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2.608</w:t>
            </w:r>
          </w:p>
        </w:tc>
      </w:tr>
      <w:tr w:rsidR="00AA21A6" w:rsidRPr="004322FC" w14:paraId="5EE69BF5" w14:textId="77777777" w:rsidTr="00C050A6">
        <w:trPr>
          <w:trHeight w:val="264"/>
        </w:trPr>
        <w:tc>
          <w:tcPr>
            <w:tcW w:w="2268" w:type="dxa"/>
            <w:tcBorders>
              <w:top w:val="nil"/>
              <w:bottom w:val="nil"/>
            </w:tcBorders>
            <w:shd w:val="clear" w:color="auto" w:fill="auto"/>
            <w:noWrap/>
            <w:hideMark/>
          </w:tcPr>
          <w:p w14:paraId="31E65D00"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 xml:space="preserve">Συντάξεις αναπηρίας </w:t>
            </w:r>
          </w:p>
        </w:tc>
        <w:tc>
          <w:tcPr>
            <w:tcW w:w="993" w:type="dxa"/>
            <w:tcBorders>
              <w:top w:val="nil"/>
              <w:bottom w:val="nil"/>
            </w:tcBorders>
            <w:shd w:val="clear" w:color="auto" w:fill="auto"/>
            <w:noWrap/>
            <w:hideMark/>
          </w:tcPr>
          <w:p w14:paraId="6D8A8C22"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2.694</w:t>
            </w:r>
          </w:p>
        </w:tc>
        <w:tc>
          <w:tcPr>
            <w:tcW w:w="969" w:type="dxa"/>
            <w:tcBorders>
              <w:top w:val="nil"/>
              <w:bottom w:val="nil"/>
            </w:tcBorders>
            <w:shd w:val="clear" w:color="auto" w:fill="auto"/>
            <w:noWrap/>
            <w:hideMark/>
          </w:tcPr>
          <w:p w14:paraId="772EEAF6"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2.693</w:t>
            </w:r>
          </w:p>
        </w:tc>
        <w:tc>
          <w:tcPr>
            <w:tcW w:w="873" w:type="dxa"/>
            <w:tcBorders>
              <w:top w:val="nil"/>
              <w:bottom w:val="nil"/>
            </w:tcBorders>
            <w:shd w:val="clear" w:color="auto" w:fill="auto"/>
            <w:noWrap/>
            <w:hideMark/>
          </w:tcPr>
          <w:p w14:paraId="5DF8CDE3"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2.439</w:t>
            </w:r>
          </w:p>
        </w:tc>
        <w:tc>
          <w:tcPr>
            <w:tcW w:w="851" w:type="dxa"/>
            <w:tcBorders>
              <w:top w:val="nil"/>
              <w:bottom w:val="nil"/>
            </w:tcBorders>
            <w:shd w:val="clear" w:color="auto" w:fill="auto"/>
            <w:noWrap/>
            <w:hideMark/>
          </w:tcPr>
          <w:p w14:paraId="2CFF544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2.156</w:t>
            </w:r>
          </w:p>
        </w:tc>
        <w:tc>
          <w:tcPr>
            <w:tcW w:w="883" w:type="dxa"/>
            <w:tcBorders>
              <w:top w:val="nil"/>
              <w:bottom w:val="nil"/>
            </w:tcBorders>
            <w:shd w:val="clear" w:color="auto" w:fill="auto"/>
            <w:noWrap/>
            <w:hideMark/>
          </w:tcPr>
          <w:p w14:paraId="5A52222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2.105</w:t>
            </w:r>
          </w:p>
        </w:tc>
        <w:tc>
          <w:tcPr>
            <w:tcW w:w="992" w:type="dxa"/>
            <w:tcBorders>
              <w:top w:val="nil"/>
              <w:bottom w:val="nil"/>
            </w:tcBorders>
            <w:shd w:val="clear" w:color="auto" w:fill="auto"/>
            <w:noWrap/>
            <w:hideMark/>
          </w:tcPr>
          <w:p w14:paraId="1BF6237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2.140</w:t>
            </w:r>
          </w:p>
        </w:tc>
        <w:tc>
          <w:tcPr>
            <w:tcW w:w="818" w:type="dxa"/>
            <w:tcBorders>
              <w:top w:val="nil"/>
              <w:bottom w:val="nil"/>
            </w:tcBorders>
            <w:shd w:val="clear" w:color="auto" w:fill="auto"/>
            <w:noWrap/>
            <w:hideMark/>
          </w:tcPr>
          <w:p w14:paraId="4CBC5803"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1.930</w:t>
            </w:r>
          </w:p>
        </w:tc>
        <w:tc>
          <w:tcPr>
            <w:tcW w:w="851" w:type="dxa"/>
            <w:tcBorders>
              <w:top w:val="nil"/>
              <w:bottom w:val="nil"/>
            </w:tcBorders>
            <w:shd w:val="clear" w:color="auto" w:fill="auto"/>
            <w:noWrap/>
            <w:hideMark/>
          </w:tcPr>
          <w:p w14:paraId="7089509D"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1.937</w:t>
            </w:r>
          </w:p>
        </w:tc>
      </w:tr>
      <w:tr w:rsidR="00AA21A6" w:rsidRPr="004322FC" w14:paraId="7F58BA31" w14:textId="77777777" w:rsidTr="00C050A6">
        <w:trPr>
          <w:trHeight w:val="264"/>
        </w:trPr>
        <w:tc>
          <w:tcPr>
            <w:tcW w:w="2268" w:type="dxa"/>
            <w:tcBorders>
              <w:top w:val="nil"/>
              <w:bottom w:val="nil"/>
            </w:tcBorders>
            <w:shd w:val="clear" w:color="auto" w:fill="auto"/>
            <w:noWrap/>
            <w:hideMark/>
          </w:tcPr>
          <w:p w14:paraId="4FF9E8D5"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Επίδομα περίθαλψης</w:t>
            </w:r>
          </w:p>
        </w:tc>
        <w:tc>
          <w:tcPr>
            <w:tcW w:w="993" w:type="dxa"/>
            <w:tcBorders>
              <w:top w:val="nil"/>
              <w:bottom w:val="nil"/>
            </w:tcBorders>
            <w:shd w:val="clear" w:color="auto" w:fill="auto"/>
            <w:noWrap/>
            <w:hideMark/>
          </w:tcPr>
          <w:p w14:paraId="4166239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69" w:type="dxa"/>
            <w:tcBorders>
              <w:top w:val="nil"/>
              <w:bottom w:val="nil"/>
            </w:tcBorders>
            <w:shd w:val="clear" w:color="auto" w:fill="auto"/>
            <w:noWrap/>
            <w:hideMark/>
          </w:tcPr>
          <w:p w14:paraId="0671685A"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73" w:type="dxa"/>
            <w:tcBorders>
              <w:top w:val="nil"/>
              <w:bottom w:val="nil"/>
            </w:tcBorders>
            <w:shd w:val="clear" w:color="auto" w:fill="auto"/>
            <w:noWrap/>
            <w:hideMark/>
          </w:tcPr>
          <w:p w14:paraId="47BCF327"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36C8EA52"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83" w:type="dxa"/>
            <w:tcBorders>
              <w:top w:val="nil"/>
              <w:bottom w:val="nil"/>
            </w:tcBorders>
            <w:shd w:val="clear" w:color="auto" w:fill="auto"/>
            <w:noWrap/>
            <w:hideMark/>
          </w:tcPr>
          <w:p w14:paraId="54D22CB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92" w:type="dxa"/>
            <w:tcBorders>
              <w:top w:val="nil"/>
              <w:bottom w:val="nil"/>
            </w:tcBorders>
            <w:shd w:val="clear" w:color="auto" w:fill="auto"/>
            <w:noWrap/>
            <w:hideMark/>
          </w:tcPr>
          <w:p w14:paraId="1E0B76E0"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18" w:type="dxa"/>
            <w:tcBorders>
              <w:top w:val="nil"/>
              <w:bottom w:val="nil"/>
            </w:tcBorders>
            <w:shd w:val="clear" w:color="auto" w:fill="auto"/>
            <w:noWrap/>
            <w:hideMark/>
          </w:tcPr>
          <w:p w14:paraId="38DC40E6"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74B28301"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r>
      <w:tr w:rsidR="00AA21A6" w:rsidRPr="004322FC" w14:paraId="4D85CAB0" w14:textId="77777777" w:rsidTr="00C050A6">
        <w:trPr>
          <w:trHeight w:val="264"/>
        </w:trPr>
        <w:tc>
          <w:tcPr>
            <w:tcW w:w="2268" w:type="dxa"/>
            <w:tcBorders>
              <w:top w:val="nil"/>
              <w:bottom w:val="single" w:sz="18" w:space="0" w:color="BFBFBF" w:themeColor="background1" w:themeShade="BF"/>
            </w:tcBorders>
            <w:shd w:val="clear" w:color="auto" w:fill="auto"/>
            <w:noWrap/>
            <w:hideMark/>
          </w:tcPr>
          <w:p w14:paraId="09EBDB52"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Λοιπά Προνοιακά επιδόματα</w:t>
            </w:r>
          </w:p>
        </w:tc>
        <w:tc>
          <w:tcPr>
            <w:tcW w:w="993" w:type="dxa"/>
            <w:tcBorders>
              <w:top w:val="nil"/>
              <w:bottom w:val="single" w:sz="18" w:space="0" w:color="BFBFBF" w:themeColor="background1" w:themeShade="BF"/>
            </w:tcBorders>
            <w:shd w:val="clear" w:color="auto" w:fill="auto"/>
            <w:noWrap/>
            <w:hideMark/>
          </w:tcPr>
          <w:p w14:paraId="38499375"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768</w:t>
            </w:r>
          </w:p>
        </w:tc>
        <w:tc>
          <w:tcPr>
            <w:tcW w:w="969" w:type="dxa"/>
            <w:tcBorders>
              <w:top w:val="nil"/>
              <w:bottom w:val="single" w:sz="18" w:space="0" w:color="BFBFBF" w:themeColor="background1" w:themeShade="BF"/>
            </w:tcBorders>
            <w:shd w:val="clear" w:color="auto" w:fill="auto"/>
            <w:noWrap/>
            <w:hideMark/>
          </w:tcPr>
          <w:p w14:paraId="79AAD1F5"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755</w:t>
            </w:r>
          </w:p>
        </w:tc>
        <w:tc>
          <w:tcPr>
            <w:tcW w:w="873" w:type="dxa"/>
            <w:tcBorders>
              <w:top w:val="nil"/>
              <w:bottom w:val="single" w:sz="18" w:space="0" w:color="BFBFBF" w:themeColor="background1" w:themeShade="BF"/>
            </w:tcBorders>
            <w:shd w:val="clear" w:color="auto" w:fill="auto"/>
            <w:noWrap/>
            <w:hideMark/>
          </w:tcPr>
          <w:p w14:paraId="294597C5" w14:textId="77777777" w:rsidR="00AA21A6" w:rsidRPr="00C050A6" w:rsidRDefault="00AA21A6" w:rsidP="00C050A6">
            <w:pPr>
              <w:spacing w:before="40" w:after="40" w:line="240" w:lineRule="auto"/>
              <w:ind w:right="142"/>
              <w:jc w:val="right"/>
              <w:rPr>
                <w:rFonts w:ascii="Arial" w:eastAsia="Times New Roman" w:hAnsi="Arial" w:cs="Arial"/>
                <w:sz w:val="18"/>
                <w:szCs w:val="18"/>
                <w:lang w:val="el-GR" w:eastAsia="el-GR"/>
              </w:rPr>
            </w:pPr>
            <w:r w:rsidRPr="004322FC">
              <w:rPr>
                <w:rFonts w:ascii="Arial" w:eastAsia="Times New Roman" w:hAnsi="Arial" w:cs="Arial"/>
                <w:sz w:val="18"/>
                <w:szCs w:val="18"/>
                <w:lang w:eastAsia="el-GR"/>
              </w:rPr>
              <w:t>752</w:t>
            </w:r>
          </w:p>
        </w:tc>
        <w:tc>
          <w:tcPr>
            <w:tcW w:w="851" w:type="dxa"/>
            <w:tcBorders>
              <w:top w:val="nil"/>
              <w:bottom w:val="single" w:sz="18" w:space="0" w:color="BFBFBF" w:themeColor="background1" w:themeShade="BF"/>
            </w:tcBorders>
            <w:shd w:val="clear" w:color="auto" w:fill="auto"/>
            <w:noWrap/>
            <w:hideMark/>
          </w:tcPr>
          <w:p w14:paraId="6DDC2C77"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674</w:t>
            </w:r>
          </w:p>
        </w:tc>
        <w:tc>
          <w:tcPr>
            <w:tcW w:w="883" w:type="dxa"/>
            <w:tcBorders>
              <w:top w:val="nil"/>
              <w:bottom w:val="single" w:sz="18" w:space="0" w:color="BFBFBF" w:themeColor="background1" w:themeShade="BF"/>
            </w:tcBorders>
            <w:shd w:val="clear" w:color="auto" w:fill="auto"/>
            <w:noWrap/>
            <w:hideMark/>
          </w:tcPr>
          <w:p w14:paraId="32A2D182"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719</w:t>
            </w:r>
          </w:p>
        </w:tc>
        <w:tc>
          <w:tcPr>
            <w:tcW w:w="992" w:type="dxa"/>
            <w:tcBorders>
              <w:top w:val="nil"/>
              <w:bottom w:val="single" w:sz="18" w:space="0" w:color="BFBFBF" w:themeColor="background1" w:themeShade="BF"/>
            </w:tcBorders>
            <w:shd w:val="clear" w:color="auto" w:fill="auto"/>
            <w:noWrap/>
            <w:hideMark/>
          </w:tcPr>
          <w:p w14:paraId="2B4C40D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673</w:t>
            </w:r>
          </w:p>
        </w:tc>
        <w:tc>
          <w:tcPr>
            <w:tcW w:w="818" w:type="dxa"/>
            <w:tcBorders>
              <w:top w:val="nil"/>
              <w:bottom w:val="single" w:sz="18" w:space="0" w:color="BFBFBF" w:themeColor="background1" w:themeShade="BF"/>
            </w:tcBorders>
            <w:shd w:val="clear" w:color="auto" w:fill="auto"/>
            <w:noWrap/>
            <w:hideMark/>
          </w:tcPr>
          <w:p w14:paraId="276159EB"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669</w:t>
            </w:r>
          </w:p>
        </w:tc>
        <w:tc>
          <w:tcPr>
            <w:tcW w:w="851" w:type="dxa"/>
            <w:tcBorders>
              <w:top w:val="nil"/>
              <w:bottom w:val="single" w:sz="18" w:space="0" w:color="BFBFBF" w:themeColor="background1" w:themeShade="BF"/>
            </w:tcBorders>
            <w:shd w:val="clear" w:color="auto" w:fill="auto"/>
            <w:noWrap/>
            <w:hideMark/>
          </w:tcPr>
          <w:p w14:paraId="5CC35AF8"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671</w:t>
            </w:r>
          </w:p>
        </w:tc>
      </w:tr>
      <w:tr w:rsidR="00AA21A6" w:rsidRPr="004322FC" w14:paraId="55CFF335" w14:textId="77777777" w:rsidTr="00C050A6">
        <w:trPr>
          <w:trHeight w:val="264"/>
        </w:trPr>
        <w:tc>
          <w:tcPr>
            <w:tcW w:w="2268" w:type="dxa"/>
            <w:tcBorders>
              <w:top w:val="single" w:sz="18" w:space="0" w:color="BFBFBF" w:themeColor="background1" w:themeShade="BF"/>
              <w:bottom w:val="nil"/>
            </w:tcBorders>
            <w:shd w:val="clear" w:color="auto" w:fill="auto"/>
            <w:noWrap/>
            <w:hideMark/>
          </w:tcPr>
          <w:p w14:paraId="20BD9FAD" w14:textId="77777777" w:rsidR="00AA21A6" w:rsidRPr="00F36C04" w:rsidRDefault="00AA21A6" w:rsidP="00C050A6">
            <w:pPr>
              <w:spacing w:before="120" w:after="120" w:line="240" w:lineRule="auto"/>
              <w:ind w:right="142"/>
              <w:rPr>
                <w:rFonts w:ascii="Arial" w:eastAsia="Times New Roman" w:hAnsi="Arial" w:cs="Arial"/>
                <w:b/>
                <w:bCs/>
                <w:sz w:val="18"/>
                <w:szCs w:val="18"/>
                <w:lang w:val="el-GR" w:eastAsia="el-GR"/>
              </w:rPr>
            </w:pPr>
            <w:r w:rsidRPr="00F36C04">
              <w:rPr>
                <w:rFonts w:ascii="Arial" w:eastAsia="Times New Roman" w:hAnsi="Arial" w:cs="Arial"/>
                <w:b/>
                <w:bCs/>
                <w:sz w:val="18"/>
                <w:szCs w:val="18"/>
                <w:lang w:val="el-GR" w:eastAsia="el-GR"/>
              </w:rPr>
              <w:t>Εφάπαξ</w:t>
            </w:r>
          </w:p>
        </w:tc>
        <w:tc>
          <w:tcPr>
            <w:tcW w:w="993" w:type="dxa"/>
            <w:tcBorders>
              <w:top w:val="single" w:sz="18" w:space="0" w:color="BFBFBF" w:themeColor="background1" w:themeShade="BF"/>
              <w:bottom w:val="nil"/>
            </w:tcBorders>
            <w:shd w:val="clear" w:color="auto" w:fill="auto"/>
            <w:noWrap/>
            <w:hideMark/>
          </w:tcPr>
          <w:p w14:paraId="25A36C3E"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7</w:t>
            </w:r>
          </w:p>
        </w:tc>
        <w:tc>
          <w:tcPr>
            <w:tcW w:w="969" w:type="dxa"/>
            <w:tcBorders>
              <w:top w:val="single" w:sz="18" w:space="0" w:color="BFBFBF" w:themeColor="background1" w:themeShade="BF"/>
              <w:bottom w:val="nil"/>
            </w:tcBorders>
            <w:shd w:val="clear" w:color="auto" w:fill="auto"/>
            <w:noWrap/>
            <w:hideMark/>
          </w:tcPr>
          <w:p w14:paraId="097C4970"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8</w:t>
            </w:r>
          </w:p>
        </w:tc>
        <w:tc>
          <w:tcPr>
            <w:tcW w:w="873" w:type="dxa"/>
            <w:tcBorders>
              <w:top w:val="single" w:sz="18" w:space="0" w:color="BFBFBF" w:themeColor="background1" w:themeShade="BF"/>
              <w:bottom w:val="nil"/>
            </w:tcBorders>
            <w:shd w:val="clear" w:color="auto" w:fill="auto"/>
            <w:noWrap/>
            <w:hideMark/>
          </w:tcPr>
          <w:p w14:paraId="001A0909"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9</w:t>
            </w:r>
          </w:p>
        </w:tc>
        <w:tc>
          <w:tcPr>
            <w:tcW w:w="851" w:type="dxa"/>
            <w:tcBorders>
              <w:top w:val="single" w:sz="18" w:space="0" w:color="BFBFBF" w:themeColor="background1" w:themeShade="BF"/>
              <w:bottom w:val="nil"/>
            </w:tcBorders>
            <w:shd w:val="clear" w:color="auto" w:fill="auto"/>
            <w:noWrap/>
            <w:hideMark/>
          </w:tcPr>
          <w:p w14:paraId="01D94C5B"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3</w:t>
            </w:r>
          </w:p>
        </w:tc>
        <w:tc>
          <w:tcPr>
            <w:tcW w:w="883" w:type="dxa"/>
            <w:tcBorders>
              <w:top w:val="single" w:sz="18" w:space="0" w:color="BFBFBF" w:themeColor="background1" w:themeShade="BF"/>
              <w:bottom w:val="nil"/>
            </w:tcBorders>
            <w:shd w:val="clear" w:color="auto" w:fill="auto"/>
            <w:noWrap/>
            <w:hideMark/>
          </w:tcPr>
          <w:p w14:paraId="0852E760"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w:t>
            </w:r>
          </w:p>
        </w:tc>
        <w:tc>
          <w:tcPr>
            <w:tcW w:w="992" w:type="dxa"/>
            <w:tcBorders>
              <w:top w:val="single" w:sz="18" w:space="0" w:color="BFBFBF" w:themeColor="background1" w:themeShade="BF"/>
              <w:bottom w:val="nil"/>
            </w:tcBorders>
            <w:shd w:val="clear" w:color="auto" w:fill="auto"/>
            <w:noWrap/>
            <w:hideMark/>
          </w:tcPr>
          <w:p w14:paraId="6F830515"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w:t>
            </w:r>
          </w:p>
        </w:tc>
        <w:tc>
          <w:tcPr>
            <w:tcW w:w="818" w:type="dxa"/>
            <w:tcBorders>
              <w:top w:val="single" w:sz="18" w:space="0" w:color="BFBFBF" w:themeColor="background1" w:themeShade="BF"/>
              <w:bottom w:val="nil"/>
            </w:tcBorders>
            <w:shd w:val="clear" w:color="auto" w:fill="auto"/>
            <w:noWrap/>
            <w:hideMark/>
          </w:tcPr>
          <w:p w14:paraId="1066F1ED"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w:t>
            </w:r>
          </w:p>
        </w:tc>
        <w:tc>
          <w:tcPr>
            <w:tcW w:w="851" w:type="dxa"/>
            <w:tcBorders>
              <w:top w:val="single" w:sz="18" w:space="0" w:color="BFBFBF" w:themeColor="background1" w:themeShade="BF"/>
              <w:bottom w:val="nil"/>
            </w:tcBorders>
            <w:shd w:val="clear" w:color="auto" w:fill="auto"/>
            <w:noWrap/>
            <w:hideMark/>
          </w:tcPr>
          <w:p w14:paraId="585BD38F"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w:t>
            </w:r>
          </w:p>
        </w:tc>
      </w:tr>
      <w:tr w:rsidR="00AA21A6" w:rsidRPr="004322FC" w14:paraId="5D267817" w14:textId="77777777" w:rsidTr="00C050A6">
        <w:trPr>
          <w:trHeight w:val="264"/>
        </w:trPr>
        <w:tc>
          <w:tcPr>
            <w:tcW w:w="2268" w:type="dxa"/>
            <w:tcBorders>
              <w:top w:val="nil"/>
              <w:bottom w:val="nil"/>
            </w:tcBorders>
            <w:shd w:val="clear" w:color="auto" w:fill="auto"/>
            <w:noWrap/>
            <w:hideMark/>
          </w:tcPr>
          <w:p w14:paraId="25B2256D" w14:textId="1F5BFDDC"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Επίδομα αναπηρίας - ανικανότητας</w:t>
            </w:r>
          </w:p>
        </w:tc>
        <w:tc>
          <w:tcPr>
            <w:tcW w:w="993" w:type="dxa"/>
            <w:tcBorders>
              <w:top w:val="nil"/>
              <w:bottom w:val="nil"/>
            </w:tcBorders>
            <w:shd w:val="clear" w:color="auto" w:fill="auto"/>
            <w:noWrap/>
            <w:hideMark/>
          </w:tcPr>
          <w:p w14:paraId="3E529306"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69" w:type="dxa"/>
            <w:tcBorders>
              <w:top w:val="nil"/>
              <w:bottom w:val="nil"/>
            </w:tcBorders>
            <w:shd w:val="clear" w:color="auto" w:fill="auto"/>
            <w:noWrap/>
            <w:hideMark/>
          </w:tcPr>
          <w:p w14:paraId="00DF3183"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73" w:type="dxa"/>
            <w:tcBorders>
              <w:top w:val="nil"/>
              <w:bottom w:val="nil"/>
            </w:tcBorders>
            <w:shd w:val="clear" w:color="auto" w:fill="auto"/>
            <w:noWrap/>
            <w:hideMark/>
          </w:tcPr>
          <w:p w14:paraId="0D7B2A63"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4915C97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83" w:type="dxa"/>
            <w:tcBorders>
              <w:top w:val="nil"/>
              <w:bottom w:val="nil"/>
            </w:tcBorders>
            <w:shd w:val="clear" w:color="auto" w:fill="auto"/>
            <w:noWrap/>
            <w:hideMark/>
          </w:tcPr>
          <w:p w14:paraId="63DFCE96"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92" w:type="dxa"/>
            <w:tcBorders>
              <w:top w:val="nil"/>
              <w:bottom w:val="nil"/>
            </w:tcBorders>
            <w:shd w:val="clear" w:color="auto" w:fill="auto"/>
            <w:noWrap/>
            <w:hideMark/>
          </w:tcPr>
          <w:p w14:paraId="1C05308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18" w:type="dxa"/>
            <w:tcBorders>
              <w:top w:val="nil"/>
              <w:bottom w:val="nil"/>
            </w:tcBorders>
            <w:shd w:val="clear" w:color="auto" w:fill="auto"/>
            <w:noWrap/>
            <w:hideMark/>
          </w:tcPr>
          <w:p w14:paraId="0E2465D2"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2562DF8A"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r>
      <w:tr w:rsidR="00AA21A6" w:rsidRPr="004322FC" w14:paraId="13A9086C" w14:textId="77777777" w:rsidTr="00C050A6">
        <w:trPr>
          <w:trHeight w:val="264"/>
        </w:trPr>
        <w:tc>
          <w:tcPr>
            <w:tcW w:w="2268" w:type="dxa"/>
            <w:tcBorders>
              <w:top w:val="nil"/>
              <w:bottom w:val="single" w:sz="18" w:space="0" w:color="BFBFBF" w:themeColor="background1" w:themeShade="BF"/>
            </w:tcBorders>
            <w:shd w:val="clear" w:color="auto" w:fill="auto"/>
            <w:noWrap/>
            <w:hideMark/>
          </w:tcPr>
          <w:p w14:paraId="27D9E4B9"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Άλλες εφάπαξ παροχές σε χρήμα</w:t>
            </w:r>
          </w:p>
        </w:tc>
        <w:tc>
          <w:tcPr>
            <w:tcW w:w="993" w:type="dxa"/>
            <w:tcBorders>
              <w:top w:val="nil"/>
              <w:bottom w:val="single" w:sz="18" w:space="0" w:color="BFBFBF" w:themeColor="background1" w:themeShade="BF"/>
            </w:tcBorders>
            <w:shd w:val="clear" w:color="auto" w:fill="auto"/>
            <w:noWrap/>
            <w:hideMark/>
          </w:tcPr>
          <w:p w14:paraId="6D2842E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7</w:t>
            </w:r>
          </w:p>
        </w:tc>
        <w:tc>
          <w:tcPr>
            <w:tcW w:w="969" w:type="dxa"/>
            <w:tcBorders>
              <w:top w:val="nil"/>
              <w:bottom w:val="single" w:sz="18" w:space="0" w:color="BFBFBF" w:themeColor="background1" w:themeShade="BF"/>
            </w:tcBorders>
            <w:shd w:val="clear" w:color="auto" w:fill="auto"/>
            <w:noWrap/>
            <w:hideMark/>
          </w:tcPr>
          <w:p w14:paraId="3C9C875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8</w:t>
            </w:r>
          </w:p>
        </w:tc>
        <w:tc>
          <w:tcPr>
            <w:tcW w:w="873" w:type="dxa"/>
            <w:tcBorders>
              <w:top w:val="nil"/>
              <w:bottom w:val="single" w:sz="18" w:space="0" w:color="BFBFBF" w:themeColor="background1" w:themeShade="BF"/>
            </w:tcBorders>
            <w:shd w:val="clear" w:color="auto" w:fill="auto"/>
            <w:noWrap/>
            <w:hideMark/>
          </w:tcPr>
          <w:p w14:paraId="5C01F1F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9</w:t>
            </w:r>
          </w:p>
        </w:tc>
        <w:tc>
          <w:tcPr>
            <w:tcW w:w="851" w:type="dxa"/>
            <w:tcBorders>
              <w:top w:val="nil"/>
              <w:bottom w:val="single" w:sz="18" w:space="0" w:color="BFBFBF" w:themeColor="background1" w:themeShade="BF"/>
            </w:tcBorders>
            <w:shd w:val="clear" w:color="auto" w:fill="auto"/>
            <w:noWrap/>
            <w:hideMark/>
          </w:tcPr>
          <w:p w14:paraId="51AD9D1A"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3</w:t>
            </w:r>
          </w:p>
        </w:tc>
        <w:tc>
          <w:tcPr>
            <w:tcW w:w="883" w:type="dxa"/>
            <w:tcBorders>
              <w:top w:val="nil"/>
              <w:bottom w:val="single" w:sz="18" w:space="0" w:color="BFBFBF" w:themeColor="background1" w:themeShade="BF"/>
            </w:tcBorders>
            <w:shd w:val="clear" w:color="auto" w:fill="auto"/>
            <w:noWrap/>
            <w:hideMark/>
          </w:tcPr>
          <w:p w14:paraId="0C70C3A4"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w:t>
            </w:r>
          </w:p>
        </w:tc>
        <w:tc>
          <w:tcPr>
            <w:tcW w:w="992" w:type="dxa"/>
            <w:tcBorders>
              <w:top w:val="nil"/>
              <w:bottom w:val="single" w:sz="18" w:space="0" w:color="BFBFBF" w:themeColor="background1" w:themeShade="BF"/>
            </w:tcBorders>
            <w:shd w:val="clear" w:color="auto" w:fill="auto"/>
            <w:noWrap/>
            <w:hideMark/>
          </w:tcPr>
          <w:p w14:paraId="5D0E3235"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w:t>
            </w:r>
          </w:p>
        </w:tc>
        <w:tc>
          <w:tcPr>
            <w:tcW w:w="818" w:type="dxa"/>
            <w:tcBorders>
              <w:top w:val="nil"/>
              <w:bottom w:val="single" w:sz="18" w:space="0" w:color="BFBFBF" w:themeColor="background1" w:themeShade="BF"/>
            </w:tcBorders>
            <w:shd w:val="clear" w:color="auto" w:fill="auto"/>
            <w:noWrap/>
            <w:hideMark/>
          </w:tcPr>
          <w:p w14:paraId="04A90DF9"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w:t>
            </w:r>
          </w:p>
        </w:tc>
        <w:tc>
          <w:tcPr>
            <w:tcW w:w="851" w:type="dxa"/>
            <w:tcBorders>
              <w:top w:val="nil"/>
              <w:bottom w:val="single" w:sz="18" w:space="0" w:color="BFBFBF" w:themeColor="background1" w:themeShade="BF"/>
            </w:tcBorders>
            <w:shd w:val="clear" w:color="auto" w:fill="auto"/>
            <w:noWrap/>
            <w:hideMark/>
          </w:tcPr>
          <w:p w14:paraId="6489C074"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w:t>
            </w:r>
          </w:p>
        </w:tc>
      </w:tr>
      <w:tr w:rsidR="00AA21A6" w:rsidRPr="004322FC" w14:paraId="29707F82" w14:textId="77777777" w:rsidTr="00C050A6">
        <w:trPr>
          <w:trHeight w:val="264"/>
        </w:trPr>
        <w:tc>
          <w:tcPr>
            <w:tcW w:w="2268" w:type="dxa"/>
            <w:tcBorders>
              <w:top w:val="single" w:sz="18" w:space="0" w:color="BFBFBF" w:themeColor="background1" w:themeShade="BF"/>
              <w:bottom w:val="nil"/>
            </w:tcBorders>
            <w:shd w:val="clear" w:color="auto" w:fill="auto"/>
            <w:noWrap/>
            <w:hideMark/>
          </w:tcPr>
          <w:p w14:paraId="56B4C863" w14:textId="77777777" w:rsidR="00AA21A6" w:rsidRPr="00F36C04" w:rsidRDefault="00AA21A6" w:rsidP="00C050A6">
            <w:pPr>
              <w:spacing w:before="120" w:after="120" w:line="240" w:lineRule="auto"/>
              <w:ind w:right="142"/>
              <w:rPr>
                <w:rFonts w:ascii="Arial" w:eastAsia="Times New Roman" w:hAnsi="Arial" w:cs="Arial"/>
                <w:b/>
                <w:bCs/>
                <w:sz w:val="18"/>
                <w:szCs w:val="18"/>
                <w:lang w:val="el-GR" w:eastAsia="el-GR"/>
              </w:rPr>
            </w:pPr>
            <w:r w:rsidRPr="00F36C04">
              <w:rPr>
                <w:rFonts w:ascii="Arial" w:eastAsia="Times New Roman" w:hAnsi="Arial" w:cs="Arial"/>
                <w:b/>
                <w:bCs/>
                <w:sz w:val="18"/>
                <w:szCs w:val="18"/>
                <w:lang w:val="el-GR" w:eastAsia="el-GR"/>
              </w:rPr>
              <w:t>Παροχές σε είδος</w:t>
            </w:r>
          </w:p>
        </w:tc>
        <w:tc>
          <w:tcPr>
            <w:tcW w:w="993" w:type="dxa"/>
            <w:tcBorders>
              <w:top w:val="single" w:sz="18" w:space="0" w:color="BFBFBF" w:themeColor="background1" w:themeShade="BF"/>
              <w:bottom w:val="nil"/>
            </w:tcBorders>
            <w:shd w:val="clear" w:color="auto" w:fill="auto"/>
            <w:noWrap/>
            <w:hideMark/>
          </w:tcPr>
          <w:p w14:paraId="70785DCC"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16</w:t>
            </w:r>
          </w:p>
        </w:tc>
        <w:tc>
          <w:tcPr>
            <w:tcW w:w="969" w:type="dxa"/>
            <w:tcBorders>
              <w:top w:val="single" w:sz="18" w:space="0" w:color="BFBFBF" w:themeColor="background1" w:themeShade="BF"/>
              <w:bottom w:val="nil"/>
            </w:tcBorders>
            <w:shd w:val="clear" w:color="auto" w:fill="auto"/>
            <w:noWrap/>
            <w:hideMark/>
          </w:tcPr>
          <w:p w14:paraId="54B34129"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16</w:t>
            </w:r>
          </w:p>
        </w:tc>
        <w:tc>
          <w:tcPr>
            <w:tcW w:w="873" w:type="dxa"/>
            <w:tcBorders>
              <w:top w:val="single" w:sz="18" w:space="0" w:color="BFBFBF" w:themeColor="background1" w:themeShade="BF"/>
              <w:bottom w:val="nil"/>
            </w:tcBorders>
            <w:shd w:val="clear" w:color="auto" w:fill="auto"/>
            <w:noWrap/>
            <w:hideMark/>
          </w:tcPr>
          <w:p w14:paraId="7BD7AB04"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29</w:t>
            </w:r>
          </w:p>
        </w:tc>
        <w:tc>
          <w:tcPr>
            <w:tcW w:w="851" w:type="dxa"/>
            <w:tcBorders>
              <w:top w:val="single" w:sz="18" w:space="0" w:color="BFBFBF" w:themeColor="background1" w:themeShade="BF"/>
              <w:bottom w:val="nil"/>
            </w:tcBorders>
            <w:shd w:val="clear" w:color="auto" w:fill="auto"/>
            <w:noWrap/>
            <w:hideMark/>
          </w:tcPr>
          <w:p w14:paraId="1BC8B297"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13</w:t>
            </w:r>
          </w:p>
        </w:tc>
        <w:tc>
          <w:tcPr>
            <w:tcW w:w="883" w:type="dxa"/>
            <w:tcBorders>
              <w:top w:val="single" w:sz="18" w:space="0" w:color="BFBFBF" w:themeColor="background1" w:themeShade="BF"/>
              <w:bottom w:val="nil"/>
            </w:tcBorders>
            <w:shd w:val="clear" w:color="auto" w:fill="auto"/>
            <w:noWrap/>
            <w:hideMark/>
          </w:tcPr>
          <w:p w14:paraId="7D780153"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14</w:t>
            </w:r>
          </w:p>
        </w:tc>
        <w:tc>
          <w:tcPr>
            <w:tcW w:w="992" w:type="dxa"/>
            <w:tcBorders>
              <w:top w:val="single" w:sz="18" w:space="0" w:color="BFBFBF" w:themeColor="background1" w:themeShade="BF"/>
              <w:bottom w:val="nil"/>
            </w:tcBorders>
            <w:shd w:val="clear" w:color="auto" w:fill="auto"/>
            <w:noWrap/>
            <w:hideMark/>
          </w:tcPr>
          <w:p w14:paraId="7FD7CF60"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5</w:t>
            </w:r>
          </w:p>
        </w:tc>
        <w:tc>
          <w:tcPr>
            <w:tcW w:w="818" w:type="dxa"/>
            <w:tcBorders>
              <w:top w:val="single" w:sz="18" w:space="0" w:color="BFBFBF" w:themeColor="background1" w:themeShade="BF"/>
              <w:bottom w:val="nil"/>
            </w:tcBorders>
            <w:shd w:val="clear" w:color="auto" w:fill="auto"/>
            <w:noWrap/>
            <w:hideMark/>
          </w:tcPr>
          <w:p w14:paraId="153B8A64"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0</w:t>
            </w:r>
          </w:p>
        </w:tc>
        <w:tc>
          <w:tcPr>
            <w:tcW w:w="851" w:type="dxa"/>
            <w:tcBorders>
              <w:top w:val="single" w:sz="18" w:space="0" w:color="BFBFBF" w:themeColor="background1" w:themeShade="BF"/>
              <w:bottom w:val="nil"/>
            </w:tcBorders>
            <w:shd w:val="clear" w:color="auto" w:fill="auto"/>
            <w:noWrap/>
            <w:hideMark/>
          </w:tcPr>
          <w:p w14:paraId="2838E330"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0</w:t>
            </w:r>
          </w:p>
        </w:tc>
      </w:tr>
      <w:tr w:rsidR="00AA21A6" w:rsidRPr="004322FC" w14:paraId="182E41BC" w14:textId="77777777" w:rsidTr="00C050A6">
        <w:trPr>
          <w:trHeight w:val="264"/>
        </w:trPr>
        <w:tc>
          <w:tcPr>
            <w:tcW w:w="2268" w:type="dxa"/>
            <w:tcBorders>
              <w:top w:val="nil"/>
              <w:bottom w:val="nil"/>
            </w:tcBorders>
            <w:shd w:val="clear" w:color="auto" w:fill="auto"/>
            <w:noWrap/>
            <w:hideMark/>
          </w:tcPr>
          <w:p w14:paraId="5BD85440"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Διαμονή</w:t>
            </w:r>
          </w:p>
        </w:tc>
        <w:tc>
          <w:tcPr>
            <w:tcW w:w="993" w:type="dxa"/>
            <w:tcBorders>
              <w:top w:val="nil"/>
              <w:bottom w:val="nil"/>
            </w:tcBorders>
            <w:shd w:val="clear" w:color="auto" w:fill="auto"/>
            <w:noWrap/>
            <w:hideMark/>
          </w:tcPr>
          <w:p w14:paraId="1524F3AB"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69" w:type="dxa"/>
            <w:tcBorders>
              <w:top w:val="nil"/>
              <w:bottom w:val="nil"/>
            </w:tcBorders>
            <w:shd w:val="clear" w:color="auto" w:fill="auto"/>
            <w:noWrap/>
            <w:hideMark/>
          </w:tcPr>
          <w:p w14:paraId="45A4A77C"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73" w:type="dxa"/>
            <w:tcBorders>
              <w:top w:val="nil"/>
              <w:bottom w:val="nil"/>
            </w:tcBorders>
            <w:shd w:val="clear" w:color="auto" w:fill="auto"/>
            <w:noWrap/>
            <w:hideMark/>
          </w:tcPr>
          <w:p w14:paraId="58BA1B02"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76AB0932"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83" w:type="dxa"/>
            <w:tcBorders>
              <w:top w:val="nil"/>
              <w:bottom w:val="nil"/>
            </w:tcBorders>
            <w:shd w:val="clear" w:color="auto" w:fill="auto"/>
            <w:noWrap/>
            <w:hideMark/>
          </w:tcPr>
          <w:p w14:paraId="1A8CAB78"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92" w:type="dxa"/>
            <w:tcBorders>
              <w:top w:val="nil"/>
              <w:bottom w:val="nil"/>
            </w:tcBorders>
            <w:shd w:val="clear" w:color="auto" w:fill="auto"/>
            <w:noWrap/>
            <w:hideMark/>
          </w:tcPr>
          <w:p w14:paraId="219AC814"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18" w:type="dxa"/>
            <w:tcBorders>
              <w:top w:val="nil"/>
              <w:bottom w:val="nil"/>
            </w:tcBorders>
            <w:shd w:val="clear" w:color="auto" w:fill="auto"/>
            <w:noWrap/>
            <w:hideMark/>
          </w:tcPr>
          <w:p w14:paraId="49FA648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25F08BC1"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r>
      <w:tr w:rsidR="00AA21A6" w:rsidRPr="004322FC" w14:paraId="7A513BA6" w14:textId="77777777" w:rsidTr="00C050A6">
        <w:trPr>
          <w:trHeight w:val="264"/>
        </w:trPr>
        <w:tc>
          <w:tcPr>
            <w:tcW w:w="2268" w:type="dxa"/>
            <w:tcBorders>
              <w:top w:val="nil"/>
              <w:bottom w:val="nil"/>
            </w:tcBorders>
            <w:shd w:val="clear" w:color="auto" w:fill="auto"/>
            <w:noWrap/>
            <w:hideMark/>
          </w:tcPr>
          <w:p w14:paraId="419C7BE0"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Βοήθεια στις καθημερινές δραστηριότητες</w:t>
            </w:r>
          </w:p>
        </w:tc>
        <w:tc>
          <w:tcPr>
            <w:tcW w:w="993" w:type="dxa"/>
            <w:tcBorders>
              <w:top w:val="nil"/>
              <w:bottom w:val="nil"/>
            </w:tcBorders>
            <w:shd w:val="clear" w:color="auto" w:fill="auto"/>
            <w:noWrap/>
            <w:hideMark/>
          </w:tcPr>
          <w:p w14:paraId="2B490B28"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69" w:type="dxa"/>
            <w:tcBorders>
              <w:top w:val="nil"/>
              <w:bottom w:val="nil"/>
            </w:tcBorders>
            <w:shd w:val="clear" w:color="auto" w:fill="auto"/>
            <w:noWrap/>
            <w:hideMark/>
          </w:tcPr>
          <w:p w14:paraId="2C3DBBA6"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73" w:type="dxa"/>
            <w:tcBorders>
              <w:top w:val="nil"/>
              <w:bottom w:val="nil"/>
            </w:tcBorders>
            <w:shd w:val="clear" w:color="auto" w:fill="auto"/>
            <w:noWrap/>
            <w:hideMark/>
          </w:tcPr>
          <w:p w14:paraId="57549908"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637FBDEB"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83" w:type="dxa"/>
            <w:tcBorders>
              <w:top w:val="nil"/>
              <w:bottom w:val="nil"/>
            </w:tcBorders>
            <w:shd w:val="clear" w:color="auto" w:fill="auto"/>
            <w:noWrap/>
            <w:hideMark/>
          </w:tcPr>
          <w:p w14:paraId="36A5BD6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92" w:type="dxa"/>
            <w:tcBorders>
              <w:top w:val="nil"/>
              <w:bottom w:val="nil"/>
            </w:tcBorders>
            <w:shd w:val="clear" w:color="auto" w:fill="auto"/>
            <w:noWrap/>
            <w:hideMark/>
          </w:tcPr>
          <w:p w14:paraId="0F6115BB"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18" w:type="dxa"/>
            <w:tcBorders>
              <w:top w:val="nil"/>
              <w:bottom w:val="nil"/>
            </w:tcBorders>
            <w:shd w:val="clear" w:color="auto" w:fill="auto"/>
            <w:noWrap/>
            <w:hideMark/>
          </w:tcPr>
          <w:p w14:paraId="1A8B6893"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7137875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r>
      <w:tr w:rsidR="00AA21A6" w:rsidRPr="004322FC" w14:paraId="2A0AC270" w14:textId="77777777" w:rsidTr="00C050A6">
        <w:trPr>
          <w:trHeight w:val="264"/>
        </w:trPr>
        <w:tc>
          <w:tcPr>
            <w:tcW w:w="2268" w:type="dxa"/>
            <w:tcBorders>
              <w:top w:val="nil"/>
              <w:bottom w:val="nil"/>
            </w:tcBorders>
            <w:shd w:val="clear" w:color="auto" w:fill="auto"/>
            <w:noWrap/>
            <w:hideMark/>
          </w:tcPr>
          <w:p w14:paraId="196A3E20"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Αποκατάσταση - επανένταξη</w:t>
            </w:r>
          </w:p>
        </w:tc>
        <w:tc>
          <w:tcPr>
            <w:tcW w:w="993" w:type="dxa"/>
            <w:tcBorders>
              <w:top w:val="nil"/>
              <w:bottom w:val="nil"/>
            </w:tcBorders>
            <w:shd w:val="clear" w:color="auto" w:fill="auto"/>
            <w:noWrap/>
            <w:hideMark/>
          </w:tcPr>
          <w:p w14:paraId="1BDE1DFB"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16</w:t>
            </w:r>
          </w:p>
        </w:tc>
        <w:tc>
          <w:tcPr>
            <w:tcW w:w="969" w:type="dxa"/>
            <w:tcBorders>
              <w:top w:val="nil"/>
              <w:bottom w:val="nil"/>
            </w:tcBorders>
            <w:shd w:val="clear" w:color="auto" w:fill="auto"/>
            <w:noWrap/>
            <w:hideMark/>
          </w:tcPr>
          <w:p w14:paraId="3330DD2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16</w:t>
            </w:r>
          </w:p>
        </w:tc>
        <w:tc>
          <w:tcPr>
            <w:tcW w:w="873" w:type="dxa"/>
            <w:tcBorders>
              <w:top w:val="nil"/>
              <w:bottom w:val="nil"/>
            </w:tcBorders>
            <w:shd w:val="clear" w:color="auto" w:fill="auto"/>
            <w:noWrap/>
            <w:hideMark/>
          </w:tcPr>
          <w:p w14:paraId="74A213FC"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29</w:t>
            </w:r>
          </w:p>
        </w:tc>
        <w:tc>
          <w:tcPr>
            <w:tcW w:w="851" w:type="dxa"/>
            <w:tcBorders>
              <w:top w:val="nil"/>
              <w:bottom w:val="nil"/>
            </w:tcBorders>
            <w:shd w:val="clear" w:color="auto" w:fill="auto"/>
            <w:noWrap/>
            <w:hideMark/>
          </w:tcPr>
          <w:p w14:paraId="08E5A86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13</w:t>
            </w:r>
          </w:p>
        </w:tc>
        <w:tc>
          <w:tcPr>
            <w:tcW w:w="883" w:type="dxa"/>
            <w:tcBorders>
              <w:top w:val="nil"/>
              <w:bottom w:val="nil"/>
            </w:tcBorders>
            <w:shd w:val="clear" w:color="auto" w:fill="auto"/>
            <w:noWrap/>
            <w:hideMark/>
          </w:tcPr>
          <w:p w14:paraId="6D7B3D6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14</w:t>
            </w:r>
          </w:p>
        </w:tc>
        <w:tc>
          <w:tcPr>
            <w:tcW w:w="992" w:type="dxa"/>
            <w:tcBorders>
              <w:top w:val="nil"/>
              <w:bottom w:val="nil"/>
            </w:tcBorders>
            <w:shd w:val="clear" w:color="auto" w:fill="auto"/>
            <w:noWrap/>
            <w:hideMark/>
          </w:tcPr>
          <w:p w14:paraId="2BF08B04"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5</w:t>
            </w:r>
          </w:p>
        </w:tc>
        <w:tc>
          <w:tcPr>
            <w:tcW w:w="818" w:type="dxa"/>
            <w:tcBorders>
              <w:top w:val="nil"/>
              <w:bottom w:val="nil"/>
            </w:tcBorders>
            <w:shd w:val="clear" w:color="auto" w:fill="auto"/>
            <w:noWrap/>
            <w:hideMark/>
          </w:tcPr>
          <w:p w14:paraId="4611DB37"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nil"/>
            </w:tcBorders>
            <w:shd w:val="clear" w:color="auto" w:fill="auto"/>
            <w:noWrap/>
            <w:hideMark/>
          </w:tcPr>
          <w:p w14:paraId="3613A0C0"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r>
      <w:tr w:rsidR="00AA21A6" w:rsidRPr="004322FC" w14:paraId="1E3F17EE" w14:textId="77777777" w:rsidTr="00C050A6">
        <w:trPr>
          <w:trHeight w:val="264"/>
        </w:trPr>
        <w:tc>
          <w:tcPr>
            <w:tcW w:w="2268" w:type="dxa"/>
            <w:tcBorders>
              <w:top w:val="nil"/>
              <w:bottom w:val="single" w:sz="18" w:space="0" w:color="BFBFBF" w:themeColor="background1" w:themeShade="BF"/>
            </w:tcBorders>
            <w:shd w:val="clear" w:color="auto" w:fill="auto"/>
            <w:noWrap/>
            <w:hideMark/>
          </w:tcPr>
          <w:p w14:paraId="79D2109C"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Άλλες παροχές σε είδος</w:t>
            </w:r>
          </w:p>
        </w:tc>
        <w:tc>
          <w:tcPr>
            <w:tcW w:w="993" w:type="dxa"/>
            <w:tcBorders>
              <w:top w:val="nil"/>
              <w:bottom w:val="single" w:sz="18" w:space="0" w:color="BFBFBF" w:themeColor="background1" w:themeShade="BF"/>
            </w:tcBorders>
            <w:shd w:val="clear" w:color="auto" w:fill="auto"/>
            <w:noWrap/>
            <w:hideMark/>
          </w:tcPr>
          <w:p w14:paraId="0AD42D48"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69" w:type="dxa"/>
            <w:tcBorders>
              <w:top w:val="nil"/>
              <w:bottom w:val="single" w:sz="18" w:space="0" w:color="BFBFBF" w:themeColor="background1" w:themeShade="BF"/>
            </w:tcBorders>
            <w:shd w:val="clear" w:color="auto" w:fill="auto"/>
            <w:noWrap/>
            <w:hideMark/>
          </w:tcPr>
          <w:p w14:paraId="08D9D955"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73" w:type="dxa"/>
            <w:tcBorders>
              <w:top w:val="nil"/>
              <w:bottom w:val="single" w:sz="18" w:space="0" w:color="BFBFBF" w:themeColor="background1" w:themeShade="BF"/>
            </w:tcBorders>
            <w:shd w:val="clear" w:color="auto" w:fill="auto"/>
            <w:noWrap/>
            <w:hideMark/>
          </w:tcPr>
          <w:p w14:paraId="287351DF"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single" w:sz="18" w:space="0" w:color="BFBFBF" w:themeColor="background1" w:themeShade="BF"/>
            </w:tcBorders>
            <w:shd w:val="clear" w:color="auto" w:fill="auto"/>
            <w:noWrap/>
            <w:hideMark/>
          </w:tcPr>
          <w:p w14:paraId="6B189021"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83" w:type="dxa"/>
            <w:tcBorders>
              <w:top w:val="nil"/>
              <w:bottom w:val="single" w:sz="18" w:space="0" w:color="BFBFBF" w:themeColor="background1" w:themeShade="BF"/>
            </w:tcBorders>
            <w:shd w:val="clear" w:color="auto" w:fill="auto"/>
            <w:noWrap/>
            <w:hideMark/>
          </w:tcPr>
          <w:p w14:paraId="285E4411"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992" w:type="dxa"/>
            <w:tcBorders>
              <w:top w:val="nil"/>
              <w:bottom w:val="single" w:sz="18" w:space="0" w:color="BFBFBF" w:themeColor="background1" w:themeShade="BF"/>
            </w:tcBorders>
            <w:shd w:val="clear" w:color="auto" w:fill="auto"/>
            <w:noWrap/>
            <w:hideMark/>
          </w:tcPr>
          <w:p w14:paraId="4366003D"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18" w:type="dxa"/>
            <w:tcBorders>
              <w:top w:val="nil"/>
              <w:bottom w:val="single" w:sz="18" w:space="0" w:color="BFBFBF" w:themeColor="background1" w:themeShade="BF"/>
            </w:tcBorders>
            <w:shd w:val="clear" w:color="auto" w:fill="auto"/>
            <w:noWrap/>
            <w:hideMark/>
          </w:tcPr>
          <w:p w14:paraId="3B24099D"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c>
          <w:tcPr>
            <w:tcW w:w="851" w:type="dxa"/>
            <w:tcBorders>
              <w:top w:val="nil"/>
              <w:bottom w:val="single" w:sz="18" w:space="0" w:color="BFBFBF" w:themeColor="background1" w:themeShade="BF"/>
            </w:tcBorders>
            <w:shd w:val="clear" w:color="auto" w:fill="auto"/>
            <w:noWrap/>
            <w:hideMark/>
          </w:tcPr>
          <w:p w14:paraId="7091A3A0"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0</w:t>
            </w:r>
          </w:p>
        </w:tc>
      </w:tr>
      <w:tr w:rsidR="00AA21A6" w:rsidRPr="004322FC" w14:paraId="4361BF0E" w14:textId="77777777" w:rsidTr="00C050A6">
        <w:trPr>
          <w:trHeight w:val="264"/>
        </w:trPr>
        <w:tc>
          <w:tcPr>
            <w:tcW w:w="2268" w:type="dxa"/>
            <w:tcBorders>
              <w:top w:val="single" w:sz="18" w:space="0" w:color="BFBFBF" w:themeColor="background1" w:themeShade="BF"/>
              <w:bottom w:val="nil"/>
            </w:tcBorders>
            <w:shd w:val="clear" w:color="auto" w:fill="auto"/>
            <w:noWrap/>
            <w:hideMark/>
          </w:tcPr>
          <w:p w14:paraId="7585C107" w14:textId="77777777" w:rsidR="00AA21A6" w:rsidRPr="00F36C04" w:rsidRDefault="00AA21A6" w:rsidP="00C050A6">
            <w:pPr>
              <w:spacing w:before="120" w:after="120" w:line="240" w:lineRule="auto"/>
              <w:ind w:right="142"/>
              <w:rPr>
                <w:rFonts w:ascii="Arial" w:eastAsia="Times New Roman" w:hAnsi="Arial" w:cs="Arial"/>
                <w:b/>
                <w:bCs/>
                <w:sz w:val="18"/>
                <w:szCs w:val="18"/>
                <w:lang w:val="el-GR" w:eastAsia="el-GR"/>
              </w:rPr>
            </w:pPr>
            <w:r w:rsidRPr="00F36C04">
              <w:rPr>
                <w:rFonts w:ascii="Arial" w:eastAsia="Times New Roman" w:hAnsi="Arial" w:cs="Arial"/>
                <w:b/>
                <w:bCs/>
                <w:sz w:val="18"/>
                <w:szCs w:val="18"/>
                <w:lang w:val="el-GR" w:eastAsia="el-GR"/>
              </w:rPr>
              <w:t>Με βάση εισοδηματικά κριτήρια (χαμηλά εισοδήματα)</w:t>
            </w:r>
          </w:p>
        </w:tc>
        <w:tc>
          <w:tcPr>
            <w:tcW w:w="993" w:type="dxa"/>
            <w:tcBorders>
              <w:top w:val="single" w:sz="18" w:space="0" w:color="BFBFBF" w:themeColor="background1" w:themeShade="BF"/>
              <w:bottom w:val="nil"/>
            </w:tcBorders>
            <w:shd w:val="clear" w:color="auto" w:fill="auto"/>
            <w:noWrap/>
            <w:hideMark/>
          </w:tcPr>
          <w:p w14:paraId="274B12E5"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188</w:t>
            </w:r>
          </w:p>
        </w:tc>
        <w:tc>
          <w:tcPr>
            <w:tcW w:w="969" w:type="dxa"/>
            <w:tcBorders>
              <w:top w:val="single" w:sz="18" w:space="0" w:color="BFBFBF" w:themeColor="background1" w:themeShade="BF"/>
              <w:bottom w:val="nil"/>
            </w:tcBorders>
            <w:shd w:val="clear" w:color="auto" w:fill="auto"/>
            <w:noWrap/>
            <w:hideMark/>
          </w:tcPr>
          <w:p w14:paraId="06209DA8"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143</w:t>
            </w:r>
          </w:p>
        </w:tc>
        <w:tc>
          <w:tcPr>
            <w:tcW w:w="873" w:type="dxa"/>
            <w:tcBorders>
              <w:top w:val="single" w:sz="18" w:space="0" w:color="BFBFBF" w:themeColor="background1" w:themeShade="BF"/>
              <w:bottom w:val="nil"/>
            </w:tcBorders>
            <w:shd w:val="clear" w:color="auto" w:fill="auto"/>
            <w:noWrap/>
            <w:hideMark/>
          </w:tcPr>
          <w:p w14:paraId="2C4CEDEE"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132</w:t>
            </w:r>
          </w:p>
        </w:tc>
        <w:tc>
          <w:tcPr>
            <w:tcW w:w="851" w:type="dxa"/>
            <w:tcBorders>
              <w:top w:val="single" w:sz="18" w:space="0" w:color="BFBFBF" w:themeColor="background1" w:themeShade="BF"/>
              <w:bottom w:val="nil"/>
            </w:tcBorders>
            <w:shd w:val="clear" w:color="auto" w:fill="auto"/>
            <w:noWrap/>
            <w:hideMark/>
          </w:tcPr>
          <w:p w14:paraId="1E508A45"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133</w:t>
            </w:r>
          </w:p>
        </w:tc>
        <w:tc>
          <w:tcPr>
            <w:tcW w:w="883" w:type="dxa"/>
            <w:tcBorders>
              <w:top w:val="single" w:sz="18" w:space="0" w:color="BFBFBF" w:themeColor="background1" w:themeShade="BF"/>
              <w:bottom w:val="nil"/>
            </w:tcBorders>
            <w:shd w:val="clear" w:color="auto" w:fill="auto"/>
            <w:noWrap/>
            <w:hideMark/>
          </w:tcPr>
          <w:p w14:paraId="12D5457F"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98</w:t>
            </w:r>
          </w:p>
        </w:tc>
        <w:tc>
          <w:tcPr>
            <w:tcW w:w="992" w:type="dxa"/>
            <w:tcBorders>
              <w:top w:val="single" w:sz="18" w:space="0" w:color="BFBFBF" w:themeColor="background1" w:themeShade="BF"/>
              <w:bottom w:val="nil"/>
            </w:tcBorders>
            <w:shd w:val="clear" w:color="auto" w:fill="auto"/>
            <w:noWrap/>
            <w:hideMark/>
          </w:tcPr>
          <w:p w14:paraId="1AD7D71B"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101</w:t>
            </w:r>
          </w:p>
        </w:tc>
        <w:tc>
          <w:tcPr>
            <w:tcW w:w="818" w:type="dxa"/>
            <w:tcBorders>
              <w:top w:val="single" w:sz="18" w:space="0" w:color="BFBFBF" w:themeColor="background1" w:themeShade="BF"/>
              <w:bottom w:val="nil"/>
            </w:tcBorders>
            <w:shd w:val="clear" w:color="auto" w:fill="auto"/>
            <w:noWrap/>
            <w:hideMark/>
          </w:tcPr>
          <w:p w14:paraId="6563E299"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90</w:t>
            </w:r>
          </w:p>
        </w:tc>
        <w:tc>
          <w:tcPr>
            <w:tcW w:w="851" w:type="dxa"/>
            <w:tcBorders>
              <w:top w:val="single" w:sz="18" w:space="0" w:color="BFBFBF" w:themeColor="background1" w:themeShade="BF"/>
              <w:bottom w:val="nil"/>
            </w:tcBorders>
            <w:shd w:val="clear" w:color="auto" w:fill="auto"/>
            <w:noWrap/>
            <w:hideMark/>
          </w:tcPr>
          <w:p w14:paraId="43F905D6" w14:textId="77777777" w:rsidR="00AA21A6" w:rsidRPr="004322FC" w:rsidRDefault="00AA21A6" w:rsidP="00C050A6">
            <w:pPr>
              <w:spacing w:before="120" w:after="120" w:line="240" w:lineRule="auto"/>
              <w:ind w:right="142"/>
              <w:jc w:val="right"/>
              <w:rPr>
                <w:rFonts w:ascii="Arial" w:eastAsia="Times New Roman" w:hAnsi="Arial" w:cs="Arial"/>
                <w:b/>
                <w:bCs/>
                <w:sz w:val="18"/>
                <w:szCs w:val="18"/>
                <w:lang w:eastAsia="el-GR"/>
              </w:rPr>
            </w:pPr>
            <w:r w:rsidRPr="004322FC">
              <w:rPr>
                <w:rFonts w:ascii="Arial" w:eastAsia="Times New Roman" w:hAnsi="Arial" w:cs="Arial"/>
                <w:b/>
                <w:bCs/>
                <w:sz w:val="18"/>
                <w:szCs w:val="18"/>
                <w:lang w:eastAsia="el-GR"/>
              </w:rPr>
              <w:t>48</w:t>
            </w:r>
          </w:p>
        </w:tc>
      </w:tr>
      <w:tr w:rsidR="00AA21A6" w:rsidRPr="004322FC" w14:paraId="4ED18C27" w14:textId="77777777" w:rsidTr="00C050A6">
        <w:trPr>
          <w:trHeight w:val="264"/>
        </w:trPr>
        <w:tc>
          <w:tcPr>
            <w:tcW w:w="2268" w:type="dxa"/>
            <w:tcBorders>
              <w:top w:val="nil"/>
              <w:bottom w:val="nil"/>
            </w:tcBorders>
            <w:shd w:val="clear" w:color="auto" w:fill="auto"/>
            <w:noWrap/>
            <w:hideMark/>
          </w:tcPr>
          <w:p w14:paraId="17EB4D89"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Παροχές σε χρήμα</w:t>
            </w:r>
          </w:p>
        </w:tc>
        <w:tc>
          <w:tcPr>
            <w:tcW w:w="993" w:type="dxa"/>
            <w:tcBorders>
              <w:top w:val="nil"/>
              <w:bottom w:val="nil"/>
            </w:tcBorders>
            <w:shd w:val="clear" w:color="auto" w:fill="auto"/>
            <w:noWrap/>
            <w:hideMark/>
          </w:tcPr>
          <w:p w14:paraId="390A4541"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160</w:t>
            </w:r>
          </w:p>
        </w:tc>
        <w:tc>
          <w:tcPr>
            <w:tcW w:w="969" w:type="dxa"/>
            <w:tcBorders>
              <w:top w:val="nil"/>
              <w:bottom w:val="nil"/>
            </w:tcBorders>
            <w:shd w:val="clear" w:color="auto" w:fill="auto"/>
            <w:noWrap/>
            <w:hideMark/>
          </w:tcPr>
          <w:p w14:paraId="5A0FA933"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123</w:t>
            </w:r>
          </w:p>
        </w:tc>
        <w:tc>
          <w:tcPr>
            <w:tcW w:w="873" w:type="dxa"/>
            <w:tcBorders>
              <w:top w:val="nil"/>
              <w:bottom w:val="nil"/>
            </w:tcBorders>
            <w:shd w:val="clear" w:color="auto" w:fill="auto"/>
            <w:noWrap/>
            <w:hideMark/>
          </w:tcPr>
          <w:p w14:paraId="25DAFA85"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111</w:t>
            </w:r>
          </w:p>
        </w:tc>
        <w:tc>
          <w:tcPr>
            <w:tcW w:w="851" w:type="dxa"/>
            <w:tcBorders>
              <w:top w:val="nil"/>
              <w:bottom w:val="nil"/>
            </w:tcBorders>
            <w:shd w:val="clear" w:color="auto" w:fill="auto"/>
            <w:noWrap/>
            <w:hideMark/>
          </w:tcPr>
          <w:p w14:paraId="5CC996DB"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102</w:t>
            </w:r>
          </w:p>
        </w:tc>
        <w:tc>
          <w:tcPr>
            <w:tcW w:w="883" w:type="dxa"/>
            <w:tcBorders>
              <w:top w:val="nil"/>
              <w:bottom w:val="nil"/>
            </w:tcBorders>
            <w:shd w:val="clear" w:color="auto" w:fill="auto"/>
            <w:noWrap/>
            <w:hideMark/>
          </w:tcPr>
          <w:p w14:paraId="3CAD47E5"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71</w:t>
            </w:r>
          </w:p>
        </w:tc>
        <w:tc>
          <w:tcPr>
            <w:tcW w:w="992" w:type="dxa"/>
            <w:tcBorders>
              <w:top w:val="nil"/>
              <w:bottom w:val="nil"/>
            </w:tcBorders>
            <w:shd w:val="clear" w:color="auto" w:fill="auto"/>
            <w:noWrap/>
            <w:hideMark/>
          </w:tcPr>
          <w:p w14:paraId="5EABEB17"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80</w:t>
            </w:r>
          </w:p>
        </w:tc>
        <w:tc>
          <w:tcPr>
            <w:tcW w:w="818" w:type="dxa"/>
            <w:tcBorders>
              <w:top w:val="nil"/>
              <w:bottom w:val="nil"/>
            </w:tcBorders>
            <w:shd w:val="clear" w:color="auto" w:fill="auto"/>
            <w:noWrap/>
            <w:hideMark/>
          </w:tcPr>
          <w:p w14:paraId="0466B577"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68</w:t>
            </w:r>
          </w:p>
        </w:tc>
        <w:tc>
          <w:tcPr>
            <w:tcW w:w="851" w:type="dxa"/>
            <w:tcBorders>
              <w:top w:val="nil"/>
              <w:bottom w:val="nil"/>
            </w:tcBorders>
            <w:shd w:val="clear" w:color="auto" w:fill="auto"/>
            <w:noWrap/>
            <w:hideMark/>
          </w:tcPr>
          <w:p w14:paraId="734C3D1E"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28</w:t>
            </w:r>
          </w:p>
        </w:tc>
      </w:tr>
      <w:tr w:rsidR="00AA21A6" w:rsidRPr="004322FC" w14:paraId="30CF3F0D" w14:textId="77777777" w:rsidTr="00C050A6">
        <w:trPr>
          <w:trHeight w:val="264"/>
        </w:trPr>
        <w:tc>
          <w:tcPr>
            <w:tcW w:w="2268" w:type="dxa"/>
            <w:tcBorders>
              <w:top w:val="nil"/>
            </w:tcBorders>
            <w:shd w:val="clear" w:color="auto" w:fill="auto"/>
            <w:noWrap/>
            <w:hideMark/>
          </w:tcPr>
          <w:p w14:paraId="57FA8F81" w14:textId="77777777" w:rsidR="00AA21A6" w:rsidRPr="00F36C04" w:rsidRDefault="00AA21A6" w:rsidP="00C050A6">
            <w:pPr>
              <w:spacing w:before="40" w:after="40" w:line="240" w:lineRule="auto"/>
              <w:ind w:right="142"/>
              <w:rPr>
                <w:rFonts w:ascii="Arial" w:eastAsia="Times New Roman" w:hAnsi="Arial" w:cs="Arial"/>
                <w:sz w:val="18"/>
                <w:szCs w:val="18"/>
                <w:lang w:val="el-GR" w:eastAsia="el-GR"/>
              </w:rPr>
            </w:pPr>
            <w:r w:rsidRPr="00F36C04">
              <w:rPr>
                <w:rFonts w:ascii="Arial" w:eastAsia="Times New Roman" w:hAnsi="Arial" w:cs="Arial"/>
                <w:sz w:val="18"/>
                <w:szCs w:val="18"/>
                <w:lang w:val="el-GR" w:eastAsia="el-GR"/>
              </w:rPr>
              <w:t>Παροχές σε είδος</w:t>
            </w:r>
          </w:p>
        </w:tc>
        <w:tc>
          <w:tcPr>
            <w:tcW w:w="993" w:type="dxa"/>
            <w:tcBorders>
              <w:top w:val="nil"/>
            </w:tcBorders>
            <w:shd w:val="clear" w:color="auto" w:fill="auto"/>
            <w:noWrap/>
            <w:hideMark/>
          </w:tcPr>
          <w:p w14:paraId="426031D0"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28</w:t>
            </w:r>
          </w:p>
        </w:tc>
        <w:tc>
          <w:tcPr>
            <w:tcW w:w="969" w:type="dxa"/>
            <w:tcBorders>
              <w:top w:val="nil"/>
            </w:tcBorders>
            <w:shd w:val="clear" w:color="auto" w:fill="auto"/>
            <w:noWrap/>
            <w:hideMark/>
          </w:tcPr>
          <w:p w14:paraId="7F63CC41"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20</w:t>
            </w:r>
          </w:p>
        </w:tc>
        <w:tc>
          <w:tcPr>
            <w:tcW w:w="873" w:type="dxa"/>
            <w:tcBorders>
              <w:top w:val="nil"/>
            </w:tcBorders>
            <w:shd w:val="clear" w:color="auto" w:fill="auto"/>
            <w:noWrap/>
            <w:hideMark/>
          </w:tcPr>
          <w:p w14:paraId="329FD5B2"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21</w:t>
            </w:r>
          </w:p>
        </w:tc>
        <w:tc>
          <w:tcPr>
            <w:tcW w:w="851" w:type="dxa"/>
            <w:tcBorders>
              <w:top w:val="nil"/>
            </w:tcBorders>
            <w:shd w:val="clear" w:color="auto" w:fill="auto"/>
            <w:noWrap/>
            <w:hideMark/>
          </w:tcPr>
          <w:p w14:paraId="38D5DFB6"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31</w:t>
            </w:r>
          </w:p>
        </w:tc>
        <w:tc>
          <w:tcPr>
            <w:tcW w:w="883" w:type="dxa"/>
            <w:tcBorders>
              <w:top w:val="nil"/>
            </w:tcBorders>
            <w:shd w:val="clear" w:color="auto" w:fill="auto"/>
            <w:noWrap/>
            <w:hideMark/>
          </w:tcPr>
          <w:p w14:paraId="7FF41EFB"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27</w:t>
            </w:r>
          </w:p>
        </w:tc>
        <w:tc>
          <w:tcPr>
            <w:tcW w:w="992" w:type="dxa"/>
            <w:tcBorders>
              <w:top w:val="nil"/>
            </w:tcBorders>
            <w:shd w:val="clear" w:color="auto" w:fill="auto"/>
            <w:noWrap/>
            <w:hideMark/>
          </w:tcPr>
          <w:p w14:paraId="53558987"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21</w:t>
            </w:r>
          </w:p>
        </w:tc>
        <w:tc>
          <w:tcPr>
            <w:tcW w:w="818" w:type="dxa"/>
            <w:tcBorders>
              <w:top w:val="nil"/>
            </w:tcBorders>
            <w:shd w:val="clear" w:color="auto" w:fill="auto"/>
            <w:noWrap/>
            <w:hideMark/>
          </w:tcPr>
          <w:p w14:paraId="1389F41C"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22</w:t>
            </w:r>
          </w:p>
        </w:tc>
        <w:tc>
          <w:tcPr>
            <w:tcW w:w="851" w:type="dxa"/>
            <w:tcBorders>
              <w:top w:val="nil"/>
            </w:tcBorders>
            <w:shd w:val="clear" w:color="auto" w:fill="auto"/>
            <w:noWrap/>
            <w:hideMark/>
          </w:tcPr>
          <w:p w14:paraId="2E669783" w14:textId="77777777" w:rsidR="00AA21A6" w:rsidRPr="004322FC" w:rsidRDefault="00AA21A6" w:rsidP="00C050A6">
            <w:pPr>
              <w:spacing w:before="40" w:after="40" w:line="240" w:lineRule="auto"/>
              <w:ind w:right="142"/>
              <w:jc w:val="right"/>
              <w:rPr>
                <w:rFonts w:ascii="Arial" w:eastAsia="Times New Roman" w:hAnsi="Arial" w:cs="Arial"/>
                <w:sz w:val="18"/>
                <w:szCs w:val="18"/>
                <w:lang w:eastAsia="el-GR"/>
              </w:rPr>
            </w:pPr>
            <w:r w:rsidRPr="004322FC">
              <w:rPr>
                <w:rFonts w:ascii="Arial" w:eastAsia="Times New Roman" w:hAnsi="Arial" w:cs="Arial"/>
                <w:sz w:val="18"/>
                <w:szCs w:val="18"/>
                <w:lang w:eastAsia="el-GR"/>
              </w:rPr>
              <w:t>20</w:t>
            </w:r>
          </w:p>
        </w:tc>
      </w:tr>
    </w:tbl>
    <w:p w14:paraId="720D5473" w14:textId="63B7DB11" w:rsidR="00377025" w:rsidRPr="00AA21A6" w:rsidRDefault="00377025" w:rsidP="00F36C04">
      <w:pPr>
        <w:pStyle w:val="aa"/>
        <w:spacing w:before="120"/>
        <w:ind w:left="142" w:right="142"/>
        <w:rPr>
          <w:lang w:val="el-GR"/>
        </w:rPr>
      </w:pPr>
      <w:r w:rsidRPr="00AA21A6">
        <w:rPr>
          <w:lang w:val="el-GR"/>
        </w:rPr>
        <w:t>ΠΗΓΗ: Ελληνική Στατιστική Αρχή,</w:t>
      </w:r>
      <w:r w:rsidR="008E7B49">
        <w:rPr>
          <w:lang w:val="el-GR"/>
        </w:rPr>
        <w:t xml:space="preserve"> </w:t>
      </w:r>
      <w:r w:rsidRPr="00AA21A6">
        <w:rPr>
          <w:lang w:val="el-GR"/>
        </w:rPr>
        <w:t>Ευρωπαϊκό Σύστημα Ολοκληρωμένων Στατιστικών Κοινωνικής Προστασίας (</w:t>
      </w:r>
      <w:r w:rsidRPr="00F36C04">
        <w:rPr>
          <w:lang w:val="el-GR"/>
        </w:rPr>
        <w:t>ESSPROS</w:t>
      </w:r>
      <w:r w:rsidRPr="00AA21A6">
        <w:rPr>
          <w:lang w:val="el-GR"/>
        </w:rPr>
        <w:t xml:space="preserve">)/ </w:t>
      </w:r>
      <w:r w:rsidR="00F36C04" w:rsidRPr="00AA21A6">
        <w:rPr>
          <w:lang w:val="el-GR"/>
        </w:rPr>
        <w:t xml:space="preserve">ΕΠΕΞΕΡΓΑΣΙΑ: </w:t>
      </w:r>
      <w:r w:rsidR="00F36C04">
        <w:rPr>
          <w:lang w:val="el-GR"/>
        </w:rPr>
        <w:t>Παρατηρητήριο</w:t>
      </w:r>
      <w:r w:rsidR="00F36C04" w:rsidRPr="00F36C04">
        <w:rPr>
          <w:lang w:val="el-GR"/>
        </w:rPr>
        <w:t xml:space="preserve"> </w:t>
      </w:r>
      <w:r w:rsidR="00F36C04">
        <w:rPr>
          <w:lang w:val="el-GR"/>
        </w:rPr>
        <w:t>Θεμάτων</w:t>
      </w:r>
      <w:r w:rsidR="00F36C04" w:rsidRPr="00F36C04">
        <w:rPr>
          <w:lang w:val="el-GR"/>
        </w:rPr>
        <w:t xml:space="preserve"> </w:t>
      </w:r>
      <w:r w:rsidR="00F36C04">
        <w:rPr>
          <w:lang w:val="el-GR"/>
        </w:rPr>
        <w:t>Αναπηρίας</w:t>
      </w:r>
      <w:r w:rsidR="00F36C04" w:rsidRPr="00F36C04">
        <w:rPr>
          <w:lang w:val="el-GR"/>
        </w:rPr>
        <w:t>-</w:t>
      </w:r>
      <w:r w:rsidR="00F36C04">
        <w:rPr>
          <w:lang w:val="el-GR"/>
        </w:rPr>
        <w:t>Ε</w:t>
      </w:r>
      <w:r w:rsidR="00F36C04" w:rsidRPr="00F36C04">
        <w:rPr>
          <w:lang w:val="el-GR"/>
        </w:rPr>
        <w:t>.</w:t>
      </w:r>
      <w:r w:rsidR="00F36C04">
        <w:rPr>
          <w:lang w:val="el-GR"/>
        </w:rPr>
        <w:t>Σ</w:t>
      </w:r>
      <w:r w:rsidR="00F36C04" w:rsidRPr="00F36C04">
        <w:rPr>
          <w:lang w:val="el-GR"/>
        </w:rPr>
        <w:t>.</w:t>
      </w:r>
      <w:r w:rsidR="00F36C04">
        <w:rPr>
          <w:lang w:val="el-GR"/>
        </w:rPr>
        <w:t>Α</w:t>
      </w:r>
      <w:r w:rsidR="00F36C04" w:rsidRPr="00F36C04">
        <w:rPr>
          <w:lang w:val="el-GR"/>
        </w:rPr>
        <w:t>.</w:t>
      </w:r>
      <w:r w:rsidR="00F36C04">
        <w:rPr>
          <w:lang w:val="el-GR"/>
        </w:rPr>
        <w:t>μεΑ</w:t>
      </w:r>
      <w:r w:rsidR="00F36C04" w:rsidRPr="00F36C04">
        <w:rPr>
          <w:lang w:val="el-GR"/>
        </w:rPr>
        <w:t>.</w:t>
      </w:r>
    </w:p>
    <w:bookmarkEnd w:id="8"/>
    <w:p w14:paraId="77AF915A" w14:textId="2BB904F7" w:rsidR="00AA21A6" w:rsidRPr="00AA21A6" w:rsidRDefault="00AA21A6" w:rsidP="00AA21A6">
      <w:pPr>
        <w:ind w:right="142"/>
        <w:jc w:val="both"/>
        <w:rPr>
          <w:sz w:val="24"/>
          <w:szCs w:val="24"/>
          <w:lang w:val="el-GR"/>
        </w:rPr>
      </w:pPr>
      <w:r w:rsidRPr="00AA21A6">
        <w:rPr>
          <w:sz w:val="24"/>
          <w:szCs w:val="24"/>
          <w:lang w:val="el-GR"/>
        </w:rPr>
        <w:t xml:space="preserve">Η διαχρονική εξέλιξη των κύριων δαπανών για την αναπηρία (συντάξεις και επιδόματα) </w:t>
      </w:r>
      <w:r w:rsidR="003F3C89">
        <w:rPr>
          <w:sz w:val="24"/>
          <w:szCs w:val="24"/>
          <w:lang w:val="el-GR"/>
        </w:rPr>
        <w:t>είναι πτωτική</w:t>
      </w:r>
      <w:r w:rsidRPr="00AA21A6">
        <w:rPr>
          <w:sz w:val="24"/>
          <w:szCs w:val="24"/>
          <w:lang w:val="el-GR"/>
        </w:rPr>
        <w:t xml:space="preserve"> κατά το διάστημα 2010-2017 (βλ. Γράφημα 5), με τη μεγαλύτερη περιστολή δαπανών να εντοπίζεται στον προϋπολογισμό των συντάξεων αναπηρίας (-28%).</w:t>
      </w:r>
    </w:p>
    <w:p w14:paraId="25681C7D" w14:textId="74003F82" w:rsidR="00AA21A6" w:rsidRPr="00AA21A6" w:rsidRDefault="00AA21A6" w:rsidP="00AA21A6">
      <w:pPr>
        <w:ind w:right="142"/>
        <w:jc w:val="both"/>
        <w:rPr>
          <w:sz w:val="24"/>
          <w:szCs w:val="24"/>
          <w:lang w:val="el-GR"/>
        </w:rPr>
      </w:pPr>
      <w:r w:rsidRPr="00AA21A6">
        <w:rPr>
          <w:sz w:val="24"/>
          <w:szCs w:val="24"/>
          <w:lang w:val="el-GR"/>
        </w:rPr>
        <w:lastRenderedPageBreak/>
        <w:t>Επιπροσθέτως, ιδιαίτερα μεγάλη μείωση, 75%, έχουν υποστεί κατά το διάστημα αναφοράς και οι οικονομικές ενισχύσεις ατόμων με αναπηρία με βάση εισοδηματικές κριτήρια.</w:t>
      </w:r>
    </w:p>
    <w:p w14:paraId="40EA3608" w14:textId="3CAFE631" w:rsidR="00AA21A6" w:rsidRPr="00AA21A6" w:rsidRDefault="00AA21A6" w:rsidP="00AA21A6">
      <w:pPr>
        <w:pStyle w:val="aa"/>
        <w:keepNext/>
        <w:ind w:right="1134"/>
        <w:jc w:val="both"/>
        <w:rPr>
          <w:rFonts w:asciiTheme="majorHAnsi" w:eastAsia="Times New Roman" w:hAnsiTheme="majorHAnsi" w:cs="Arial"/>
          <w:b/>
          <w:i w:val="0"/>
          <w:sz w:val="24"/>
          <w:szCs w:val="24"/>
          <w:lang w:val="el-GR" w:eastAsia="el-GR"/>
        </w:rPr>
      </w:pPr>
      <w:r w:rsidRPr="00AA21A6">
        <w:rPr>
          <w:rFonts w:asciiTheme="majorHAnsi" w:eastAsia="Times New Roman" w:hAnsiTheme="majorHAnsi" w:cs="Arial"/>
          <w:b/>
          <w:i w:val="0"/>
          <w:sz w:val="24"/>
          <w:szCs w:val="24"/>
          <w:lang w:val="el-GR" w:eastAsia="el-GR"/>
        </w:rPr>
        <w:t xml:space="preserve">Γράφημα </w:t>
      </w:r>
      <w:r w:rsidRPr="002A7BFD">
        <w:rPr>
          <w:rFonts w:asciiTheme="majorHAnsi" w:eastAsia="Times New Roman" w:hAnsiTheme="majorHAnsi" w:cs="Arial"/>
          <w:b/>
          <w:i w:val="0"/>
          <w:sz w:val="24"/>
          <w:szCs w:val="24"/>
          <w:lang w:eastAsia="el-GR"/>
        </w:rPr>
        <w:fldChar w:fldCharType="begin"/>
      </w:r>
      <w:r w:rsidRPr="00AA21A6">
        <w:rPr>
          <w:rFonts w:asciiTheme="majorHAnsi" w:eastAsia="Times New Roman" w:hAnsiTheme="majorHAnsi" w:cs="Arial"/>
          <w:b/>
          <w:i w:val="0"/>
          <w:sz w:val="24"/>
          <w:szCs w:val="24"/>
          <w:lang w:val="el-GR" w:eastAsia="el-GR"/>
        </w:rPr>
        <w:instrText xml:space="preserve"> </w:instrText>
      </w:r>
      <w:r w:rsidRPr="002A7BFD">
        <w:rPr>
          <w:rFonts w:asciiTheme="majorHAnsi" w:eastAsia="Times New Roman" w:hAnsiTheme="majorHAnsi" w:cs="Arial"/>
          <w:b/>
          <w:i w:val="0"/>
          <w:sz w:val="24"/>
          <w:szCs w:val="24"/>
          <w:lang w:eastAsia="el-GR"/>
        </w:rPr>
        <w:instrText>SEQ</w:instrText>
      </w:r>
      <w:r w:rsidRPr="00AA21A6">
        <w:rPr>
          <w:rFonts w:asciiTheme="majorHAnsi" w:eastAsia="Times New Roman" w:hAnsiTheme="majorHAnsi" w:cs="Arial"/>
          <w:b/>
          <w:i w:val="0"/>
          <w:sz w:val="24"/>
          <w:szCs w:val="24"/>
          <w:lang w:val="el-GR" w:eastAsia="el-GR"/>
        </w:rPr>
        <w:instrText xml:space="preserve"> Γράφημα \* </w:instrText>
      </w:r>
      <w:r w:rsidRPr="002A7BFD">
        <w:rPr>
          <w:rFonts w:asciiTheme="majorHAnsi" w:eastAsia="Times New Roman" w:hAnsiTheme="majorHAnsi" w:cs="Arial"/>
          <w:b/>
          <w:i w:val="0"/>
          <w:sz w:val="24"/>
          <w:szCs w:val="24"/>
          <w:lang w:eastAsia="el-GR"/>
        </w:rPr>
        <w:instrText>ARABIC</w:instrText>
      </w:r>
      <w:r w:rsidRPr="00AA21A6">
        <w:rPr>
          <w:rFonts w:asciiTheme="majorHAnsi" w:eastAsia="Times New Roman" w:hAnsiTheme="majorHAnsi" w:cs="Arial"/>
          <w:b/>
          <w:i w:val="0"/>
          <w:sz w:val="24"/>
          <w:szCs w:val="24"/>
          <w:lang w:val="el-GR" w:eastAsia="el-GR"/>
        </w:rPr>
        <w:instrText xml:space="preserve"> </w:instrText>
      </w:r>
      <w:r w:rsidRPr="002A7BFD">
        <w:rPr>
          <w:rFonts w:asciiTheme="majorHAnsi" w:eastAsia="Times New Roman" w:hAnsiTheme="majorHAnsi" w:cs="Arial"/>
          <w:b/>
          <w:i w:val="0"/>
          <w:sz w:val="24"/>
          <w:szCs w:val="24"/>
          <w:lang w:eastAsia="el-GR"/>
        </w:rPr>
        <w:fldChar w:fldCharType="separate"/>
      </w:r>
      <w:r w:rsidR="00DE0303" w:rsidRPr="00DE0303">
        <w:rPr>
          <w:rFonts w:asciiTheme="majorHAnsi" w:eastAsia="Times New Roman" w:hAnsiTheme="majorHAnsi" w:cs="Arial"/>
          <w:b/>
          <w:i w:val="0"/>
          <w:noProof/>
          <w:sz w:val="24"/>
          <w:szCs w:val="24"/>
          <w:lang w:val="el-GR" w:eastAsia="el-GR"/>
        </w:rPr>
        <w:t>5</w:t>
      </w:r>
      <w:r w:rsidRPr="002A7BFD">
        <w:rPr>
          <w:rFonts w:asciiTheme="majorHAnsi" w:eastAsia="Times New Roman" w:hAnsiTheme="majorHAnsi" w:cs="Arial"/>
          <w:b/>
          <w:i w:val="0"/>
          <w:sz w:val="24"/>
          <w:szCs w:val="24"/>
          <w:lang w:eastAsia="el-GR"/>
        </w:rPr>
        <w:fldChar w:fldCharType="end"/>
      </w:r>
      <w:r w:rsidRPr="00AA21A6">
        <w:rPr>
          <w:rFonts w:asciiTheme="majorHAnsi" w:eastAsia="Times New Roman" w:hAnsiTheme="majorHAnsi" w:cs="Arial"/>
          <w:b/>
          <w:i w:val="0"/>
          <w:sz w:val="24"/>
          <w:szCs w:val="24"/>
          <w:lang w:val="el-GR" w:eastAsia="el-GR"/>
        </w:rPr>
        <w:t xml:space="preserve">: ΔΙΑΧΡΟΝΙΚΗ ΕΞΕΛΙΞΗ ΔΑΠΑΝΩΝ ΓΙΑ ΣΥΝΤΑΞΕΙΣ ΚΑΙ ΕΠΙΔΟΜΑΤΑ ΑΝΑΠΗΡΙΑΣ ΤΑ ΕΤΗ 2010-2017 </w:t>
      </w:r>
      <w:r w:rsidRPr="0016662B">
        <w:rPr>
          <w:rFonts w:asciiTheme="majorHAnsi" w:eastAsia="Times New Roman" w:hAnsiTheme="majorHAnsi" w:cs="Arial"/>
          <w:bCs/>
          <w:iCs w:val="0"/>
          <w:sz w:val="24"/>
          <w:szCs w:val="24"/>
          <w:lang w:val="el-GR" w:eastAsia="el-GR"/>
        </w:rPr>
        <w:t>(σε εκατομμύρια €)</w:t>
      </w:r>
    </w:p>
    <w:p w14:paraId="69F61778" w14:textId="77777777" w:rsidR="00811526" w:rsidRDefault="00AA21A6" w:rsidP="00811526">
      <w:pPr>
        <w:pStyle w:val="aa"/>
        <w:keepNext/>
        <w:ind w:right="142"/>
        <w:jc w:val="both"/>
      </w:pPr>
      <w:r>
        <w:rPr>
          <w:noProof/>
          <w:lang w:val="el-GR" w:eastAsia="el-GR"/>
        </w:rPr>
        <w:drawing>
          <wp:inline distT="0" distB="0" distL="0" distR="0" wp14:anchorId="7BB55EBC" wp14:editId="66F78BB3">
            <wp:extent cx="5800725" cy="3305175"/>
            <wp:effectExtent l="0" t="0" r="0" b="0"/>
            <wp:docPr id="31" name="Γράφημα 31" descr="Συντάξεις αναπηρίας  το 2010 2694, το 2011 2693, το 2012 2439, το 2013 2156, το 2014 2105, το 2015 2140, το 2016 1930 και το 2017 1937.&#10;Προνοιακά επιδόματα το 2010 768, το 2011 755, το 2012 752, το 2013 674, το 2014 719, το 2015 673, το 2016 669 και το 2017 6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3B8504" w14:textId="14A750D1" w:rsidR="00811526" w:rsidRPr="00AA21A6" w:rsidRDefault="00811526" w:rsidP="004F338E">
      <w:pPr>
        <w:pStyle w:val="aa"/>
        <w:spacing w:before="120"/>
        <w:ind w:left="142" w:right="142"/>
        <w:jc w:val="right"/>
        <w:rPr>
          <w:lang w:val="el-GR"/>
        </w:rPr>
      </w:pPr>
      <w:r w:rsidRPr="00AA21A6">
        <w:rPr>
          <w:lang w:val="el-GR"/>
        </w:rPr>
        <w:t>ΠΗΓΗ: Ελληνική Στατιστική Αρχή,</w:t>
      </w:r>
      <w:r w:rsidR="008E7B49">
        <w:rPr>
          <w:lang w:val="el-GR"/>
        </w:rPr>
        <w:t xml:space="preserve"> </w:t>
      </w:r>
      <w:r w:rsidRPr="00AA21A6">
        <w:rPr>
          <w:lang w:val="el-GR"/>
        </w:rPr>
        <w:t>Ευρωπαϊκό Σύστημα Ολοκληρωμένων Στατιστικών Κοινωνικής Προστασίας (</w:t>
      </w:r>
      <w:r w:rsidRPr="0016662B">
        <w:rPr>
          <w:lang w:val="el-GR"/>
        </w:rPr>
        <w:t>ESSPROS</w:t>
      </w:r>
      <w:r w:rsidRPr="00AA21A6">
        <w:rPr>
          <w:lang w:val="el-GR"/>
        </w:rPr>
        <w:t xml:space="preserve">)/ </w:t>
      </w:r>
      <w:r w:rsidR="0016662B" w:rsidRPr="00AA21A6">
        <w:rPr>
          <w:lang w:val="el-GR"/>
        </w:rPr>
        <w:t xml:space="preserve">ΕΠΕΞΕΡΓΑΣΙΑ: </w:t>
      </w:r>
      <w:r w:rsidR="0016662B">
        <w:rPr>
          <w:lang w:val="el-GR"/>
        </w:rPr>
        <w:t>Παρατηρητήριο</w:t>
      </w:r>
      <w:r w:rsidR="0016662B" w:rsidRPr="00F36C04">
        <w:rPr>
          <w:lang w:val="el-GR"/>
        </w:rPr>
        <w:t xml:space="preserve"> </w:t>
      </w:r>
      <w:r w:rsidR="0016662B">
        <w:rPr>
          <w:lang w:val="el-GR"/>
        </w:rPr>
        <w:t>Θεμάτων</w:t>
      </w:r>
      <w:r w:rsidR="0016662B" w:rsidRPr="00F36C04">
        <w:rPr>
          <w:lang w:val="el-GR"/>
        </w:rPr>
        <w:t xml:space="preserve"> </w:t>
      </w:r>
      <w:r w:rsidR="0016662B">
        <w:rPr>
          <w:lang w:val="el-GR"/>
        </w:rPr>
        <w:t>Αναπηρίας</w:t>
      </w:r>
      <w:r w:rsidR="0016662B" w:rsidRPr="00F36C04">
        <w:rPr>
          <w:lang w:val="el-GR"/>
        </w:rPr>
        <w:t>-</w:t>
      </w:r>
      <w:r w:rsidR="0016662B">
        <w:rPr>
          <w:lang w:val="el-GR"/>
        </w:rPr>
        <w:t>Ε</w:t>
      </w:r>
      <w:r w:rsidR="0016662B" w:rsidRPr="00F36C04">
        <w:rPr>
          <w:lang w:val="el-GR"/>
        </w:rPr>
        <w:t>.</w:t>
      </w:r>
      <w:r w:rsidR="0016662B">
        <w:rPr>
          <w:lang w:val="el-GR"/>
        </w:rPr>
        <w:t>Σ</w:t>
      </w:r>
      <w:r w:rsidR="0016662B" w:rsidRPr="00F36C04">
        <w:rPr>
          <w:lang w:val="el-GR"/>
        </w:rPr>
        <w:t>.</w:t>
      </w:r>
      <w:r w:rsidR="0016662B">
        <w:rPr>
          <w:lang w:val="el-GR"/>
        </w:rPr>
        <w:t>Α</w:t>
      </w:r>
      <w:r w:rsidR="0016662B" w:rsidRPr="00F36C04">
        <w:rPr>
          <w:lang w:val="el-GR"/>
        </w:rPr>
        <w:t>.</w:t>
      </w:r>
      <w:r w:rsidR="0016662B">
        <w:rPr>
          <w:lang w:val="el-GR"/>
        </w:rPr>
        <w:t>μεΑ</w:t>
      </w:r>
      <w:r w:rsidR="0016662B" w:rsidRPr="00F36C04">
        <w:rPr>
          <w:lang w:val="el-GR"/>
        </w:rPr>
        <w:t>.</w:t>
      </w:r>
    </w:p>
    <w:p w14:paraId="1F9B9BBC" w14:textId="00E5367A" w:rsidR="00AA21A6" w:rsidRPr="00E76577" w:rsidRDefault="00AA21A6" w:rsidP="0016662B">
      <w:pPr>
        <w:pStyle w:val="2"/>
        <w:numPr>
          <w:ilvl w:val="1"/>
          <w:numId w:val="12"/>
        </w:numPr>
        <w:spacing w:before="600" w:after="200"/>
        <w:ind w:left="578" w:hanging="578"/>
        <w:rPr>
          <w:rFonts w:cstheme="majorHAnsi"/>
          <w:b/>
          <w:color w:val="auto"/>
          <w:sz w:val="32"/>
          <w:szCs w:val="32"/>
          <w:lang w:val="el-GR"/>
        </w:rPr>
      </w:pPr>
      <w:bookmarkStart w:id="9" w:name="_Toc53409345"/>
      <w:r w:rsidRPr="00E76577">
        <w:rPr>
          <w:rFonts w:cstheme="majorHAnsi"/>
          <w:b/>
          <w:color w:val="auto"/>
          <w:sz w:val="32"/>
          <w:szCs w:val="32"/>
          <w:lang w:val="el-GR"/>
        </w:rPr>
        <w:t xml:space="preserve">Συγκριτικοί δείκτες δαπανών για την αναπηρία στην Ελλάδα </w:t>
      </w:r>
      <w:r w:rsidR="0016662B">
        <w:rPr>
          <w:rFonts w:cstheme="majorHAnsi"/>
          <w:b/>
          <w:color w:val="auto"/>
          <w:sz w:val="32"/>
          <w:szCs w:val="32"/>
          <w:lang w:val="el-GR"/>
        </w:rPr>
        <w:br/>
      </w:r>
      <w:r w:rsidRPr="00E76577">
        <w:rPr>
          <w:rFonts w:cstheme="majorHAnsi"/>
          <w:b/>
          <w:color w:val="auto"/>
          <w:sz w:val="32"/>
          <w:szCs w:val="32"/>
          <w:lang w:val="el-GR"/>
        </w:rPr>
        <w:t>και την Ε.Ε.</w:t>
      </w:r>
      <w:bookmarkEnd w:id="9"/>
    </w:p>
    <w:p w14:paraId="646B1490" w14:textId="77777777" w:rsidR="00AA21A6" w:rsidRPr="00AA21A6" w:rsidRDefault="00AA21A6" w:rsidP="00AA21A6">
      <w:pPr>
        <w:ind w:right="142"/>
        <w:jc w:val="both"/>
        <w:rPr>
          <w:sz w:val="24"/>
          <w:szCs w:val="24"/>
          <w:lang w:val="el-GR"/>
        </w:rPr>
      </w:pPr>
      <w:r w:rsidRPr="00AA21A6">
        <w:rPr>
          <w:sz w:val="24"/>
          <w:szCs w:val="24"/>
          <w:lang w:val="el-GR"/>
        </w:rPr>
        <w:t xml:space="preserve">Συγκρίνοντας τις δαπάνες για κοινωνικές παροχές προς τα άτομα με αναπηρία στην Ελλάδα και στις υπόλοιπες ευρωπαϊκές χώρες, διαπιστώνεται ότι η χώρα υπολείπεται σημαντικά ως προς το επίπεδο των παροχών για την αναπηρία. </w:t>
      </w:r>
    </w:p>
    <w:p w14:paraId="7B00BA17" w14:textId="74678B2F" w:rsidR="00AA21A6" w:rsidRPr="00AA21A6" w:rsidRDefault="00AA21A6" w:rsidP="00AA21A6">
      <w:pPr>
        <w:ind w:right="142"/>
        <w:jc w:val="both"/>
        <w:rPr>
          <w:sz w:val="24"/>
          <w:szCs w:val="24"/>
          <w:lang w:val="el-GR"/>
        </w:rPr>
      </w:pPr>
      <w:r w:rsidRPr="00AA21A6">
        <w:rPr>
          <w:sz w:val="24"/>
          <w:szCs w:val="24"/>
          <w:lang w:val="el-GR"/>
        </w:rPr>
        <w:t>Στην χώρα μας, οι δαπάνες για την αναπηρία ως ποσοστό της συνολικής δαπάνης για την κοινωνική προστασία ήταν το 2017 στο 5,9%, όταν η μέσος όρος της Ε.Ε.-28 ανερχόταν στο 7,6% (βλ. Γράφημ</w:t>
      </w:r>
      <w:r w:rsidR="00725BA9">
        <w:rPr>
          <w:sz w:val="24"/>
          <w:szCs w:val="24"/>
          <w:lang w:val="el-GR"/>
        </w:rPr>
        <w:t xml:space="preserve">α 6). Ειδικότερα, </w:t>
      </w:r>
      <w:r w:rsidR="00725BA9" w:rsidRPr="00AA21A6">
        <w:rPr>
          <w:sz w:val="24"/>
          <w:szCs w:val="24"/>
          <w:lang w:val="el-GR"/>
        </w:rPr>
        <w:t>στον εν λόγω δείκτη</w:t>
      </w:r>
      <w:r w:rsidR="00725BA9">
        <w:rPr>
          <w:sz w:val="24"/>
          <w:szCs w:val="24"/>
          <w:lang w:val="el-GR"/>
        </w:rPr>
        <w:t xml:space="preserve"> και σε </w:t>
      </w:r>
      <w:r w:rsidRPr="00AA21A6">
        <w:rPr>
          <w:sz w:val="24"/>
          <w:szCs w:val="24"/>
          <w:lang w:val="el-GR"/>
        </w:rPr>
        <w:t>σύνολο 35 κρατών, η Ελλάδα κατατάσσεται στη 29</w:t>
      </w:r>
      <w:r w:rsidRPr="00AA21A6">
        <w:rPr>
          <w:sz w:val="24"/>
          <w:szCs w:val="24"/>
          <w:vertAlign w:val="superscript"/>
          <w:lang w:val="el-GR"/>
        </w:rPr>
        <w:t>η</w:t>
      </w:r>
      <w:r w:rsidR="00725BA9">
        <w:rPr>
          <w:sz w:val="24"/>
          <w:szCs w:val="24"/>
          <w:lang w:val="el-GR"/>
        </w:rPr>
        <w:t xml:space="preserve"> θέση.</w:t>
      </w:r>
    </w:p>
    <w:p w14:paraId="65F00621" w14:textId="77777777" w:rsidR="00AA21A6" w:rsidRPr="0016662B" w:rsidRDefault="00AA21A6" w:rsidP="0016662B">
      <w:pPr>
        <w:ind w:right="142"/>
        <w:jc w:val="both"/>
        <w:rPr>
          <w:sz w:val="24"/>
          <w:szCs w:val="24"/>
          <w:lang w:val="el-GR"/>
        </w:rPr>
      </w:pPr>
    </w:p>
    <w:p w14:paraId="442810E8" w14:textId="3393291F" w:rsidR="00AA21A6" w:rsidRDefault="00AA21A6" w:rsidP="00B62042">
      <w:pPr>
        <w:pStyle w:val="aa"/>
        <w:keepNext/>
        <w:spacing w:after="0"/>
        <w:ind w:right="1134"/>
        <w:jc w:val="both"/>
        <w:rPr>
          <w:rFonts w:asciiTheme="majorHAnsi" w:eastAsia="Times New Roman" w:hAnsiTheme="majorHAnsi" w:cs="Arial"/>
          <w:b/>
          <w:i w:val="0"/>
          <w:sz w:val="24"/>
          <w:szCs w:val="24"/>
          <w:lang w:val="el-GR" w:eastAsia="el-GR"/>
        </w:rPr>
      </w:pPr>
      <w:r w:rsidRPr="00AA21A6">
        <w:rPr>
          <w:rFonts w:asciiTheme="majorHAnsi" w:eastAsia="Times New Roman" w:hAnsiTheme="majorHAnsi" w:cs="Arial"/>
          <w:b/>
          <w:i w:val="0"/>
          <w:sz w:val="24"/>
          <w:szCs w:val="24"/>
          <w:lang w:val="el-GR" w:eastAsia="el-GR"/>
        </w:rPr>
        <w:lastRenderedPageBreak/>
        <w:t xml:space="preserve">Γράφημα </w:t>
      </w:r>
      <w:r w:rsidRPr="0016662B">
        <w:rPr>
          <w:rFonts w:asciiTheme="majorHAnsi" w:eastAsia="Times New Roman" w:hAnsiTheme="majorHAnsi" w:cs="Arial"/>
          <w:b/>
          <w:i w:val="0"/>
          <w:sz w:val="24"/>
          <w:szCs w:val="24"/>
          <w:lang w:val="el-GR" w:eastAsia="el-GR"/>
        </w:rPr>
        <w:fldChar w:fldCharType="begin"/>
      </w:r>
      <w:r w:rsidRPr="00AA21A6">
        <w:rPr>
          <w:rFonts w:asciiTheme="majorHAnsi" w:eastAsia="Times New Roman" w:hAnsiTheme="majorHAnsi" w:cs="Arial"/>
          <w:b/>
          <w:i w:val="0"/>
          <w:sz w:val="24"/>
          <w:szCs w:val="24"/>
          <w:lang w:val="el-GR" w:eastAsia="el-GR"/>
        </w:rPr>
        <w:instrText xml:space="preserve"> </w:instrText>
      </w:r>
      <w:r w:rsidRPr="0016662B">
        <w:rPr>
          <w:rFonts w:asciiTheme="majorHAnsi" w:eastAsia="Times New Roman" w:hAnsiTheme="majorHAnsi" w:cs="Arial"/>
          <w:b/>
          <w:i w:val="0"/>
          <w:sz w:val="24"/>
          <w:szCs w:val="24"/>
          <w:lang w:val="el-GR" w:eastAsia="el-GR"/>
        </w:rPr>
        <w:instrText>SEQ</w:instrText>
      </w:r>
      <w:r w:rsidRPr="00AA21A6">
        <w:rPr>
          <w:rFonts w:asciiTheme="majorHAnsi" w:eastAsia="Times New Roman" w:hAnsiTheme="majorHAnsi" w:cs="Arial"/>
          <w:b/>
          <w:i w:val="0"/>
          <w:sz w:val="24"/>
          <w:szCs w:val="24"/>
          <w:lang w:val="el-GR" w:eastAsia="el-GR"/>
        </w:rPr>
        <w:instrText xml:space="preserve"> Γράφημα \* </w:instrText>
      </w:r>
      <w:r w:rsidRPr="0016662B">
        <w:rPr>
          <w:rFonts w:asciiTheme="majorHAnsi" w:eastAsia="Times New Roman" w:hAnsiTheme="majorHAnsi" w:cs="Arial"/>
          <w:b/>
          <w:i w:val="0"/>
          <w:sz w:val="24"/>
          <w:szCs w:val="24"/>
          <w:lang w:val="el-GR" w:eastAsia="el-GR"/>
        </w:rPr>
        <w:instrText>ARABIC</w:instrText>
      </w:r>
      <w:r w:rsidRPr="00AA21A6">
        <w:rPr>
          <w:rFonts w:asciiTheme="majorHAnsi" w:eastAsia="Times New Roman" w:hAnsiTheme="majorHAnsi" w:cs="Arial"/>
          <w:b/>
          <w:i w:val="0"/>
          <w:sz w:val="24"/>
          <w:szCs w:val="24"/>
          <w:lang w:val="el-GR" w:eastAsia="el-GR"/>
        </w:rPr>
        <w:instrText xml:space="preserve"> </w:instrText>
      </w:r>
      <w:r w:rsidRPr="0016662B">
        <w:rPr>
          <w:rFonts w:asciiTheme="majorHAnsi" w:eastAsia="Times New Roman" w:hAnsiTheme="majorHAnsi" w:cs="Arial"/>
          <w:b/>
          <w:i w:val="0"/>
          <w:sz w:val="24"/>
          <w:szCs w:val="24"/>
          <w:lang w:val="el-GR" w:eastAsia="el-GR"/>
        </w:rPr>
        <w:fldChar w:fldCharType="separate"/>
      </w:r>
      <w:r w:rsidR="00DE0303" w:rsidRPr="00DE0303">
        <w:rPr>
          <w:rFonts w:asciiTheme="majorHAnsi" w:eastAsia="Times New Roman" w:hAnsiTheme="majorHAnsi" w:cs="Arial"/>
          <w:b/>
          <w:i w:val="0"/>
          <w:sz w:val="24"/>
          <w:szCs w:val="24"/>
          <w:lang w:val="el-GR" w:eastAsia="el-GR"/>
        </w:rPr>
        <w:t>6</w:t>
      </w:r>
      <w:r w:rsidRPr="0016662B">
        <w:rPr>
          <w:rFonts w:asciiTheme="majorHAnsi" w:eastAsia="Times New Roman" w:hAnsiTheme="majorHAnsi" w:cs="Arial"/>
          <w:b/>
          <w:i w:val="0"/>
          <w:sz w:val="24"/>
          <w:szCs w:val="24"/>
          <w:lang w:val="el-GR" w:eastAsia="el-GR"/>
        </w:rPr>
        <w:fldChar w:fldCharType="end"/>
      </w:r>
      <w:r w:rsidRPr="00AA21A6">
        <w:rPr>
          <w:rFonts w:asciiTheme="majorHAnsi" w:eastAsia="Times New Roman" w:hAnsiTheme="majorHAnsi" w:cs="Arial"/>
          <w:b/>
          <w:i w:val="0"/>
          <w:sz w:val="24"/>
          <w:szCs w:val="24"/>
          <w:lang w:val="el-GR" w:eastAsia="el-GR"/>
        </w:rPr>
        <w:t>: ΔΑΠΑΝΕΣ ΓΙΑ ΠΑΡΟΧΕΣ ΓΙΑ ΤΗΝ «ΑΝΑΠΗΡΙΑ» ΩΣ ΠΟΣΟΣΤΟ ΤΟΥ ΣΥΝΟΛΟΥ ΤΩΝ ΔΑΠΑΝΩΝ ΓΙΑ ΠΑΡΟΧΕΣ ΚΟΙΝΩΝΙΚΗΣ ΠΡΟΣΤΑΣΙΑΣ ΣΤΗΝ Ε.Ε. (2017)</w:t>
      </w:r>
    </w:p>
    <w:p w14:paraId="76B1A3AD" w14:textId="56F92F7C" w:rsidR="009135F5" w:rsidRDefault="0016662B" w:rsidP="009135F5">
      <w:pPr>
        <w:keepNext/>
      </w:pPr>
      <w:r>
        <w:rPr>
          <w:noProof/>
        </w:rPr>
        <w:drawing>
          <wp:inline distT="0" distB="0" distL="0" distR="0" wp14:anchorId="309F82B6" wp14:editId="790D533A">
            <wp:extent cx="6067425" cy="5876925"/>
            <wp:effectExtent l="0" t="0" r="0" b="0"/>
            <wp:docPr id="89" name="Γράφημα 89" descr="Μάλτα 3,48.&#10;Τουρκία 3,55.&#10;Κύπρος 4,44.&#10;Σλοβενία 4,79.&#10;Ιρλανδία 5,58.&#10;Ιταλία 5,79.&#10;Ελλάδα 5,92.&#10;Ουγγαρία 5,96.&#10;Σερβία 6,14.&#10;Αυστρία  6,2.&#10;Τσεχία 6,38.&#10;Γαλλία 6,46.&#10;Ρουμανία 6,54.&#10;Αγγλία 6,68.&#10;Πορτογαλία 7,11.&#10;Ισπανία 7,15.&#10;Πολωνία 7,3.&#10;Βουλγαρία 7,45.&#10;E.E.(28) 7,57.&#10;Ελβετία 8,07.&#10;Γερμανία 8,51.&#10;Βέλγιο 8,66.&#10;Σλοβακία 8,79.&#10;Λετονία 9,05.&#10;Ολλανδία 9,17.&#10;Λιθουανία 9,31.&#10;Φιλανδία 9,55.&#10;Βόρεια Μακεδονία 9,97.&#10;Κροατία 10,7.&#10;Λουξεμβόυργο 10,75.&#10;Σουηδία  10,88.&#10;Εσθονία 11,64.&#10;Βοζνία-Εζεργοβίνη 15,69.&#10;Νορβηγία 16,25.&#10;Δανία 16,36.&#10;Ισλανδία 16,4.">
              <a:extLst xmlns:a="http://schemas.openxmlformats.org/drawingml/2006/main">
                <a:ext uri="{FF2B5EF4-FFF2-40B4-BE49-F238E27FC236}">
                  <a16:creationId xmlns:a16="http://schemas.microsoft.com/office/drawing/2014/main" id="{02C0E0FE-3561-4440-96CC-11D437F56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C68C4B" w14:textId="506A60D0" w:rsidR="009135F5" w:rsidRPr="00B62042" w:rsidRDefault="009135F5" w:rsidP="004F338E">
      <w:pPr>
        <w:pStyle w:val="aa"/>
        <w:spacing w:before="120"/>
        <w:ind w:left="142" w:right="142"/>
        <w:jc w:val="right"/>
      </w:pPr>
      <w:r w:rsidRPr="00B62042">
        <w:rPr>
          <w:lang w:val="el-GR"/>
        </w:rPr>
        <w:t>ΠΗΓΗ</w:t>
      </w:r>
      <w:r w:rsidRPr="00B62042">
        <w:t>: Eurostat, European System of Integrated Social Protection Statistics/ESSPROS (2017)</w:t>
      </w:r>
      <w:r w:rsidR="00B62042">
        <w:br/>
      </w:r>
      <w:r w:rsidR="00B62042" w:rsidRPr="00AA21A6">
        <w:rPr>
          <w:lang w:val="el-GR"/>
        </w:rPr>
        <w:t>ΕΠΕΞΕΡΓΑΣΙΑ</w:t>
      </w:r>
      <w:r w:rsidR="00B62042" w:rsidRPr="00B62042">
        <w:t xml:space="preserve">: </w:t>
      </w:r>
      <w:r w:rsidR="00B62042">
        <w:rPr>
          <w:lang w:val="el-GR"/>
        </w:rPr>
        <w:t>Παρατηρητήριο</w:t>
      </w:r>
      <w:r w:rsidR="00B62042" w:rsidRPr="00B62042">
        <w:t xml:space="preserve"> </w:t>
      </w:r>
      <w:r w:rsidR="00B62042">
        <w:rPr>
          <w:lang w:val="el-GR"/>
        </w:rPr>
        <w:t>Θεμάτων</w:t>
      </w:r>
      <w:r w:rsidR="00B62042" w:rsidRPr="00B62042">
        <w:t xml:space="preserve"> </w:t>
      </w:r>
      <w:r w:rsidR="00B62042">
        <w:rPr>
          <w:lang w:val="el-GR"/>
        </w:rPr>
        <w:t>Αναπηρίας</w:t>
      </w:r>
      <w:r w:rsidR="00B62042" w:rsidRPr="00B62042">
        <w:t>-</w:t>
      </w:r>
      <w:r w:rsidR="00B62042">
        <w:rPr>
          <w:lang w:val="el-GR"/>
        </w:rPr>
        <w:t>Ε</w:t>
      </w:r>
      <w:r w:rsidR="00B62042" w:rsidRPr="00B62042">
        <w:t>.</w:t>
      </w:r>
      <w:r w:rsidR="00B62042">
        <w:rPr>
          <w:lang w:val="el-GR"/>
        </w:rPr>
        <w:t>Σ</w:t>
      </w:r>
      <w:r w:rsidR="00B62042" w:rsidRPr="00B62042">
        <w:t>.</w:t>
      </w:r>
      <w:r w:rsidR="00B62042">
        <w:rPr>
          <w:lang w:val="el-GR"/>
        </w:rPr>
        <w:t>Α</w:t>
      </w:r>
      <w:r w:rsidR="00B62042" w:rsidRPr="00B62042">
        <w:t>.</w:t>
      </w:r>
      <w:r w:rsidR="00B62042">
        <w:rPr>
          <w:lang w:val="el-GR"/>
        </w:rPr>
        <w:t>μεΑ</w:t>
      </w:r>
      <w:r w:rsidR="00B62042" w:rsidRPr="00B62042">
        <w:t>.</w:t>
      </w:r>
    </w:p>
    <w:p w14:paraId="0EF66D75" w14:textId="4F02E6E5" w:rsidR="00AA21A6" w:rsidRPr="00B2551D" w:rsidRDefault="00AA21A6" w:rsidP="00AA21A6">
      <w:pPr>
        <w:ind w:right="142"/>
        <w:jc w:val="both"/>
        <w:rPr>
          <w:sz w:val="24"/>
          <w:szCs w:val="24"/>
          <w:lang w:val="el-GR"/>
        </w:rPr>
      </w:pPr>
      <w:r w:rsidRPr="00B2551D">
        <w:rPr>
          <w:sz w:val="24"/>
          <w:szCs w:val="24"/>
          <w:lang w:val="el-GR"/>
        </w:rPr>
        <w:t>Η εξέταση του δείκτη «</w:t>
      </w:r>
      <w:r w:rsidRPr="0057786D">
        <w:rPr>
          <w:i/>
          <w:sz w:val="24"/>
          <w:szCs w:val="24"/>
          <w:lang w:val="el-GR"/>
        </w:rPr>
        <w:t>Κατά κεφαλήν δαπάνη για παροχές κοινωνικής προστασίας για την αναπηρία σε μονάδες αγοραστικής δύναμης</w:t>
      </w:r>
      <w:r w:rsidRPr="00B2551D">
        <w:rPr>
          <w:sz w:val="24"/>
          <w:szCs w:val="24"/>
          <w:lang w:val="el-GR"/>
        </w:rPr>
        <w:t>»</w:t>
      </w:r>
      <w:r w:rsidR="008E7B49">
        <w:rPr>
          <w:sz w:val="24"/>
          <w:szCs w:val="24"/>
          <w:lang w:val="el-GR"/>
        </w:rPr>
        <w:t xml:space="preserve"> </w:t>
      </w:r>
      <w:r w:rsidRPr="00B2551D">
        <w:rPr>
          <w:sz w:val="24"/>
          <w:szCs w:val="24"/>
          <w:lang w:val="el-GR"/>
        </w:rPr>
        <w:t>επιβεβαιώνει</w:t>
      </w:r>
      <w:r w:rsidR="008E7B49">
        <w:rPr>
          <w:sz w:val="24"/>
          <w:szCs w:val="24"/>
          <w:lang w:val="el-GR"/>
        </w:rPr>
        <w:t xml:space="preserve"> </w:t>
      </w:r>
      <w:r w:rsidRPr="00B2551D">
        <w:rPr>
          <w:sz w:val="24"/>
          <w:szCs w:val="24"/>
          <w:lang w:val="el-GR"/>
        </w:rPr>
        <w:t xml:space="preserve">επίσης </w:t>
      </w:r>
      <w:r w:rsidR="009361D8">
        <w:rPr>
          <w:sz w:val="24"/>
          <w:szCs w:val="24"/>
          <w:lang w:val="el-GR"/>
        </w:rPr>
        <w:t>την γενική εικόνα</w:t>
      </w:r>
      <w:r w:rsidR="00F56593">
        <w:rPr>
          <w:sz w:val="24"/>
          <w:szCs w:val="24"/>
          <w:lang w:val="el-GR"/>
        </w:rPr>
        <w:t>,</w:t>
      </w:r>
      <w:r w:rsidR="009361D8">
        <w:rPr>
          <w:sz w:val="24"/>
          <w:szCs w:val="24"/>
          <w:lang w:val="el-GR"/>
        </w:rPr>
        <w:t xml:space="preserve"> αφού σ</w:t>
      </w:r>
      <w:r w:rsidRPr="00B2551D">
        <w:rPr>
          <w:sz w:val="24"/>
          <w:szCs w:val="24"/>
          <w:lang w:val="el-GR"/>
        </w:rPr>
        <w:t>την Ελλάδα η δαπάνη για την προστασία την αναπηρίας βρίσκεται στο</w:t>
      </w:r>
      <w:r w:rsidR="008E7B49">
        <w:rPr>
          <w:sz w:val="24"/>
          <w:szCs w:val="24"/>
          <w:lang w:val="el-GR"/>
        </w:rPr>
        <w:t xml:space="preserve"> </w:t>
      </w:r>
      <w:r w:rsidRPr="00B2551D">
        <w:rPr>
          <w:sz w:val="24"/>
          <w:szCs w:val="24"/>
          <w:lang w:val="el-GR"/>
        </w:rPr>
        <w:t xml:space="preserve">ιδιαίτερα χαμηλό επίπεδο των 297, 8 (ΜΑΔ) ανά κάτοικο, όντας </w:t>
      </w:r>
      <w:r w:rsidR="00F058CE">
        <w:rPr>
          <w:sz w:val="24"/>
          <w:szCs w:val="24"/>
          <w:lang w:val="el-GR"/>
        </w:rPr>
        <w:t>μικρότερη του</w:t>
      </w:r>
      <w:r w:rsidRPr="00B2551D">
        <w:rPr>
          <w:sz w:val="24"/>
          <w:szCs w:val="24"/>
          <w:lang w:val="el-GR"/>
        </w:rPr>
        <w:t xml:space="preserve"> 50% της μέσης δαπάνης στην Ε.Ε. των 28.</w:t>
      </w:r>
    </w:p>
    <w:p w14:paraId="0602C877" w14:textId="77777777" w:rsidR="00B62042" w:rsidRDefault="00AA21A6" w:rsidP="00B62042">
      <w:pPr>
        <w:pStyle w:val="aa"/>
        <w:keepNext/>
        <w:spacing w:after="0"/>
        <w:ind w:right="142"/>
        <w:rPr>
          <w:rFonts w:asciiTheme="majorHAnsi" w:hAnsiTheme="majorHAnsi"/>
          <w:b/>
          <w:i w:val="0"/>
          <w:sz w:val="24"/>
          <w:szCs w:val="24"/>
          <w:lang w:val="el-GR"/>
        </w:rPr>
      </w:pPr>
      <w:r w:rsidRPr="00AA21A6">
        <w:rPr>
          <w:rFonts w:asciiTheme="majorHAnsi" w:hAnsiTheme="majorHAnsi"/>
          <w:b/>
          <w:i w:val="0"/>
          <w:sz w:val="24"/>
          <w:szCs w:val="24"/>
          <w:lang w:val="el-GR"/>
        </w:rPr>
        <w:lastRenderedPageBreak/>
        <w:t xml:space="preserve">Γράφημα </w:t>
      </w:r>
      <w:r w:rsidRPr="00792110">
        <w:rPr>
          <w:rFonts w:asciiTheme="majorHAnsi" w:hAnsiTheme="majorHAnsi"/>
          <w:b/>
          <w:i w:val="0"/>
          <w:sz w:val="24"/>
          <w:szCs w:val="24"/>
        </w:rPr>
        <w:fldChar w:fldCharType="begin"/>
      </w:r>
      <w:r w:rsidRPr="00AA21A6">
        <w:rPr>
          <w:rFonts w:asciiTheme="majorHAnsi" w:hAnsiTheme="majorHAnsi"/>
          <w:b/>
          <w:i w:val="0"/>
          <w:sz w:val="24"/>
          <w:szCs w:val="24"/>
          <w:lang w:val="el-GR"/>
        </w:rPr>
        <w:instrText xml:space="preserve"> </w:instrText>
      </w:r>
      <w:r w:rsidRPr="00792110">
        <w:rPr>
          <w:rFonts w:asciiTheme="majorHAnsi" w:hAnsiTheme="majorHAnsi"/>
          <w:b/>
          <w:i w:val="0"/>
          <w:sz w:val="24"/>
          <w:szCs w:val="24"/>
        </w:rPr>
        <w:instrText>SEQ</w:instrText>
      </w:r>
      <w:r w:rsidRPr="00AA21A6">
        <w:rPr>
          <w:rFonts w:asciiTheme="majorHAnsi" w:hAnsiTheme="majorHAnsi"/>
          <w:b/>
          <w:i w:val="0"/>
          <w:sz w:val="24"/>
          <w:szCs w:val="24"/>
          <w:lang w:val="el-GR"/>
        </w:rPr>
        <w:instrText xml:space="preserve"> Γράφημα \* </w:instrText>
      </w:r>
      <w:r w:rsidRPr="00792110">
        <w:rPr>
          <w:rFonts w:asciiTheme="majorHAnsi" w:hAnsiTheme="majorHAnsi"/>
          <w:b/>
          <w:i w:val="0"/>
          <w:sz w:val="24"/>
          <w:szCs w:val="24"/>
        </w:rPr>
        <w:instrText>ARABIC</w:instrText>
      </w:r>
      <w:r w:rsidRPr="00AA21A6">
        <w:rPr>
          <w:rFonts w:asciiTheme="majorHAnsi" w:hAnsiTheme="majorHAnsi"/>
          <w:b/>
          <w:i w:val="0"/>
          <w:sz w:val="24"/>
          <w:szCs w:val="24"/>
          <w:lang w:val="el-GR"/>
        </w:rPr>
        <w:instrText xml:space="preserve"> </w:instrText>
      </w:r>
      <w:r w:rsidRPr="00792110">
        <w:rPr>
          <w:rFonts w:asciiTheme="majorHAnsi" w:hAnsiTheme="majorHAnsi"/>
          <w:b/>
          <w:i w:val="0"/>
          <w:sz w:val="24"/>
          <w:szCs w:val="24"/>
        </w:rPr>
        <w:fldChar w:fldCharType="separate"/>
      </w:r>
      <w:r w:rsidR="00DE0303" w:rsidRPr="00DE0303">
        <w:rPr>
          <w:rFonts w:asciiTheme="majorHAnsi" w:hAnsiTheme="majorHAnsi"/>
          <w:b/>
          <w:i w:val="0"/>
          <w:noProof/>
          <w:sz w:val="24"/>
          <w:szCs w:val="24"/>
          <w:lang w:val="el-GR"/>
        </w:rPr>
        <w:t>7</w:t>
      </w:r>
      <w:r w:rsidRPr="00792110">
        <w:rPr>
          <w:rFonts w:asciiTheme="majorHAnsi" w:hAnsiTheme="majorHAnsi"/>
          <w:b/>
          <w:i w:val="0"/>
          <w:sz w:val="24"/>
          <w:szCs w:val="24"/>
        </w:rPr>
        <w:fldChar w:fldCharType="end"/>
      </w:r>
      <w:r w:rsidRPr="00AA21A6">
        <w:rPr>
          <w:rFonts w:asciiTheme="majorHAnsi" w:hAnsiTheme="majorHAnsi"/>
          <w:b/>
          <w:i w:val="0"/>
          <w:sz w:val="24"/>
          <w:szCs w:val="24"/>
          <w:lang w:val="el-GR"/>
        </w:rPr>
        <w:t>: Κατά κεφαλήν δαπάνη για παροχές κοινωνικής προστασίας για την αναπηρία σε μονάδες αγοραστικής δύναμης (</w:t>
      </w:r>
      <w:r w:rsidRPr="00792110">
        <w:rPr>
          <w:rFonts w:asciiTheme="majorHAnsi" w:hAnsiTheme="majorHAnsi"/>
          <w:b/>
          <w:i w:val="0"/>
          <w:sz w:val="24"/>
          <w:szCs w:val="24"/>
        </w:rPr>
        <w:t>Purchasing</w:t>
      </w:r>
      <w:r w:rsidRPr="00AA21A6">
        <w:rPr>
          <w:rFonts w:asciiTheme="majorHAnsi" w:hAnsiTheme="majorHAnsi"/>
          <w:b/>
          <w:i w:val="0"/>
          <w:sz w:val="24"/>
          <w:szCs w:val="24"/>
          <w:lang w:val="el-GR"/>
        </w:rPr>
        <w:t xml:space="preserve"> </w:t>
      </w:r>
      <w:r w:rsidRPr="00792110">
        <w:rPr>
          <w:rFonts w:asciiTheme="majorHAnsi" w:hAnsiTheme="majorHAnsi"/>
          <w:b/>
          <w:i w:val="0"/>
          <w:sz w:val="24"/>
          <w:szCs w:val="24"/>
        </w:rPr>
        <w:t>Power</w:t>
      </w:r>
      <w:r w:rsidRPr="00AA21A6">
        <w:rPr>
          <w:rFonts w:asciiTheme="majorHAnsi" w:hAnsiTheme="majorHAnsi"/>
          <w:b/>
          <w:i w:val="0"/>
          <w:sz w:val="24"/>
          <w:szCs w:val="24"/>
          <w:lang w:val="el-GR"/>
        </w:rPr>
        <w:t xml:space="preserve"> </w:t>
      </w:r>
      <w:r w:rsidRPr="00792110">
        <w:rPr>
          <w:rFonts w:asciiTheme="majorHAnsi" w:hAnsiTheme="majorHAnsi"/>
          <w:b/>
          <w:i w:val="0"/>
          <w:sz w:val="24"/>
          <w:szCs w:val="24"/>
        </w:rPr>
        <w:t>Standard</w:t>
      </w:r>
      <w:r w:rsidRPr="00AA21A6">
        <w:rPr>
          <w:rFonts w:asciiTheme="majorHAnsi" w:hAnsiTheme="majorHAnsi"/>
          <w:b/>
          <w:i w:val="0"/>
          <w:sz w:val="24"/>
          <w:szCs w:val="24"/>
          <w:lang w:val="el-GR"/>
        </w:rPr>
        <w:t>)</w:t>
      </w:r>
      <w:r w:rsidRPr="00792110">
        <w:rPr>
          <w:rStyle w:val="a8"/>
          <w:rFonts w:asciiTheme="majorHAnsi" w:hAnsiTheme="majorHAnsi"/>
          <w:b/>
          <w:i w:val="0"/>
          <w:sz w:val="24"/>
          <w:szCs w:val="24"/>
        </w:rPr>
        <w:footnoteReference w:id="16"/>
      </w:r>
      <w:r w:rsidR="00B62042" w:rsidRPr="00B62042">
        <w:rPr>
          <w:rFonts w:asciiTheme="majorHAnsi" w:hAnsiTheme="majorHAnsi"/>
          <w:b/>
          <w:i w:val="0"/>
          <w:sz w:val="24"/>
          <w:szCs w:val="24"/>
          <w:lang w:val="el-GR"/>
        </w:rPr>
        <w:t xml:space="preserve"> </w:t>
      </w:r>
      <w:r w:rsidRPr="00AA21A6">
        <w:rPr>
          <w:rFonts w:asciiTheme="majorHAnsi" w:hAnsiTheme="majorHAnsi"/>
          <w:b/>
          <w:i w:val="0"/>
          <w:sz w:val="24"/>
          <w:szCs w:val="24"/>
          <w:lang w:val="el-GR"/>
        </w:rPr>
        <w:t>για το έτος 2017</w:t>
      </w:r>
    </w:p>
    <w:p w14:paraId="7C7CD375" w14:textId="4DB3A130" w:rsidR="00B62042" w:rsidRDefault="00B62042" w:rsidP="00B62042">
      <w:pPr>
        <w:spacing w:after="0"/>
        <w:ind w:right="142"/>
        <w:jc w:val="both"/>
        <w:rPr>
          <w:rFonts w:asciiTheme="majorHAnsi" w:hAnsiTheme="majorHAnsi"/>
          <w:b/>
          <w:i/>
          <w:sz w:val="24"/>
          <w:szCs w:val="24"/>
          <w:lang w:val="el-GR"/>
        </w:rPr>
      </w:pPr>
      <w:r>
        <w:rPr>
          <w:noProof/>
        </w:rPr>
        <w:drawing>
          <wp:inline distT="0" distB="0" distL="0" distR="0" wp14:anchorId="7F3B9C5B" wp14:editId="75620ABD">
            <wp:extent cx="5819775" cy="5943600"/>
            <wp:effectExtent l="0" t="0" r="0" b="0"/>
            <wp:docPr id="90" name="Γράφημα 90" descr="Τουρκία 88,65.&#10;Σερβία 141,18.&#10;Βόρεια Μακεδονία 159,83.&#10;Μάλτα 163,65.&#10;Ρουμανία 183,95.&#10;Βουλγαρία 200,06.&#10;Κύπρος 205,47.&#10;Ουγγαρία 232,61.&#10;Βοζνία-Εζεργοβίνη 265,9.&#10;Λετονία 267,6.&#10;Σλοβενία 268,37.&#10;Ελλάδα 297,75.&#10;Πολωνία 329,27.&#10;Τσεχία 332,89.&#10;Λιθουανία 334,05.&#10;Σλοβακία 369,79.&#10;Πορτογαλία 381,73.&#10;Ιρλανδία 382,01.&#10;Κροατία 413,32.&#10;Ισπανία 438,03.&#10;Εσθονία 447,88.&#10;Ιταλία 458,03.&#10;Αγγλία 530,36.&#10;Ε.Ε.-28 610,54.&#10;Γαλλία 656,35.&#10;Αυστρία 662,15.&#10;Βέλγιο  821,96.&#10;Ελβετία 898.&#10;Γερμανία 918,14.&#10;Ολλανδία 950,27.&#10;Φιλανδία 954,59.&#10;Σουηδία 1090,19.&#10;Ισλανδία 1394,24.&#10;Λουξεμβούργο 1575,68.&#10;Δανία 1838,81.&#10;Νορβηγία 1931,63.">
              <a:extLst xmlns:a="http://schemas.openxmlformats.org/drawingml/2006/main">
                <a:ext uri="{FF2B5EF4-FFF2-40B4-BE49-F238E27FC236}">
                  <a16:creationId xmlns:a16="http://schemas.microsoft.com/office/drawing/2014/main" id="{BBB541EE-FF85-4BEB-9293-B2963D10E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68D21D" w14:textId="3B09B26F" w:rsidR="00254B70" w:rsidRPr="004A6D4E" w:rsidRDefault="00254B70" w:rsidP="004F338E">
      <w:pPr>
        <w:pStyle w:val="aa"/>
        <w:spacing w:before="120"/>
        <w:ind w:left="142" w:right="142"/>
        <w:jc w:val="right"/>
      </w:pPr>
      <w:r w:rsidRPr="004F338E">
        <w:rPr>
          <w:lang w:val="el-GR"/>
        </w:rPr>
        <w:t>ΠΗΓΗ</w:t>
      </w:r>
      <w:r w:rsidRPr="004A6D4E">
        <w:t xml:space="preserve">: </w:t>
      </w:r>
      <w:r>
        <w:t>Eurostat</w:t>
      </w:r>
      <w:r w:rsidRPr="004A6D4E">
        <w:t xml:space="preserve">, </w:t>
      </w:r>
      <w:r w:rsidRPr="002023F2">
        <w:t>European</w:t>
      </w:r>
      <w:r w:rsidRPr="004A6D4E">
        <w:t xml:space="preserve"> </w:t>
      </w:r>
      <w:r w:rsidRPr="002023F2">
        <w:t>System</w:t>
      </w:r>
      <w:r w:rsidRPr="004A6D4E">
        <w:t xml:space="preserve"> </w:t>
      </w:r>
      <w:r w:rsidRPr="002023F2">
        <w:t>of</w:t>
      </w:r>
      <w:r w:rsidRPr="004A6D4E">
        <w:t xml:space="preserve"> </w:t>
      </w:r>
      <w:r w:rsidRPr="002023F2">
        <w:t>Integrated</w:t>
      </w:r>
      <w:r w:rsidRPr="004A6D4E">
        <w:t xml:space="preserve"> </w:t>
      </w:r>
      <w:r w:rsidRPr="002023F2">
        <w:t>Social</w:t>
      </w:r>
      <w:r w:rsidRPr="004A6D4E">
        <w:t xml:space="preserve"> </w:t>
      </w:r>
      <w:r w:rsidRPr="002023F2">
        <w:t>Protection</w:t>
      </w:r>
      <w:r w:rsidRPr="004A6D4E">
        <w:t xml:space="preserve"> </w:t>
      </w:r>
      <w:r w:rsidRPr="002023F2">
        <w:t>Statistics</w:t>
      </w:r>
      <w:r w:rsidRPr="004A6D4E">
        <w:t>/</w:t>
      </w:r>
      <w:r>
        <w:t>ESSPROS</w:t>
      </w:r>
      <w:r w:rsidRPr="004A6D4E">
        <w:t xml:space="preserve"> (2017)</w:t>
      </w:r>
      <w:r w:rsidR="004F338E" w:rsidRPr="004A6D4E">
        <w:br/>
      </w:r>
      <w:r w:rsidR="004F338E" w:rsidRPr="00AA21A6">
        <w:rPr>
          <w:lang w:val="el-GR"/>
        </w:rPr>
        <w:t>ΕΠΕΞΕΡΓΑΣΙΑ</w:t>
      </w:r>
      <w:r w:rsidR="004F338E" w:rsidRPr="004A6D4E">
        <w:t xml:space="preserve">: </w:t>
      </w:r>
      <w:r w:rsidR="004F338E">
        <w:rPr>
          <w:lang w:val="el-GR"/>
        </w:rPr>
        <w:t>Παρατηρητήριο</w:t>
      </w:r>
      <w:r w:rsidR="004F338E" w:rsidRPr="004A6D4E">
        <w:t xml:space="preserve"> </w:t>
      </w:r>
      <w:r w:rsidR="004F338E">
        <w:rPr>
          <w:lang w:val="el-GR"/>
        </w:rPr>
        <w:t>Θεμάτων</w:t>
      </w:r>
      <w:r w:rsidR="004F338E" w:rsidRPr="004A6D4E">
        <w:t xml:space="preserve"> </w:t>
      </w:r>
      <w:r w:rsidR="004F338E">
        <w:rPr>
          <w:lang w:val="el-GR"/>
        </w:rPr>
        <w:t>Αναπηρίας</w:t>
      </w:r>
      <w:r w:rsidR="004F338E" w:rsidRPr="004A6D4E">
        <w:t>-</w:t>
      </w:r>
      <w:r w:rsidR="004F338E">
        <w:rPr>
          <w:lang w:val="el-GR"/>
        </w:rPr>
        <w:t>Ε</w:t>
      </w:r>
      <w:r w:rsidR="004F338E" w:rsidRPr="004A6D4E">
        <w:t>.</w:t>
      </w:r>
      <w:r w:rsidR="004F338E">
        <w:rPr>
          <w:lang w:val="el-GR"/>
        </w:rPr>
        <w:t>Σ</w:t>
      </w:r>
      <w:r w:rsidR="004F338E" w:rsidRPr="004A6D4E">
        <w:t>.</w:t>
      </w:r>
      <w:r w:rsidR="004F338E">
        <w:rPr>
          <w:lang w:val="el-GR"/>
        </w:rPr>
        <w:t>Α</w:t>
      </w:r>
      <w:r w:rsidR="004F338E" w:rsidRPr="004A6D4E">
        <w:t>.</w:t>
      </w:r>
      <w:r w:rsidR="004F338E">
        <w:rPr>
          <w:lang w:val="el-GR"/>
        </w:rPr>
        <w:t>μεΑ</w:t>
      </w:r>
      <w:r w:rsidR="004F338E" w:rsidRPr="004A6D4E">
        <w:t>.</w:t>
      </w:r>
    </w:p>
    <w:p w14:paraId="5DD06BBE" w14:textId="1481CE76" w:rsidR="00E02D56" w:rsidRPr="00E76577" w:rsidRDefault="002B508B" w:rsidP="00E76577">
      <w:pPr>
        <w:pStyle w:val="2"/>
        <w:numPr>
          <w:ilvl w:val="1"/>
          <w:numId w:val="12"/>
        </w:numPr>
        <w:spacing w:before="0" w:after="200"/>
        <w:ind w:left="578" w:hanging="578"/>
        <w:rPr>
          <w:rFonts w:cstheme="majorHAnsi"/>
          <w:b/>
          <w:color w:val="auto"/>
          <w:sz w:val="32"/>
          <w:szCs w:val="32"/>
          <w:lang w:val="el-GR"/>
        </w:rPr>
      </w:pPr>
      <w:bookmarkStart w:id="10" w:name="_Toc53409346"/>
      <w:r w:rsidRPr="00E76577">
        <w:rPr>
          <w:rFonts w:cstheme="majorHAnsi"/>
          <w:b/>
          <w:color w:val="auto"/>
          <w:sz w:val="32"/>
          <w:szCs w:val="32"/>
          <w:lang w:val="el-GR"/>
        </w:rPr>
        <w:lastRenderedPageBreak/>
        <w:t>Δικαιούχοι σύνταξης αναπηρίας</w:t>
      </w:r>
      <w:bookmarkEnd w:id="10"/>
    </w:p>
    <w:p w14:paraId="74DE0876" w14:textId="01E7CB58" w:rsidR="00AA21A6" w:rsidRPr="00AA21A6" w:rsidRDefault="00AA21A6" w:rsidP="00AA21A6">
      <w:pPr>
        <w:ind w:right="142"/>
        <w:jc w:val="both"/>
        <w:rPr>
          <w:sz w:val="24"/>
          <w:szCs w:val="24"/>
          <w:lang w:val="el-GR"/>
        </w:rPr>
      </w:pPr>
      <w:r w:rsidRPr="00AA21A6">
        <w:rPr>
          <w:sz w:val="24"/>
          <w:szCs w:val="24"/>
          <w:lang w:val="el-GR"/>
        </w:rPr>
        <w:t>Ως προς το πλήθος των δικαιούχων παρ</w:t>
      </w:r>
      <w:r w:rsidR="00785E81">
        <w:rPr>
          <w:sz w:val="24"/>
          <w:szCs w:val="24"/>
          <w:lang w:val="el-GR"/>
        </w:rPr>
        <w:t xml:space="preserve">οχών, τα διαθέσιμα στοιχεία του </w:t>
      </w:r>
      <w:r w:rsidRPr="008A0CE4">
        <w:rPr>
          <w:sz w:val="24"/>
          <w:szCs w:val="24"/>
        </w:rPr>
        <w:t>ESSPROS</w:t>
      </w:r>
      <w:r w:rsidRPr="00AA21A6">
        <w:rPr>
          <w:sz w:val="24"/>
          <w:szCs w:val="24"/>
          <w:lang w:val="el-GR"/>
        </w:rPr>
        <w:t xml:space="preserve"> μας παρέχουν πληροφόρηση μόνο για τη κατηγορία των δικαιούχων αναπηρικής σύνταξης</w:t>
      </w:r>
      <w:r w:rsidR="008E7B49">
        <w:rPr>
          <w:sz w:val="24"/>
          <w:szCs w:val="24"/>
          <w:lang w:val="el-GR"/>
        </w:rPr>
        <w:t xml:space="preserve"> </w:t>
      </w:r>
      <w:r w:rsidRPr="00AA21A6">
        <w:rPr>
          <w:sz w:val="24"/>
          <w:szCs w:val="24"/>
          <w:lang w:val="el-GR"/>
        </w:rPr>
        <w:t>η οποία, όπως γίνεται φανερό και στο γράφημα 8,</w:t>
      </w:r>
      <w:r w:rsidR="008E7B49">
        <w:rPr>
          <w:sz w:val="24"/>
          <w:szCs w:val="24"/>
          <w:lang w:val="el-GR"/>
        </w:rPr>
        <w:t xml:space="preserve"> </w:t>
      </w:r>
      <w:r w:rsidRPr="00AA21A6">
        <w:rPr>
          <w:sz w:val="24"/>
          <w:szCs w:val="24"/>
          <w:lang w:val="el-GR"/>
        </w:rPr>
        <w:t>καταγράφει συρρίκνωση κατά τα έτη 2010-2017.</w:t>
      </w:r>
      <w:r w:rsidR="008E7B49">
        <w:rPr>
          <w:sz w:val="24"/>
          <w:szCs w:val="24"/>
          <w:lang w:val="el-GR"/>
        </w:rPr>
        <w:t xml:space="preserve"> </w:t>
      </w:r>
      <w:r w:rsidRPr="00AA21A6">
        <w:rPr>
          <w:sz w:val="24"/>
          <w:szCs w:val="24"/>
          <w:lang w:val="el-GR"/>
        </w:rPr>
        <w:t xml:space="preserve">Συνολικά κατά το διάστημα </w:t>
      </w:r>
      <w:r w:rsidR="00785E81">
        <w:rPr>
          <w:sz w:val="24"/>
          <w:szCs w:val="24"/>
          <w:lang w:val="el-GR"/>
        </w:rPr>
        <w:t>αυτό</w:t>
      </w:r>
      <w:r w:rsidRPr="00AA21A6">
        <w:rPr>
          <w:sz w:val="24"/>
          <w:szCs w:val="24"/>
          <w:lang w:val="el-GR"/>
        </w:rPr>
        <w:t>, σημειώνεται μείωση των δικαιούχων αναπηρικής σύνταξης</w:t>
      </w:r>
      <w:r w:rsidR="008E7B49">
        <w:rPr>
          <w:sz w:val="24"/>
          <w:szCs w:val="24"/>
          <w:lang w:val="el-GR"/>
        </w:rPr>
        <w:t xml:space="preserve"> </w:t>
      </w:r>
      <w:r w:rsidRPr="00AA21A6">
        <w:rPr>
          <w:sz w:val="24"/>
          <w:szCs w:val="24"/>
          <w:lang w:val="el-GR"/>
        </w:rPr>
        <w:t xml:space="preserve">κατά 15% (καταγράφονται 21.742 λιγότεροι δικαιούχοι). </w:t>
      </w:r>
    </w:p>
    <w:p w14:paraId="29D2DAA2" w14:textId="08FDCD58" w:rsidR="00AA21A6" w:rsidRPr="00B62042" w:rsidRDefault="00AA21A6" w:rsidP="00B62042">
      <w:pPr>
        <w:pStyle w:val="aa"/>
        <w:keepNext/>
        <w:spacing w:after="120"/>
        <w:ind w:right="1134"/>
        <w:jc w:val="both"/>
        <w:rPr>
          <w:rFonts w:asciiTheme="majorHAnsi" w:eastAsia="Times New Roman" w:hAnsiTheme="majorHAnsi" w:cs="Arial"/>
          <w:b/>
          <w:i w:val="0"/>
          <w:sz w:val="24"/>
          <w:szCs w:val="24"/>
          <w:lang w:val="el-GR" w:eastAsia="el-GR"/>
        </w:rPr>
      </w:pPr>
      <w:r w:rsidRPr="00B62042">
        <w:rPr>
          <w:rFonts w:asciiTheme="majorHAnsi" w:eastAsia="Times New Roman" w:hAnsiTheme="majorHAnsi" w:cs="Arial"/>
          <w:b/>
          <w:i w:val="0"/>
          <w:sz w:val="24"/>
          <w:szCs w:val="24"/>
          <w:lang w:val="el-GR" w:eastAsia="el-GR"/>
        </w:rPr>
        <w:t xml:space="preserve">Γράφημα </w:t>
      </w:r>
      <w:r w:rsidRPr="00B62042">
        <w:rPr>
          <w:rFonts w:asciiTheme="majorHAnsi" w:eastAsia="Times New Roman" w:hAnsiTheme="majorHAnsi" w:cs="Arial"/>
          <w:b/>
          <w:i w:val="0"/>
          <w:sz w:val="24"/>
          <w:szCs w:val="24"/>
          <w:lang w:val="el-GR" w:eastAsia="el-GR"/>
        </w:rPr>
        <w:fldChar w:fldCharType="begin"/>
      </w:r>
      <w:r w:rsidRPr="00B62042">
        <w:rPr>
          <w:rFonts w:asciiTheme="majorHAnsi" w:eastAsia="Times New Roman" w:hAnsiTheme="majorHAnsi" w:cs="Arial"/>
          <w:b/>
          <w:i w:val="0"/>
          <w:sz w:val="24"/>
          <w:szCs w:val="24"/>
          <w:lang w:val="el-GR" w:eastAsia="el-GR"/>
        </w:rPr>
        <w:instrText xml:space="preserve"> SEQ Γράφημα \* ARABIC </w:instrText>
      </w:r>
      <w:r w:rsidRPr="00B62042">
        <w:rPr>
          <w:rFonts w:asciiTheme="majorHAnsi" w:eastAsia="Times New Roman" w:hAnsiTheme="majorHAnsi" w:cs="Arial"/>
          <w:b/>
          <w:i w:val="0"/>
          <w:sz w:val="24"/>
          <w:szCs w:val="24"/>
          <w:lang w:val="el-GR" w:eastAsia="el-GR"/>
        </w:rPr>
        <w:fldChar w:fldCharType="separate"/>
      </w:r>
      <w:r w:rsidR="00DE0303" w:rsidRPr="00B62042">
        <w:rPr>
          <w:rFonts w:asciiTheme="majorHAnsi" w:eastAsia="Times New Roman" w:hAnsiTheme="majorHAnsi" w:cs="Arial"/>
          <w:b/>
          <w:i w:val="0"/>
          <w:sz w:val="24"/>
          <w:szCs w:val="24"/>
          <w:lang w:val="el-GR" w:eastAsia="el-GR"/>
        </w:rPr>
        <w:t>8</w:t>
      </w:r>
      <w:r w:rsidRPr="00B62042">
        <w:rPr>
          <w:rFonts w:asciiTheme="majorHAnsi" w:eastAsia="Times New Roman" w:hAnsiTheme="majorHAnsi" w:cs="Arial"/>
          <w:b/>
          <w:i w:val="0"/>
          <w:sz w:val="24"/>
          <w:szCs w:val="24"/>
          <w:lang w:val="el-GR" w:eastAsia="el-GR"/>
        </w:rPr>
        <w:fldChar w:fldCharType="end"/>
      </w:r>
      <w:r w:rsidRPr="00B62042">
        <w:rPr>
          <w:rFonts w:asciiTheme="majorHAnsi" w:eastAsia="Times New Roman" w:hAnsiTheme="majorHAnsi" w:cs="Arial"/>
          <w:b/>
          <w:i w:val="0"/>
          <w:sz w:val="24"/>
          <w:szCs w:val="24"/>
          <w:lang w:val="el-GR" w:eastAsia="el-GR"/>
        </w:rPr>
        <w:t>: Δικαιούχοι σύνταξης αναπηρίας στην Ελλάδα (2008-2017)</w:t>
      </w:r>
    </w:p>
    <w:p w14:paraId="40D50ED8" w14:textId="09CE9C1B" w:rsidR="00095D5C" w:rsidRDefault="004F338E" w:rsidP="004F338E">
      <w:pPr>
        <w:spacing w:after="0"/>
        <w:ind w:right="142"/>
        <w:jc w:val="both"/>
      </w:pPr>
      <w:r>
        <w:rPr>
          <w:noProof/>
        </w:rPr>
        <w:drawing>
          <wp:inline distT="0" distB="0" distL="0" distR="0" wp14:anchorId="56476D32" wp14:editId="3C7ABAEB">
            <wp:extent cx="5867400" cy="2743200"/>
            <wp:effectExtent l="0" t="0" r="0" b="0"/>
            <wp:docPr id="91" name="Γράφημα 91" descr="144.985 το 2008.&#10;147.230 το 2009.&#10;143.920 το 2010.&#10;138.093 το 2011.&#10;114.633 το 2012.&#10;114.376 το 2013.&#10;127.279 το 2014.&#10;132.562 το 2015.&#10;126.797 το 2016.&#10;122.178 το 2017.">
              <a:extLst xmlns:a="http://schemas.openxmlformats.org/drawingml/2006/main">
                <a:ext uri="{FF2B5EF4-FFF2-40B4-BE49-F238E27FC236}">
                  <a16:creationId xmlns:a16="http://schemas.microsoft.com/office/drawing/2014/main" id="{CD4B0A81-211F-412F-98E9-DDA520122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1092D6" w14:textId="15B50C9F" w:rsidR="00785E81" w:rsidRPr="004F338E" w:rsidRDefault="00095D5C" w:rsidP="004F338E">
      <w:pPr>
        <w:pStyle w:val="aa"/>
        <w:keepNext/>
        <w:spacing w:before="120"/>
        <w:ind w:right="142"/>
        <w:rPr>
          <w:lang w:eastAsia="el-GR"/>
        </w:rPr>
      </w:pPr>
      <w:r w:rsidRPr="00095D5C">
        <w:rPr>
          <w:lang w:val="el-GR" w:eastAsia="el-GR"/>
        </w:rPr>
        <w:t>ΠΗΓΗ</w:t>
      </w:r>
      <w:r w:rsidRPr="00091429">
        <w:rPr>
          <w:lang w:eastAsia="el-GR"/>
        </w:rPr>
        <w:t>: Eurostat, European System of Integrated Social Protection Statistics/ESSPROS (2017)-</w:t>
      </w:r>
      <w:r w:rsidR="004F338E">
        <w:rPr>
          <w:lang w:eastAsia="el-GR"/>
        </w:rPr>
        <w:br/>
      </w:r>
      <w:r w:rsidR="004F338E" w:rsidRPr="00AA21A6">
        <w:rPr>
          <w:lang w:val="el-GR"/>
        </w:rPr>
        <w:t>ΕΠΕΞΕΡΓΑΣΙΑ</w:t>
      </w:r>
      <w:r w:rsidR="004F338E" w:rsidRPr="004F338E">
        <w:t xml:space="preserve">: </w:t>
      </w:r>
      <w:r w:rsidR="004F338E">
        <w:rPr>
          <w:lang w:val="el-GR"/>
        </w:rPr>
        <w:t>Παρατηρητήριο</w:t>
      </w:r>
      <w:r w:rsidR="004F338E" w:rsidRPr="004F338E">
        <w:t xml:space="preserve"> </w:t>
      </w:r>
      <w:r w:rsidR="004F338E">
        <w:rPr>
          <w:lang w:val="el-GR"/>
        </w:rPr>
        <w:t>Θεμάτων</w:t>
      </w:r>
      <w:r w:rsidR="004F338E" w:rsidRPr="004F338E">
        <w:t xml:space="preserve"> </w:t>
      </w:r>
      <w:r w:rsidR="004F338E">
        <w:rPr>
          <w:lang w:val="el-GR"/>
        </w:rPr>
        <w:t>Αναπηρίας</w:t>
      </w:r>
      <w:r w:rsidR="004F338E" w:rsidRPr="004F338E">
        <w:t>-</w:t>
      </w:r>
      <w:r w:rsidR="004F338E">
        <w:rPr>
          <w:lang w:val="el-GR"/>
        </w:rPr>
        <w:t>Ε</w:t>
      </w:r>
      <w:r w:rsidR="004F338E" w:rsidRPr="004F338E">
        <w:t>.</w:t>
      </w:r>
      <w:r w:rsidR="004F338E">
        <w:rPr>
          <w:lang w:val="el-GR"/>
        </w:rPr>
        <w:t>Σ</w:t>
      </w:r>
      <w:r w:rsidR="004F338E" w:rsidRPr="004F338E">
        <w:t>.</w:t>
      </w:r>
      <w:r w:rsidR="004F338E">
        <w:rPr>
          <w:lang w:val="el-GR"/>
        </w:rPr>
        <w:t>Α</w:t>
      </w:r>
      <w:r w:rsidR="004F338E" w:rsidRPr="004F338E">
        <w:t>.</w:t>
      </w:r>
      <w:r w:rsidR="004F338E">
        <w:rPr>
          <w:lang w:val="el-GR"/>
        </w:rPr>
        <w:t>μεΑ</w:t>
      </w:r>
      <w:r w:rsidR="004F338E" w:rsidRPr="004F338E">
        <w:t>.</w:t>
      </w:r>
    </w:p>
    <w:p w14:paraId="102781A4" w14:textId="77777777" w:rsidR="004F338E" w:rsidRPr="004A6D4E" w:rsidRDefault="004F338E">
      <w:pPr>
        <w:rPr>
          <w:rFonts w:asciiTheme="majorHAnsi" w:hAnsiTheme="majorHAnsi"/>
          <w:b/>
        </w:rPr>
      </w:pPr>
      <w:r w:rsidRPr="004A6D4E">
        <w:rPr>
          <w:rFonts w:asciiTheme="majorHAnsi" w:hAnsiTheme="majorHAnsi"/>
          <w:b/>
        </w:rPr>
        <w:br w:type="page"/>
      </w:r>
    </w:p>
    <w:p w14:paraId="6099F463" w14:textId="5DB1FC43" w:rsidR="00AA21A6" w:rsidRPr="002640C3" w:rsidRDefault="00AA21A6" w:rsidP="00AA21A6">
      <w:pPr>
        <w:ind w:right="142"/>
        <w:rPr>
          <w:rFonts w:asciiTheme="majorHAnsi" w:hAnsiTheme="majorHAnsi"/>
          <w:b/>
          <w:lang w:val="el-GR"/>
        </w:rPr>
      </w:pPr>
      <w:r w:rsidRPr="002640C3">
        <w:rPr>
          <w:rFonts w:asciiTheme="majorHAnsi" w:hAnsiTheme="majorHAnsi"/>
          <w:b/>
          <w:lang w:val="el-GR"/>
        </w:rPr>
        <w:lastRenderedPageBreak/>
        <w:t>ΟΡΙΣΜΟΙ</w:t>
      </w:r>
      <w:r w:rsidR="002640C3">
        <w:rPr>
          <w:rStyle w:val="a8"/>
          <w:rFonts w:asciiTheme="majorHAnsi" w:hAnsiTheme="majorHAnsi"/>
          <w:b/>
          <w:lang w:val="el-GR"/>
        </w:rPr>
        <w:footnoteReference w:id="17"/>
      </w:r>
    </w:p>
    <w:p w14:paraId="2BB7E9DB" w14:textId="6850A4D9" w:rsidR="008C79F8" w:rsidRPr="002640C3" w:rsidRDefault="00AA21A6" w:rsidP="008C79F8">
      <w:pPr>
        <w:spacing w:after="240" w:line="252" w:lineRule="auto"/>
        <w:ind w:right="142"/>
        <w:jc w:val="both"/>
        <w:rPr>
          <w:rFonts w:asciiTheme="majorHAnsi" w:eastAsia="Times New Roman" w:hAnsiTheme="majorHAnsi" w:cs="Arial"/>
          <w:i/>
          <w:lang w:val="el-GR" w:eastAsia="el-GR"/>
        </w:rPr>
      </w:pPr>
      <w:r w:rsidRPr="002640C3">
        <w:rPr>
          <w:rFonts w:asciiTheme="majorHAnsi" w:eastAsia="Times New Roman" w:hAnsiTheme="majorHAnsi" w:cs="Arial"/>
          <w:b/>
          <w:i/>
          <w:u w:val="single"/>
          <w:lang w:val="el-GR" w:eastAsia="el-GR"/>
        </w:rPr>
        <w:t>Η κοινωνική προστασία</w:t>
      </w:r>
      <w:r w:rsidRPr="002640C3">
        <w:rPr>
          <w:rFonts w:asciiTheme="majorHAnsi" w:eastAsia="Times New Roman" w:hAnsiTheme="majorHAnsi" w:cs="Arial"/>
          <w:i/>
          <w:lang w:val="el-GR" w:eastAsia="el-GR"/>
        </w:rPr>
        <w:t xml:space="preserve"> περιλαμβάνει όλες τις παρεμβάσεις δημόσιων ή ιδιωτικών φορέων που έχουν ως σκοπό να ανακουφίσουν τα νοικοκυριά και τα άτομα από το βάρος ενός καθορισμένου συνόλου κινδύνων ή αναγκών, υπό τον όρο ότι δεν χρησιμοποιείται καμία ταυτόχρονη αμοιβαία ρύθμιση ούτε ατομική ρύθμιση.</w:t>
      </w:r>
    </w:p>
    <w:p w14:paraId="0AE8A762" w14:textId="347785B1" w:rsidR="00AA21A6" w:rsidRPr="002640C3" w:rsidRDefault="00AA21A6" w:rsidP="008C79F8">
      <w:pPr>
        <w:spacing w:line="252" w:lineRule="auto"/>
        <w:ind w:right="142"/>
        <w:jc w:val="both"/>
        <w:rPr>
          <w:rFonts w:asciiTheme="majorHAnsi" w:eastAsia="Times New Roman" w:hAnsiTheme="majorHAnsi" w:cs="Arial"/>
          <w:i/>
          <w:lang w:val="el-GR" w:eastAsia="el-GR"/>
        </w:rPr>
      </w:pPr>
      <w:r w:rsidRPr="002640C3">
        <w:rPr>
          <w:rFonts w:asciiTheme="majorHAnsi" w:eastAsia="Times New Roman" w:hAnsiTheme="majorHAnsi" w:cs="Arial"/>
          <w:i/>
          <w:lang w:val="el-GR" w:eastAsia="el-GR"/>
        </w:rPr>
        <w:t>Οι λειτουργίες δηλαδή οι κίνδυνοι ή ανάγκες που μπορούν να δικαιολογήσουν παρεμβάσεις κοινωνικής προστασίας είναι οι εξής:</w:t>
      </w:r>
    </w:p>
    <w:p w14:paraId="735733AA" w14:textId="70DEF55B" w:rsidR="00AA21A6" w:rsidRPr="008C79F8" w:rsidRDefault="00AA21A6" w:rsidP="008C79F8">
      <w:pPr>
        <w:pStyle w:val="a9"/>
        <w:numPr>
          <w:ilvl w:val="0"/>
          <w:numId w:val="19"/>
        </w:numPr>
        <w:spacing w:line="252" w:lineRule="auto"/>
        <w:ind w:left="284" w:right="142" w:hanging="284"/>
        <w:contextualSpacing w:val="0"/>
        <w:jc w:val="both"/>
        <w:rPr>
          <w:rFonts w:asciiTheme="majorHAnsi" w:eastAsia="Times New Roman" w:hAnsiTheme="majorHAnsi" w:cs="Arial"/>
          <w:i/>
          <w:lang w:val="el-GR" w:eastAsia="el-GR"/>
        </w:rPr>
      </w:pPr>
      <w:r w:rsidRPr="008C79F8">
        <w:rPr>
          <w:rFonts w:asciiTheme="majorHAnsi" w:eastAsia="Times New Roman" w:hAnsiTheme="majorHAnsi" w:cs="Arial"/>
          <w:i/>
          <w:lang w:val="el-GR" w:eastAsia="el-GR"/>
        </w:rPr>
        <w:t>Ασθένεια/υγειονομική περίθαλψη: α) παροχές σε χρήμα που αντισταθμίζουν εξ ολοκλήρου ή εν μέρει την απώλεια εισοδήματος εξαιτίας της προσωρινής αδυναμίας του ατόμου προς εργασία λόγω ασθένειας ή τραυματισμού, β) την υγειονομική περίθαλψη που χορηγείται στο πλαίσιο της κοινωνικής προστασίας προκειμένου να διατηρηθεί, αποκατασταθεί ή βελτιωθεί η υγεία των προστατευόμενων προσώπων.</w:t>
      </w:r>
    </w:p>
    <w:p w14:paraId="2B25D05B" w14:textId="6DDEA5BB" w:rsidR="00AA21A6" w:rsidRPr="008C79F8" w:rsidRDefault="00AA21A6" w:rsidP="008C79F8">
      <w:pPr>
        <w:pStyle w:val="a9"/>
        <w:numPr>
          <w:ilvl w:val="0"/>
          <w:numId w:val="19"/>
        </w:numPr>
        <w:spacing w:line="252" w:lineRule="auto"/>
        <w:ind w:left="284" w:right="142" w:hanging="284"/>
        <w:contextualSpacing w:val="0"/>
        <w:jc w:val="both"/>
        <w:rPr>
          <w:rFonts w:asciiTheme="majorHAnsi" w:eastAsia="Times New Roman" w:hAnsiTheme="majorHAnsi" w:cs="Arial"/>
          <w:i/>
          <w:lang w:val="el-GR" w:eastAsia="el-GR"/>
        </w:rPr>
      </w:pPr>
      <w:r w:rsidRPr="008C79F8">
        <w:rPr>
          <w:rFonts w:asciiTheme="majorHAnsi" w:eastAsia="Times New Roman" w:hAnsiTheme="majorHAnsi" w:cs="Arial"/>
          <w:i/>
          <w:lang w:val="el-GR" w:eastAsia="el-GR"/>
        </w:rPr>
        <w:t xml:space="preserve">Αναπηρία: α) παροχές που εξασφαλίζουν εισόδημα σε άτομα τα οποία δεν έχουν συμπληρώσει ακόμη το όριο ηλικίας συνταξιοδότησης που προβλέπεται από το νόμο και δεν έχουν την ικανότητα να εκτελέσουν αμειβόμενη εργασία εξαιτίας σωματικής ή ψυχικής βλάβης β) παροχές που χορηγούν υπηρεσίες αποκατάστασης που απαιτούνται από τη φύση της συγκεκριμένης αναπηρίας γ) παροχές που χορηγούν αγαθά και υπηρεσίες εκτός της ιατρικής μέριμνας σε άτομα με ειδικές ανάγκες. </w:t>
      </w:r>
    </w:p>
    <w:p w14:paraId="598E523B" w14:textId="4B36990A" w:rsidR="00AA21A6" w:rsidRPr="008C79F8" w:rsidRDefault="00AA21A6" w:rsidP="008C79F8">
      <w:pPr>
        <w:pStyle w:val="a9"/>
        <w:numPr>
          <w:ilvl w:val="0"/>
          <w:numId w:val="19"/>
        </w:numPr>
        <w:spacing w:line="252" w:lineRule="auto"/>
        <w:ind w:left="284" w:right="142" w:hanging="284"/>
        <w:contextualSpacing w:val="0"/>
        <w:jc w:val="both"/>
        <w:rPr>
          <w:rFonts w:asciiTheme="majorHAnsi" w:eastAsia="Times New Roman" w:hAnsiTheme="majorHAnsi" w:cs="Arial"/>
          <w:i/>
          <w:lang w:val="el-GR" w:eastAsia="el-GR"/>
        </w:rPr>
      </w:pPr>
      <w:r w:rsidRPr="008C79F8">
        <w:rPr>
          <w:rFonts w:asciiTheme="majorHAnsi" w:eastAsia="Times New Roman" w:hAnsiTheme="majorHAnsi" w:cs="Arial"/>
          <w:i/>
          <w:lang w:val="el-GR" w:eastAsia="el-GR"/>
        </w:rPr>
        <w:t>Γήρας: α) παροχές που διασφαλίζουν τη χορήγηση εισοδήματος στους ασφαλισμένους που αποχωρούν από την αγορά εργασίας λόγω ηλικίας β) παροχές που διασφαλίζουν την χορήγηση ενός ορισμένου εισοδήματος στους ασφαλισμένους που έχουν συμπληρώσει ένα συγκεκριμένο όριο ηλικίας γ) παροχές που χορηγούν αγαθά και υπηρεσίες που απαιτούνται από την προσωπική ή την κοινωνική κατάσταση των ηλικιωμένων.</w:t>
      </w:r>
    </w:p>
    <w:p w14:paraId="3DA92588" w14:textId="6EA03A50" w:rsidR="00AA21A6" w:rsidRPr="008C79F8" w:rsidRDefault="00AA21A6" w:rsidP="008C79F8">
      <w:pPr>
        <w:pStyle w:val="a9"/>
        <w:numPr>
          <w:ilvl w:val="0"/>
          <w:numId w:val="19"/>
        </w:numPr>
        <w:spacing w:line="252" w:lineRule="auto"/>
        <w:ind w:left="284" w:right="142" w:hanging="284"/>
        <w:contextualSpacing w:val="0"/>
        <w:jc w:val="both"/>
        <w:rPr>
          <w:rFonts w:asciiTheme="majorHAnsi" w:eastAsia="Times New Roman" w:hAnsiTheme="majorHAnsi" w:cs="Arial"/>
          <w:i/>
          <w:lang w:val="el-GR" w:eastAsia="el-GR"/>
        </w:rPr>
      </w:pPr>
      <w:r w:rsidRPr="008C79F8">
        <w:rPr>
          <w:rFonts w:asciiTheme="majorHAnsi" w:eastAsia="Times New Roman" w:hAnsiTheme="majorHAnsi" w:cs="Arial"/>
          <w:i/>
          <w:lang w:val="el-GR" w:eastAsia="el-GR"/>
        </w:rPr>
        <w:t>Επιζώντες/Χηρεία : α) παροχές που διασφαλίζουν ένα προσωρινό ή διαρκές εισόδημα σε άτομα που δεν έχουν συμπληρώσει ακόμα τη νόμιμη ηλικία συνταξιοδότησης αλλά έχουν χάσει το σύζυγο ή κάποιο στενό συγγενή τους που τους εξασφάλιζε τα προς το ζην β) παροχές που αποζημιώνουν τους επιζώντες για έξοδα κηδείας και για οποιαδήποτε δυσχερή κατάσταση στην οποία βρίσκονται εξαιτίας του θανάτου ενός μέλους της οικογένειάς τους γ) παροχές που χορηγούν αγαθά και υπηρεσίες σε επιζώντες που έχουν θεμελιώσει δικαίωμα σε αυτά.</w:t>
      </w:r>
    </w:p>
    <w:p w14:paraId="479CDA7E" w14:textId="0DA0346A" w:rsidR="00AA21A6" w:rsidRPr="008C79F8" w:rsidRDefault="00AA21A6" w:rsidP="008C79F8">
      <w:pPr>
        <w:pStyle w:val="a9"/>
        <w:numPr>
          <w:ilvl w:val="0"/>
          <w:numId w:val="19"/>
        </w:numPr>
        <w:spacing w:line="252" w:lineRule="auto"/>
        <w:ind w:left="284" w:right="142" w:hanging="284"/>
        <w:contextualSpacing w:val="0"/>
        <w:jc w:val="both"/>
        <w:rPr>
          <w:rFonts w:asciiTheme="majorHAnsi" w:eastAsia="Times New Roman" w:hAnsiTheme="majorHAnsi" w:cs="Arial"/>
          <w:i/>
          <w:lang w:val="el-GR" w:eastAsia="el-GR"/>
        </w:rPr>
      </w:pPr>
      <w:r w:rsidRPr="008C79F8">
        <w:rPr>
          <w:rFonts w:asciiTheme="majorHAnsi" w:eastAsia="Times New Roman" w:hAnsiTheme="majorHAnsi" w:cs="Arial"/>
          <w:i/>
          <w:lang w:val="el-GR" w:eastAsia="el-GR"/>
        </w:rPr>
        <w:t>Οικογένεια/τέκνα: α) παροχές που χορηγούν οικονομική υποστήριξη στα νοικοκυριά για τη διατροφή των τέκνων β) παροχές που χορηγούν οικονομική βοήθεια σε πρόσωπα που συντηρούν συγγενείς πλην τέκνων γ) παροχές που χορηγούν κοινωνικές υπηρεσίες που προορίζονται ειδικά για την υποστήριξη και προστασία της οικογένειας και ιδιαίτερα των τέκνων.</w:t>
      </w:r>
    </w:p>
    <w:p w14:paraId="59A02508" w14:textId="288B0249" w:rsidR="00AA21A6" w:rsidRPr="008C79F8" w:rsidRDefault="00AA21A6" w:rsidP="008C79F8">
      <w:pPr>
        <w:pStyle w:val="a9"/>
        <w:numPr>
          <w:ilvl w:val="0"/>
          <w:numId w:val="19"/>
        </w:numPr>
        <w:spacing w:line="252" w:lineRule="auto"/>
        <w:ind w:left="284" w:right="142" w:hanging="284"/>
        <w:contextualSpacing w:val="0"/>
        <w:jc w:val="both"/>
        <w:rPr>
          <w:rFonts w:asciiTheme="majorHAnsi" w:eastAsia="Times New Roman" w:hAnsiTheme="majorHAnsi" w:cs="Arial"/>
          <w:i/>
          <w:lang w:val="el-GR" w:eastAsia="el-GR"/>
        </w:rPr>
      </w:pPr>
      <w:r w:rsidRPr="008C79F8">
        <w:rPr>
          <w:rFonts w:asciiTheme="majorHAnsi" w:eastAsia="Times New Roman" w:hAnsiTheme="majorHAnsi" w:cs="Arial"/>
          <w:i/>
          <w:lang w:val="el-GR" w:eastAsia="el-GR"/>
        </w:rPr>
        <w:t xml:space="preserve">Ανεργία: α) παροχές που αντικαθιστούν εξ ολοκλήρου ή μερικώς το εισόδημα που χάνει ένας εργαζόμενος εξαιτίας της απώλειας αμειβόμενης εργασίας β) παροχές που εξασφαλίζουν ένα εισόδημα επιβίωσης σε άτομα που εισέρχονται για πρώτη ή πρόσθετη φορά στη αγορά εργασίας γ) </w:t>
      </w:r>
      <w:r w:rsidRPr="008C79F8">
        <w:rPr>
          <w:rFonts w:asciiTheme="majorHAnsi" w:eastAsia="Times New Roman" w:hAnsiTheme="majorHAnsi" w:cs="Arial"/>
          <w:i/>
          <w:lang w:val="el-GR" w:eastAsia="el-GR"/>
        </w:rPr>
        <w:lastRenderedPageBreak/>
        <w:t>παροχές που αντισταθμίζουν την απώλεια εισοδήματος λόγω μερικής ανεργίας δ) παροχές που αντικαθιστούν εξ ολοκλήρου ή μερικώς την απώλεια εισοδήματος ενός μεγαλύτερου σε ηλικία εργαζόμενου που συνταξιοδοτείται από αμειβόμενη εργασία πριν από τη συμπλήρωση του νόμιμου ορίου ηλικίας εξαιτίας περικοπών στις θέσεις εργασίας για οικονομικούς λόγους ε) παροχές που συνεισφέρουν στις δαπάνες επιμόρφωσης ή πρόσθετης επιμόρφωσης όσων αναζητούν εργασία ζ) παροχές που βοηθούν τους ανέργους στην αντιμετώπιση των εξόδων ταξιδιού ή στη αλλαγή του τόπου διαμονής τους προκειμένου να βρουν απασχόληση η) παροχές για βοήθεια με τη χορήγηση των κατάλληλων αγαθών και υπηρεσιών.</w:t>
      </w:r>
    </w:p>
    <w:p w14:paraId="3CC03B8A" w14:textId="0929E1DD" w:rsidR="00AA21A6" w:rsidRPr="008C79F8" w:rsidRDefault="00AA21A6" w:rsidP="008C79F8">
      <w:pPr>
        <w:pStyle w:val="a9"/>
        <w:numPr>
          <w:ilvl w:val="0"/>
          <w:numId w:val="19"/>
        </w:numPr>
        <w:spacing w:line="252" w:lineRule="auto"/>
        <w:ind w:left="284" w:right="142" w:hanging="284"/>
        <w:contextualSpacing w:val="0"/>
        <w:jc w:val="both"/>
        <w:rPr>
          <w:rFonts w:asciiTheme="majorHAnsi" w:eastAsia="Times New Roman" w:hAnsiTheme="majorHAnsi" w:cs="Arial"/>
          <w:i/>
          <w:lang w:val="el-GR" w:eastAsia="el-GR"/>
        </w:rPr>
      </w:pPr>
      <w:r w:rsidRPr="008C79F8">
        <w:rPr>
          <w:rFonts w:asciiTheme="majorHAnsi" w:eastAsia="Times New Roman" w:hAnsiTheme="majorHAnsi" w:cs="Arial"/>
          <w:i/>
          <w:lang w:val="el-GR" w:eastAsia="el-GR"/>
        </w:rPr>
        <w:t>Στέγαση: η συγκεκριμένη λειτουργία αποτελείται από παρεμβάσεις του Δημοσίου που στοχεύουν στην υποστήριξη των νοικοκυριών για να αντιμετωπίσουν τις στεγαστικές δαπάνες τους.</w:t>
      </w:r>
    </w:p>
    <w:p w14:paraId="0288193D" w14:textId="7E7128C8" w:rsidR="00B86636" w:rsidRPr="008C79F8" w:rsidRDefault="00AA21A6" w:rsidP="008C79F8">
      <w:pPr>
        <w:pStyle w:val="a9"/>
        <w:numPr>
          <w:ilvl w:val="0"/>
          <w:numId w:val="19"/>
        </w:numPr>
        <w:spacing w:line="252" w:lineRule="auto"/>
        <w:ind w:left="284" w:right="142" w:hanging="284"/>
        <w:contextualSpacing w:val="0"/>
        <w:jc w:val="both"/>
        <w:rPr>
          <w:i/>
          <w:lang w:val="el-GR"/>
        </w:rPr>
      </w:pPr>
      <w:r w:rsidRPr="008C79F8">
        <w:rPr>
          <w:rFonts w:asciiTheme="majorHAnsi" w:eastAsia="Times New Roman" w:hAnsiTheme="majorHAnsi" w:cs="Arial"/>
          <w:i/>
          <w:lang w:val="el-GR" w:eastAsia="el-GR"/>
        </w:rPr>
        <w:t xml:space="preserve">Κοινωνικός αποκλεισμός: αναφέρεται σε «κοινωνικά αποκλεισμένους» ή σε εκείνους που αντιμετωπίζουν τον κίνδυνο του κοινωνικού αποκλεισμού και περιλαμβάνει δράσεις που δεν καλύπτονται από άλλη λειτουργία. Επειδή ο ορισμός αυτός είναι αρκετά γενικός, οι ομάδες –στόχοι είναι κυρίως άποροι, μετανάστες, πρόσφυγες, τοξικομανείς ή αλκοολικοί, θύματα εγκληματικών πράξεων κ.α. </w:t>
      </w:r>
    </w:p>
    <w:sectPr w:rsidR="00B86636" w:rsidRPr="008C79F8" w:rsidSect="006715DA">
      <w:headerReference w:type="default" r:id="rId18"/>
      <w:footerReference w:type="default" r:id="rId19"/>
      <w:headerReference w:type="first" r:id="rId20"/>
      <w:footerReference w:type="first" r:id="rId21"/>
      <w:pgSz w:w="11906" w:h="16838" w:code="9"/>
      <w:pgMar w:top="2977" w:right="1274" w:bottom="1560" w:left="1276" w:header="0" w:footer="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CBE02" w14:textId="77777777" w:rsidR="001F3A35" w:rsidRDefault="001F3A35" w:rsidP="00B14FB2">
      <w:pPr>
        <w:spacing w:after="0" w:line="240" w:lineRule="auto"/>
      </w:pPr>
      <w:r>
        <w:separator/>
      </w:r>
    </w:p>
  </w:endnote>
  <w:endnote w:type="continuationSeparator" w:id="0">
    <w:p w14:paraId="6C7C75AA" w14:textId="77777777" w:rsidR="001F3A35" w:rsidRDefault="001F3A35"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DinText Pro">
    <w:altName w:val="Calibri"/>
    <w:charset w:val="00"/>
    <w:family w:val="auto"/>
    <w:pitch w:val="variable"/>
    <w:sig w:usb0="E00002BF" w:usb1="5000E0FB"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295E8" w14:textId="0CA0756F" w:rsidR="006715DA" w:rsidRPr="006715DA" w:rsidRDefault="006715DA" w:rsidP="006715DA">
    <w:pPr>
      <w:pStyle w:val="a4"/>
      <w:tabs>
        <w:tab w:val="clear" w:pos="4680"/>
        <w:tab w:val="clear" w:pos="9360"/>
      </w:tabs>
      <w:ind w:right="425"/>
      <w:jc w:val="right"/>
      <w:rPr>
        <w:rFonts w:cstheme="minorHAnsi"/>
        <w:lang w:val="el-GR"/>
      </w:rPr>
    </w:pPr>
    <w:r w:rsidRPr="006715DA">
      <w:rPr>
        <w:rFonts w:eastAsiaTheme="majorEastAsia" w:cstheme="minorHAnsi"/>
        <w:sz w:val="20"/>
        <w:szCs w:val="20"/>
        <w:lang w:val="el-GR"/>
      </w:rPr>
      <w:t xml:space="preserve">σελ. </w:t>
    </w:r>
    <w:r w:rsidRPr="006715DA">
      <w:rPr>
        <w:rFonts w:eastAsiaTheme="minorEastAsia" w:cstheme="minorHAnsi"/>
        <w:sz w:val="20"/>
        <w:szCs w:val="20"/>
        <w:lang w:val="el-GR"/>
      </w:rPr>
      <w:fldChar w:fldCharType="begin"/>
    </w:r>
    <w:r w:rsidRPr="006715DA">
      <w:rPr>
        <w:rFonts w:cstheme="minorHAnsi"/>
        <w:sz w:val="20"/>
        <w:szCs w:val="20"/>
        <w:lang w:val="el-GR"/>
      </w:rPr>
      <w:instrText>PAGE    \* MERGEFORMAT</w:instrText>
    </w:r>
    <w:r w:rsidRPr="006715DA">
      <w:rPr>
        <w:rFonts w:eastAsiaTheme="minorEastAsia" w:cstheme="minorHAnsi"/>
        <w:sz w:val="20"/>
        <w:szCs w:val="20"/>
        <w:lang w:val="el-GR"/>
      </w:rPr>
      <w:fldChar w:fldCharType="separate"/>
    </w:r>
    <w:r w:rsidRPr="006715DA">
      <w:rPr>
        <w:rFonts w:eastAsiaTheme="minorEastAsia" w:cstheme="minorHAnsi"/>
        <w:noProof/>
        <w:sz w:val="20"/>
        <w:szCs w:val="20"/>
        <w:lang w:val="el-GR"/>
      </w:rPr>
      <w:t>20</w:t>
    </w:r>
    <w:r w:rsidRPr="006715DA">
      <w:rPr>
        <w:rFonts w:eastAsiaTheme="majorEastAsia" w:cstheme="minorHAnsi"/>
        <w:sz w:val="20"/>
        <w:szCs w:val="20"/>
        <w:lang w:val="el-GR"/>
      </w:rPr>
      <w:fldChar w:fldCharType="end"/>
    </w:r>
  </w:p>
  <w:p w14:paraId="4DA79E2D" w14:textId="326C15CA" w:rsidR="006715DA" w:rsidRDefault="006715DA" w:rsidP="006715DA">
    <w:pPr>
      <w:pStyle w:val="a4"/>
      <w:spacing w:after="120"/>
      <w:jc w:val="center"/>
    </w:pPr>
    <w:r>
      <w:rPr>
        <w:noProof/>
        <w:lang w:val="el-GR" w:eastAsia="el-GR"/>
      </w:rPr>
      <w:drawing>
        <wp:inline distT="0" distB="0" distL="0" distR="0" wp14:anchorId="778CC05E" wp14:editId="06A4C0F2">
          <wp:extent cx="5490845" cy="698986"/>
          <wp:effectExtent l="0" t="0" r="0" b="0"/>
          <wp:docPr id="84" name="Εικόνα 84"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B4E6" w14:textId="1FA22496" w:rsidR="006715DA" w:rsidRDefault="006715DA">
    <w:pPr>
      <w:pStyle w:val="a4"/>
    </w:pPr>
    <w:r>
      <w:rPr>
        <w:noProof/>
        <w:lang w:val="el-GR" w:eastAsia="el-GR"/>
      </w:rPr>
      <w:drawing>
        <wp:inline distT="0" distB="0" distL="0" distR="0" wp14:anchorId="29E21EFD" wp14:editId="64764859">
          <wp:extent cx="5490845" cy="698986"/>
          <wp:effectExtent l="0" t="0" r="0" b="0"/>
          <wp:docPr id="87" name="Εικόνα 87"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2CFF96E4" w14:textId="39E74C5F" w:rsidR="006715DA" w:rsidRPr="00C975F8" w:rsidRDefault="006715DA">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B43D" w14:textId="77777777" w:rsidR="001F3A35" w:rsidRDefault="001F3A35" w:rsidP="00B14FB2">
      <w:pPr>
        <w:spacing w:after="0" w:line="240" w:lineRule="auto"/>
      </w:pPr>
      <w:r>
        <w:separator/>
      </w:r>
    </w:p>
  </w:footnote>
  <w:footnote w:type="continuationSeparator" w:id="0">
    <w:p w14:paraId="6C2D5C26" w14:textId="77777777" w:rsidR="001F3A35" w:rsidRDefault="001F3A35" w:rsidP="00B14FB2">
      <w:pPr>
        <w:spacing w:after="0" w:line="240" w:lineRule="auto"/>
      </w:pPr>
      <w:r>
        <w:continuationSeparator/>
      </w:r>
    </w:p>
  </w:footnote>
  <w:footnote w:id="1">
    <w:p w14:paraId="0D23ED1B" w14:textId="6982345E" w:rsidR="006715DA" w:rsidRPr="000E4EBC" w:rsidRDefault="006715DA" w:rsidP="000E4EBC">
      <w:pPr>
        <w:pStyle w:val="a7"/>
        <w:spacing w:after="60"/>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w:t>
      </w:r>
      <w:r w:rsidRPr="000E4EBC">
        <w:rPr>
          <w:rStyle w:val="tlid-translation"/>
          <w:rFonts w:asciiTheme="majorHAnsi" w:hAnsiTheme="majorHAnsi" w:cstheme="majorHAnsi"/>
          <w:sz w:val="18"/>
          <w:szCs w:val="18"/>
          <w:lang w:val="el-GR"/>
        </w:rPr>
        <w:t xml:space="preserve">Οι δαπάνες κοινωνικής προστασίας καταγράφονται και παρουσιάζονται, συγκεντρωτικά και αναλυτικά, ανά λειτουργία σύμφωνα με τον Κανονισμό 458/2007 του Ευρωπαϊκού Κοινοβουλίου και Συμβουλίου, ο οποίος διέπει την έρευνα </w:t>
      </w:r>
      <w:r w:rsidRPr="000E4EBC">
        <w:rPr>
          <w:rStyle w:val="tlid-translation"/>
          <w:rFonts w:asciiTheme="majorHAnsi" w:hAnsiTheme="majorHAnsi" w:cstheme="majorHAnsi"/>
          <w:sz w:val="18"/>
          <w:szCs w:val="18"/>
        </w:rPr>
        <w:t>ESSPROS</w:t>
      </w:r>
      <w:r w:rsidRPr="000E4EBC">
        <w:rPr>
          <w:rStyle w:val="tlid-translation"/>
          <w:rFonts w:asciiTheme="majorHAnsi" w:hAnsiTheme="majorHAnsi" w:cstheme="majorHAnsi"/>
          <w:sz w:val="18"/>
          <w:szCs w:val="18"/>
          <w:lang w:val="el-GR"/>
        </w:rPr>
        <w:t>.</w:t>
      </w:r>
    </w:p>
  </w:footnote>
  <w:footnote w:id="2">
    <w:p w14:paraId="697FBB60" w14:textId="3CE30184" w:rsidR="006715DA" w:rsidRPr="000E4EBC" w:rsidRDefault="006715DA" w:rsidP="000E4EBC">
      <w:pPr>
        <w:pStyle w:val="a7"/>
        <w:spacing w:after="60"/>
        <w:jc w:val="both"/>
        <w:rPr>
          <w:rStyle w:val="tlid-translation"/>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w:t>
      </w:r>
      <w:r w:rsidRPr="000E4EBC">
        <w:rPr>
          <w:rStyle w:val="tlid-translation"/>
          <w:rFonts w:asciiTheme="majorHAnsi" w:hAnsiTheme="majorHAnsi" w:cstheme="majorHAnsi"/>
          <w:sz w:val="18"/>
          <w:szCs w:val="18"/>
          <w:lang w:val="el-GR"/>
        </w:rPr>
        <w:t>Οι καθαρές κοινωνικές παροχές αφορούν στο καθαρό όφελος που έχουν οι δικαιούχοι, αφαιρώντας τους φόρους και τις εισφορές που καλούνται να καταβάλλουν.</w:t>
      </w:r>
    </w:p>
  </w:footnote>
  <w:footnote w:id="3">
    <w:p w14:paraId="4D09332D" w14:textId="6E56C0DC" w:rsidR="006715DA" w:rsidRPr="008E7B49" w:rsidRDefault="006715DA" w:rsidP="000E4EBC">
      <w:pPr>
        <w:pStyle w:val="a7"/>
        <w:spacing w:after="60"/>
        <w:jc w:val="both"/>
        <w:rPr>
          <w:rFonts w:asciiTheme="majorHAnsi" w:hAnsiTheme="majorHAnsi" w:cstheme="majorHAnsi"/>
          <w:sz w:val="18"/>
          <w:szCs w:val="18"/>
          <w:lang w:val="el-GR"/>
        </w:rPr>
      </w:pPr>
      <w:r w:rsidRPr="000E4EBC">
        <w:rPr>
          <w:rStyle w:val="tlid-translation"/>
          <w:rFonts w:asciiTheme="majorHAnsi" w:hAnsiTheme="majorHAnsi" w:cstheme="majorHAnsi"/>
          <w:sz w:val="18"/>
          <w:szCs w:val="18"/>
          <w:lang w:val="el-GR"/>
        </w:rPr>
        <w:footnoteRef/>
      </w:r>
      <w:r w:rsidRPr="000E4EBC">
        <w:rPr>
          <w:rStyle w:val="tlid-translation"/>
          <w:rFonts w:asciiTheme="majorHAnsi" w:hAnsiTheme="majorHAnsi" w:cstheme="majorHAnsi"/>
          <w:sz w:val="18"/>
          <w:szCs w:val="18"/>
          <w:lang w:val="el-GR"/>
        </w:rPr>
        <w:t xml:space="preserve"> Ελληνική Στατιστική Αρχή, Δελτίο τύπου, Στατιστικές συστήματος κοινωνικής προστασίας: Έτος 2017, διαθέσιμο στη διεύθυνση: </w:t>
      </w:r>
      <w:r w:rsidR="001F3A35">
        <w:fldChar w:fldCharType="begin"/>
      </w:r>
      <w:r w:rsidR="001F3A35" w:rsidRPr="004A6D4E">
        <w:rPr>
          <w:lang w:val="el-GR"/>
        </w:rPr>
        <w:instrText xml:space="preserve"> </w:instrText>
      </w:r>
      <w:r w:rsidR="001F3A35">
        <w:instrText>HYPERLI</w:instrText>
      </w:r>
      <w:r w:rsidR="001F3A35">
        <w:instrText>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kyILU</w:instrText>
      </w:r>
      <w:r w:rsidR="001F3A35" w:rsidRPr="004A6D4E">
        <w:rPr>
          <w:lang w:val="el-GR"/>
        </w:rPr>
        <w:instrText>" \</w:instrText>
      </w:r>
      <w:r w:rsidR="001F3A35">
        <w:instrText>o</w:instrText>
      </w:r>
      <w:r w:rsidR="001F3A35" w:rsidRPr="004A6D4E">
        <w:rPr>
          <w:lang w:val="el-GR"/>
        </w:rPr>
        <w:instrText xml:space="preserve"> " Μεταφορά στην επίσημη ιστοσελίδα </w:instrText>
      </w:r>
      <w:r w:rsidR="001F3A35">
        <w:instrText>www</w:instrText>
      </w:r>
      <w:r w:rsidR="001F3A35" w:rsidRPr="004A6D4E">
        <w:rPr>
          <w:lang w:val="el-GR"/>
        </w:rPr>
        <w:instrText>.</w:instrText>
      </w:r>
      <w:r w:rsidR="001F3A35">
        <w:instrText>statistics</w:instrText>
      </w:r>
      <w:r w:rsidR="001F3A35" w:rsidRPr="004A6D4E">
        <w:rPr>
          <w:lang w:val="el-GR"/>
        </w:rPr>
        <w:instrText>.</w:instrText>
      </w:r>
      <w:r w:rsidR="001F3A35">
        <w:instrText>gr</w:instrText>
      </w:r>
      <w:r w:rsidR="001F3A35" w:rsidRPr="004A6D4E">
        <w:rPr>
          <w:lang w:val="el-GR"/>
        </w:rPr>
        <w:instrText xml:space="preserve">" </w:instrText>
      </w:r>
      <w:r w:rsidR="001F3A35">
        <w:fldChar w:fldCharType="separate"/>
      </w:r>
      <w:r w:rsidR="007A403F" w:rsidRPr="00F32F47">
        <w:rPr>
          <w:rStyle w:val="-"/>
          <w:rFonts w:asciiTheme="majorHAnsi" w:hAnsiTheme="majorHAnsi" w:cstheme="majorHAnsi"/>
          <w:sz w:val="18"/>
          <w:szCs w:val="18"/>
          <w:lang w:val="en-GB"/>
        </w:rPr>
        <w:t>www</w:t>
      </w:r>
      <w:r w:rsidR="007A403F" w:rsidRPr="00F32F47">
        <w:rPr>
          <w:rStyle w:val="-"/>
          <w:rFonts w:asciiTheme="majorHAnsi" w:hAnsiTheme="majorHAnsi" w:cstheme="majorHAnsi"/>
          <w:sz w:val="18"/>
          <w:szCs w:val="18"/>
          <w:lang w:val="el-GR"/>
        </w:rPr>
        <w:t>.shorturl.at/kyILU</w:t>
      </w:r>
      <w:r w:rsidR="001F3A35">
        <w:rPr>
          <w:rStyle w:val="-"/>
          <w:rFonts w:asciiTheme="majorHAnsi" w:hAnsiTheme="majorHAnsi" w:cstheme="majorHAnsi"/>
          <w:sz w:val="18"/>
          <w:szCs w:val="18"/>
          <w:lang w:val="el-GR"/>
        </w:rPr>
        <w:fldChar w:fldCharType="end"/>
      </w:r>
      <w:r w:rsidR="008E7B49">
        <w:rPr>
          <w:rStyle w:val="tlid-translation"/>
          <w:rFonts w:asciiTheme="majorHAnsi" w:hAnsiTheme="majorHAnsi" w:cstheme="majorHAnsi"/>
          <w:sz w:val="18"/>
          <w:szCs w:val="18"/>
          <w:lang w:val="el-GR"/>
        </w:rPr>
        <w:t>.</w:t>
      </w:r>
    </w:p>
  </w:footnote>
  <w:footnote w:id="4">
    <w:p w14:paraId="2DBF4E77" w14:textId="449E0A3D" w:rsidR="006715DA" w:rsidRPr="000E4EBC" w:rsidRDefault="006715DA" w:rsidP="000E4EBC">
      <w:pPr>
        <w:pStyle w:val="a7"/>
        <w:spacing w:after="60"/>
        <w:jc w:val="both"/>
        <w:rPr>
          <w:rStyle w:val="tlid-translation"/>
          <w:rFonts w:asciiTheme="majorHAnsi" w:hAnsiTheme="majorHAnsi" w:cstheme="majorHAnsi"/>
          <w:sz w:val="18"/>
          <w:szCs w:val="18"/>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rPr>
        <w:t xml:space="preserve"> </w:t>
      </w:r>
      <w:r w:rsidRPr="000E4EBC">
        <w:rPr>
          <w:rStyle w:val="tlid-translation"/>
          <w:rFonts w:asciiTheme="majorHAnsi" w:hAnsiTheme="majorHAnsi" w:cstheme="majorHAnsi"/>
          <w:sz w:val="18"/>
          <w:szCs w:val="18"/>
        </w:rPr>
        <w:t>Ferrera M. The “Southern Model” of Welfare in Social Europe,J. Eur. soc. Policy, 1996,6:17-37.</w:t>
      </w:r>
    </w:p>
  </w:footnote>
  <w:footnote w:id="5">
    <w:p w14:paraId="40FEFFDF" w14:textId="4CA2BC2E" w:rsidR="006715DA" w:rsidRPr="004A6D4E" w:rsidRDefault="006715DA" w:rsidP="000E4EBC">
      <w:pPr>
        <w:pStyle w:val="a7"/>
        <w:spacing w:after="60"/>
        <w:jc w:val="both"/>
        <w:rPr>
          <w:rStyle w:val="tlid-translation"/>
          <w:rFonts w:asciiTheme="majorHAnsi" w:hAnsiTheme="majorHAnsi" w:cstheme="majorHAnsi"/>
          <w:sz w:val="18"/>
          <w:szCs w:val="18"/>
          <w:lang w:val="el-GR"/>
        </w:rPr>
      </w:pPr>
      <w:r w:rsidRPr="000E4EBC">
        <w:rPr>
          <w:rStyle w:val="tlid-translation"/>
          <w:rFonts w:asciiTheme="majorHAnsi" w:hAnsiTheme="majorHAnsi" w:cstheme="majorHAnsi"/>
          <w:sz w:val="18"/>
          <w:szCs w:val="18"/>
          <w:lang w:val="el-GR"/>
        </w:rPr>
        <w:footnoteRef/>
      </w:r>
      <w:r w:rsidRPr="000E4EBC">
        <w:rPr>
          <w:rStyle w:val="tlid-translation"/>
          <w:rFonts w:asciiTheme="majorHAnsi" w:hAnsiTheme="majorHAnsi" w:cstheme="majorHAnsi"/>
          <w:sz w:val="18"/>
          <w:szCs w:val="18"/>
        </w:rPr>
        <w:t xml:space="preserve"> </w:t>
      </w:r>
      <w:r w:rsidRPr="000E4EBC">
        <w:rPr>
          <w:rStyle w:val="tlid-translation"/>
          <w:rFonts w:asciiTheme="majorHAnsi" w:hAnsiTheme="majorHAnsi" w:cstheme="majorHAnsi"/>
          <w:sz w:val="18"/>
          <w:szCs w:val="18"/>
          <w:lang w:val="el-GR"/>
        </w:rPr>
        <w:t>Βλέπε</w:t>
      </w:r>
      <w:r w:rsidRPr="000E4EBC">
        <w:rPr>
          <w:rStyle w:val="tlid-translation"/>
          <w:rFonts w:asciiTheme="majorHAnsi" w:hAnsiTheme="majorHAnsi" w:cstheme="majorHAnsi"/>
          <w:sz w:val="18"/>
          <w:szCs w:val="18"/>
        </w:rPr>
        <w:t xml:space="preserve"> </w:t>
      </w:r>
      <w:r w:rsidRPr="000E4EBC">
        <w:rPr>
          <w:rStyle w:val="tlid-translation"/>
          <w:rFonts w:asciiTheme="majorHAnsi" w:hAnsiTheme="majorHAnsi" w:cstheme="majorHAnsi"/>
          <w:sz w:val="18"/>
          <w:szCs w:val="18"/>
          <w:lang w:val="el-GR"/>
        </w:rPr>
        <w:t>μεταξύ</w:t>
      </w:r>
      <w:r w:rsidRPr="000E4EBC">
        <w:rPr>
          <w:rStyle w:val="tlid-translation"/>
          <w:rFonts w:asciiTheme="majorHAnsi" w:hAnsiTheme="majorHAnsi" w:cstheme="majorHAnsi"/>
          <w:sz w:val="18"/>
          <w:szCs w:val="18"/>
        </w:rPr>
        <w:t xml:space="preserve"> </w:t>
      </w:r>
      <w:r w:rsidRPr="000E4EBC">
        <w:rPr>
          <w:rStyle w:val="tlid-translation"/>
          <w:rFonts w:asciiTheme="majorHAnsi" w:hAnsiTheme="majorHAnsi" w:cstheme="majorHAnsi"/>
          <w:sz w:val="18"/>
          <w:szCs w:val="18"/>
          <w:lang w:val="el-GR"/>
        </w:rPr>
        <w:t>άλλων</w:t>
      </w:r>
      <w:r w:rsidRPr="000E4EBC">
        <w:rPr>
          <w:rStyle w:val="tlid-translation"/>
          <w:rFonts w:asciiTheme="majorHAnsi" w:hAnsiTheme="majorHAnsi" w:cstheme="majorHAnsi"/>
          <w:sz w:val="18"/>
          <w:szCs w:val="18"/>
        </w:rPr>
        <w:t xml:space="preserve">: Ferrera M. The “Southern Model” of Welfare in Social Europe,J. Eur. soc. Policy, 1996,6:17-37. &amp; Noikokyrakis G. &amp;Sarafis, P. (2018). Social protection and the challenges of the European Welfare State. </w:t>
      </w:r>
      <w:r w:rsidRPr="000E4EBC">
        <w:rPr>
          <w:rStyle w:val="tlid-translation"/>
          <w:rFonts w:asciiTheme="majorHAnsi" w:hAnsiTheme="majorHAnsi" w:cstheme="majorHAnsi"/>
          <w:sz w:val="18"/>
          <w:szCs w:val="18"/>
          <w:lang w:val="el-GR"/>
        </w:rPr>
        <w:t>Archives of Hellenic Medicine. 35. 464-471., &amp;</w:t>
      </w:r>
      <w:r w:rsidR="008E7B49">
        <w:rPr>
          <w:rStyle w:val="tlid-translation"/>
          <w:rFonts w:asciiTheme="majorHAnsi" w:hAnsiTheme="majorHAnsi" w:cstheme="majorHAnsi"/>
          <w:sz w:val="18"/>
          <w:szCs w:val="18"/>
          <w:lang w:val="el-GR"/>
        </w:rPr>
        <w:t xml:space="preserve"> </w:t>
      </w:r>
      <w:r w:rsidRPr="000E4EBC">
        <w:rPr>
          <w:rStyle w:val="tlid-translation"/>
          <w:rFonts w:asciiTheme="majorHAnsi" w:hAnsiTheme="majorHAnsi" w:cstheme="majorHAnsi"/>
          <w:sz w:val="18"/>
          <w:szCs w:val="18"/>
          <w:lang w:val="el-GR"/>
        </w:rPr>
        <w:t xml:space="preserve">Ζαχαρόπουλος, Γ. Η επίδραση της οικονομικής κρίσης στο ευρωπαϊκό κράτος πρόνοιας και στην φαρμακευτική πολιτική της Ελλάδας. Επιστημονικά Χρονικά 2014;19(3): 272-286. &amp; Πετμεζίδου, Μ. Το κοινωνικό κράτος σε κρίσιμη καμπή. Παρουσίαση στο πλαίσιο των «Κρίσιμων» Σεμιναρίων της «Πρωτοβουλίας για την Υπεράσπιση της Κοινωνίας και της Δημοκρατίας» (Αθήνα, 19/2/2013). Διαθέσιμο στη: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ckFGT</w:instrText>
      </w:r>
      <w:r w:rsidR="001F3A35" w:rsidRPr="004A6D4E">
        <w:rPr>
          <w:lang w:val="el-GR"/>
        </w:rPr>
        <w:instrText>" \</w:instrText>
      </w:r>
      <w:r w:rsidR="001F3A35">
        <w:instrText>o</w:instrText>
      </w:r>
      <w:r w:rsidR="001F3A35" w:rsidRPr="004A6D4E">
        <w:rPr>
          <w:lang w:val="el-GR"/>
        </w:rPr>
        <w:instrText xml:space="preserve"> " Άνοιγμα/λήψη του αρχείου </w:instrText>
      </w:r>
      <w:r w:rsidR="001F3A35">
        <w:instrText>PDF</w:instrText>
      </w:r>
      <w:r w:rsidR="001F3A35" w:rsidRPr="004A6D4E">
        <w:rPr>
          <w:lang w:val="el-GR"/>
        </w:rPr>
        <w:instrText xml:space="preserve"> από το </w:instrText>
      </w:r>
      <w:r w:rsidR="001F3A35">
        <w:instrText>utopia</w:instrText>
      </w:r>
      <w:r w:rsidR="001F3A35" w:rsidRPr="004A6D4E">
        <w:rPr>
          <w:lang w:val="el-GR"/>
        </w:rPr>
        <w:instrText>.</w:instrText>
      </w:r>
      <w:r w:rsidR="001F3A35">
        <w:instrText>duth</w:instrText>
      </w:r>
      <w:r w:rsidR="001F3A35" w:rsidRPr="004A6D4E">
        <w:rPr>
          <w:lang w:val="el-GR"/>
        </w:rPr>
        <w:instrText>.</w:instrText>
      </w:r>
      <w:r w:rsidR="001F3A35">
        <w:instrText>gr</w:instrText>
      </w:r>
      <w:r w:rsidR="001F3A35" w:rsidRPr="004A6D4E">
        <w:rPr>
          <w:lang w:val="el-GR"/>
        </w:rPr>
        <w:instrText xml:space="preserve">" </w:instrText>
      </w:r>
      <w:r w:rsidR="001F3A35">
        <w:fldChar w:fldCharType="separate"/>
      </w:r>
      <w:r w:rsidR="008E7B49" w:rsidRPr="00F32F47">
        <w:rPr>
          <w:rStyle w:val="-"/>
          <w:rFonts w:asciiTheme="majorHAnsi" w:hAnsiTheme="majorHAnsi" w:cstheme="majorHAnsi"/>
          <w:sz w:val="18"/>
          <w:szCs w:val="18"/>
          <w:lang w:val="en-GB"/>
        </w:rPr>
        <w:t>www</w:t>
      </w:r>
      <w:r w:rsidR="008E7B49" w:rsidRPr="004A6D4E">
        <w:rPr>
          <w:rStyle w:val="-"/>
          <w:rFonts w:asciiTheme="majorHAnsi" w:hAnsiTheme="majorHAnsi" w:cstheme="majorHAnsi"/>
          <w:sz w:val="18"/>
          <w:szCs w:val="18"/>
          <w:lang w:val="el-GR"/>
        </w:rPr>
        <w:t>.</w:t>
      </w:r>
      <w:r w:rsidR="008E7B49" w:rsidRPr="00F32F47">
        <w:rPr>
          <w:rStyle w:val="-"/>
          <w:rFonts w:asciiTheme="majorHAnsi" w:hAnsiTheme="majorHAnsi" w:cstheme="majorHAnsi"/>
          <w:sz w:val="18"/>
          <w:szCs w:val="18"/>
          <w:lang w:val="el-GR"/>
        </w:rPr>
        <w:t>shorturl.at/ckFGT</w:t>
      </w:r>
      <w:r w:rsidR="001F3A35">
        <w:rPr>
          <w:rStyle w:val="-"/>
          <w:rFonts w:asciiTheme="majorHAnsi" w:hAnsiTheme="majorHAnsi" w:cstheme="majorHAnsi"/>
          <w:sz w:val="18"/>
          <w:szCs w:val="18"/>
          <w:lang w:val="el-GR"/>
        </w:rPr>
        <w:fldChar w:fldCharType="end"/>
      </w:r>
      <w:r w:rsidR="008E7B49" w:rsidRPr="004A6D4E">
        <w:rPr>
          <w:rStyle w:val="tlid-translation"/>
          <w:rFonts w:asciiTheme="majorHAnsi" w:hAnsiTheme="majorHAnsi" w:cstheme="majorHAnsi"/>
          <w:sz w:val="18"/>
          <w:szCs w:val="18"/>
          <w:lang w:val="el-GR"/>
        </w:rPr>
        <w:t>.</w:t>
      </w:r>
    </w:p>
  </w:footnote>
  <w:footnote w:id="6">
    <w:p w14:paraId="25896393" w14:textId="19F61A29" w:rsidR="006715DA" w:rsidRPr="000E4EBC" w:rsidRDefault="006715DA" w:rsidP="000E4EBC">
      <w:pPr>
        <w:pStyle w:val="a7"/>
        <w:spacing w:after="60"/>
        <w:jc w:val="both"/>
        <w:rPr>
          <w:rFonts w:asciiTheme="majorHAnsi" w:hAnsiTheme="majorHAnsi" w:cstheme="majorHAnsi"/>
          <w:sz w:val="18"/>
          <w:szCs w:val="18"/>
          <w:lang w:val="el-GR"/>
        </w:rPr>
      </w:pPr>
      <w:r w:rsidRPr="000E4EBC">
        <w:rPr>
          <w:rStyle w:val="tlid-translation"/>
          <w:rFonts w:asciiTheme="majorHAnsi" w:hAnsiTheme="majorHAnsi" w:cstheme="majorHAnsi"/>
          <w:sz w:val="18"/>
          <w:szCs w:val="18"/>
          <w:lang w:val="el-GR"/>
        </w:rPr>
        <w:footnoteRef/>
      </w:r>
      <w:r w:rsidRPr="000E4EBC">
        <w:rPr>
          <w:rStyle w:val="tlid-translation"/>
          <w:rFonts w:asciiTheme="majorHAnsi" w:hAnsiTheme="majorHAnsi" w:cstheme="majorHAnsi"/>
          <w:sz w:val="18"/>
          <w:szCs w:val="18"/>
          <w:lang w:val="el-GR"/>
        </w:rPr>
        <w:t xml:space="preserve"> βλ. Δαφέρμος, Γ. &amp; Παπαθεοδώρου, Χ. “Το παράδοξο της κοινωνικής πολιτικής στην Ελλάδα: Γιατί η αύξηση των δαπανών για κοινωνική προστασία δεν μείωσε τη φτώχεια;” Ινστιτούτο Εργασίας ΓΣΕΕ, παρατηρητήριο οικονομικών και κοινωνικών εξελίξεων. Ιούλιος 2011. Διαθέσιμο στη:</w:t>
      </w:r>
      <w:r w:rsidRPr="000E4EBC">
        <w:rPr>
          <w:rFonts w:asciiTheme="majorHAnsi" w:hAnsiTheme="majorHAnsi" w:cstheme="majorHAnsi"/>
          <w:sz w:val="18"/>
          <w:szCs w:val="18"/>
          <w:lang w:val="el-GR"/>
        </w:rPr>
        <w:t xml:space="preserve"> </w:t>
      </w:r>
      <w:hyperlink r:id="rId1" w:history="1">
        <w:r w:rsidRPr="000E4EBC">
          <w:rPr>
            <w:rStyle w:val="-"/>
            <w:rFonts w:asciiTheme="majorHAnsi" w:hAnsiTheme="majorHAnsi" w:cstheme="majorHAnsi"/>
            <w:sz w:val="18"/>
            <w:szCs w:val="18"/>
          </w:rPr>
          <w:t>https</w:t>
        </w:r>
        <w:r w:rsidRPr="000E4EBC">
          <w:rPr>
            <w:rStyle w:val="-"/>
            <w:rFonts w:asciiTheme="majorHAnsi" w:hAnsiTheme="majorHAnsi" w:cstheme="majorHAnsi"/>
            <w:sz w:val="18"/>
            <w:szCs w:val="18"/>
            <w:lang w:val="el-GR"/>
          </w:rPr>
          <w:t>://</w:t>
        </w:r>
        <w:r w:rsidRPr="000E4EBC">
          <w:rPr>
            <w:rStyle w:val="-"/>
            <w:rFonts w:asciiTheme="majorHAnsi" w:hAnsiTheme="majorHAnsi" w:cstheme="majorHAnsi"/>
            <w:sz w:val="18"/>
            <w:szCs w:val="18"/>
          </w:rPr>
          <w:t>ineobservatory</w:t>
        </w:r>
        <w:r w:rsidRPr="000E4EBC">
          <w:rPr>
            <w:rStyle w:val="-"/>
            <w:rFonts w:asciiTheme="majorHAnsi" w:hAnsiTheme="majorHAnsi" w:cstheme="majorHAnsi"/>
            <w:sz w:val="18"/>
            <w:szCs w:val="18"/>
            <w:lang w:val="el-GR"/>
          </w:rPr>
          <w:t>.</w:t>
        </w:r>
        <w:r w:rsidRPr="000E4EBC">
          <w:rPr>
            <w:rStyle w:val="-"/>
            <w:rFonts w:asciiTheme="majorHAnsi" w:hAnsiTheme="majorHAnsi" w:cstheme="majorHAnsi"/>
            <w:sz w:val="18"/>
            <w:szCs w:val="18"/>
          </w:rPr>
          <w:t>gr</w:t>
        </w:r>
        <w:r w:rsidRPr="000E4EBC">
          <w:rPr>
            <w:rStyle w:val="-"/>
            <w:rFonts w:asciiTheme="majorHAnsi" w:hAnsiTheme="majorHAnsi" w:cstheme="majorHAnsi"/>
            <w:sz w:val="18"/>
            <w:szCs w:val="18"/>
            <w:lang w:val="el-GR"/>
          </w:rPr>
          <w:t>/</w:t>
        </w:r>
        <w:r w:rsidRPr="000E4EBC">
          <w:rPr>
            <w:rStyle w:val="-"/>
            <w:rFonts w:asciiTheme="majorHAnsi" w:hAnsiTheme="majorHAnsi" w:cstheme="majorHAnsi"/>
            <w:sz w:val="18"/>
            <w:szCs w:val="18"/>
          </w:rPr>
          <w:t>wp</w:t>
        </w:r>
        <w:r w:rsidRPr="000E4EBC">
          <w:rPr>
            <w:rStyle w:val="-"/>
            <w:rFonts w:asciiTheme="majorHAnsi" w:hAnsiTheme="majorHAnsi" w:cstheme="majorHAnsi"/>
            <w:sz w:val="18"/>
            <w:szCs w:val="18"/>
            <w:lang w:val="el-GR"/>
          </w:rPr>
          <w:t>-</w:t>
        </w:r>
        <w:r w:rsidRPr="000E4EBC">
          <w:rPr>
            <w:rStyle w:val="-"/>
            <w:rFonts w:asciiTheme="majorHAnsi" w:hAnsiTheme="majorHAnsi" w:cstheme="majorHAnsi"/>
            <w:sz w:val="18"/>
            <w:szCs w:val="18"/>
          </w:rPr>
          <w:t>content</w:t>
        </w:r>
        <w:r w:rsidRPr="000E4EBC">
          <w:rPr>
            <w:rStyle w:val="-"/>
            <w:rFonts w:asciiTheme="majorHAnsi" w:hAnsiTheme="majorHAnsi" w:cstheme="majorHAnsi"/>
            <w:sz w:val="18"/>
            <w:szCs w:val="18"/>
            <w:lang w:val="el-GR"/>
          </w:rPr>
          <w:t>/</w:t>
        </w:r>
        <w:r w:rsidRPr="000E4EBC">
          <w:rPr>
            <w:rStyle w:val="-"/>
            <w:rFonts w:asciiTheme="majorHAnsi" w:hAnsiTheme="majorHAnsi" w:cstheme="majorHAnsi"/>
            <w:sz w:val="18"/>
            <w:szCs w:val="18"/>
          </w:rPr>
          <w:t>uploads</w:t>
        </w:r>
        <w:r w:rsidRPr="000E4EBC">
          <w:rPr>
            <w:rStyle w:val="-"/>
            <w:rFonts w:asciiTheme="majorHAnsi" w:hAnsiTheme="majorHAnsi" w:cstheme="majorHAnsi"/>
            <w:sz w:val="18"/>
            <w:szCs w:val="18"/>
            <w:lang w:val="el-GR"/>
          </w:rPr>
          <w:t>/2014/08/</w:t>
        </w:r>
        <w:r w:rsidRPr="000E4EBC">
          <w:rPr>
            <w:rStyle w:val="-"/>
            <w:rFonts w:asciiTheme="majorHAnsi" w:hAnsiTheme="majorHAnsi" w:cstheme="majorHAnsi"/>
            <w:sz w:val="18"/>
            <w:szCs w:val="18"/>
          </w:rPr>
          <w:t>policy</w:t>
        </w:r>
        <w:r w:rsidRPr="000E4EBC">
          <w:rPr>
            <w:rStyle w:val="-"/>
            <w:rFonts w:asciiTheme="majorHAnsi" w:hAnsiTheme="majorHAnsi" w:cstheme="majorHAnsi"/>
            <w:sz w:val="18"/>
            <w:szCs w:val="18"/>
            <w:lang w:val="el-GR"/>
          </w:rPr>
          <w:t>-</w:t>
        </w:r>
        <w:r w:rsidRPr="000E4EBC">
          <w:rPr>
            <w:rStyle w:val="-"/>
            <w:rFonts w:asciiTheme="majorHAnsi" w:hAnsiTheme="majorHAnsi" w:cstheme="majorHAnsi"/>
            <w:sz w:val="18"/>
            <w:szCs w:val="18"/>
          </w:rPr>
          <w:t>brief</w:t>
        </w:r>
        <w:r w:rsidRPr="000E4EBC">
          <w:rPr>
            <w:rStyle w:val="-"/>
            <w:rFonts w:asciiTheme="majorHAnsi" w:hAnsiTheme="majorHAnsi" w:cstheme="majorHAnsi"/>
            <w:sz w:val="18"/>
            <w:szCs w:val="18"/>
            <w:lang w:val="el-GR"/>
          </w:rPr>
          <w:t>1.</w:t>
        </w:r>
        <w:r w:rsidRPr="000E4EBC">
          <w:rPr>
            <w:rStyle w:val="-"/>
            <w:rFonts w:asciiTheme="majorHAnsi" w:hAnsiTheme="majorHAnsi" w:cstheme="majorHAnsi"/>
            <w:sz w:val="18"/>
            <w:szCs w:val="18"/>
          </w:rPr>
          <w:t>pdf</w:t>
        </w:r>
      </w:hyperlink>
    </w:p>
  </w:footnote>
  <w:footnote w:id="7">
    <w:p w14:paraId="2F9846DC" w14:textId="7736360F" w:rsidR="006715DA" w:rsidRPr="000E4EBC" w:rsidRDefault="006715DA" w:rsidP="000E4EBC">
      <w:pPr>
        <w:pStyle w:val="a7"/>
        <w:spacing w:after="60"/>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ό.π.</w:t>
      </w:r>
    </w:p>
  </w:footnote>
  <w:footnote w:id="8">
    <w:p w14:paraId="42ED65A8" w14:textId="3C85CC43" w:rsidR="006715DA" w:rsidRPr="000E4EBC" w:rsidRDefault="006715DA" w:rsidP="000E4EBC">
      <w:pPr>
        <w:pStyle w:val="a7"/>
        <w:spacing w:after="60"/>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ό.π.</w:t>
      </w:r>
    </w:p>
  </w:footnote>
  <w:footnote w:id="9">
    <w:p w14:paraId="123D675A" w14:textId="3C572229" w:rsidR="006715DA" w:rsidRPr="000E4EBC" w:rsidRDefault="006715DA" w:rsidP="000E4EBC">
      <w:pPr>
        <w:pStyle w:val="a7"/>
        <w:spacing w:after="60"/>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Παπαχριστόπουλος, Ν. (2013). Υγεία-Πρόνοια και αναπηρία. Αθήνα: Εθνική Συνομοσπονδία.</w:t>
      </w:r>
    </w:p>
  </w:footnote>
  <w:footnote w:id="10">
    <w:p w14:paraId="4FE14D6F" w14:textId="776C2E5A" w:rsidR="006715DA" w:rsidRPr="008E7B49" w:rsidRDefault="006715DA" w:rsidP="000E4EBC">
      <w:pPr>
        <w:pStyle w:val="a7"/>
        <w:spacing w:after="60"/>
        <w:jc w:val="both"/>
        <w:rPr>
          <w:rFonts w:asciiTheme="majorHAnsi" w:hAnsiTheme="majorHAnsi" w:cstheme="majorHAnsi"/>
          <w:sz w:val="18"/>
          <w:szCs w:val="18"/>
          <w:lang w:val="el-GR"/>
        </w:rPr>
      </w:pPr>
      <w:r w:rsidRPr="000E4EBC">
        <w:rPr>
          <w:rFonts w:asciiTheme="majorHAnsi" w:hAnsiTheme="majorHAnsi" w:cstheme="majorHAnsi"/>
          <w:sz w:val="18"/>
          <w:szCs w:val="18"/>
          <w:vertAlign w:val="superscript"/>
          <w:lang w:val="el-GR"/>
        </w:rPr>
        <w:footnoteRef/>
      </w:r>
      <w:r w:rsidRPr="000E4EBC">
        <w:rPr>
          <w:rFonts w:asciiTheme="majorHAnsi" w:hAnsiTheme="majorHAnsi" w:cstheme="majorHAnsi"/>
          <w:sz w:val="18"/>
          <w:szCs w:val="18"/>
          <w:vertAlign w:val="superscript"/>
          <w:lang w:val="el-GR"/>
        </w:rPr>
        <w:t xml:space="preserve"> </w:t>
      </w:r>
      <w:r w:rsidRPr="000E4EBC">
        <w:rPr>
          <w:rFonts w:asciiTheme="majorHAnsi" w:hAnsiTheme="majorHAnsi" w:cstheme="majorHAnsi"/>
          <w:sz w:val="18"/>
          <w:szCs w:val="18"/>
          <w:lang w:val="el-GR"/>
        </w:rPr>
        <w:t>Σύμφωνα με το 1ο δελτίο του Παρατηρητηρίου Θεμάτων Αναπηρίας «Φτώχεια και κοινωνικός αποκλεισμός στα άτομα με αναπηρία»,</w:t>
      </w:r>
      <w:r w:rsidR="008E7B49">
        <w:rPr>
          <w:rFonts w:asciiTheme="majorHAnsi" w:hAnsiTheme="majorHAnsi" w:cstheme="majorHAnsi"/>
          <w:sz w:val="18"/>
          <w:szCs w:val="18"/>
          <w:lang w:val="el-GR"/>
        </w:rPr>
        <w:t xml:space="preserve"> </w:t>
      </w:r>
      <w:r w:rsidRPr="000E4EBC">
        <w:rPr>
          <w:rFonts w:asciiTheme="majorHAnsi" w:hAnsiTheme="majorHAnsi" w:cstheme="majorHAnsi"/>
          <w:sz w:val="18"/>
          <w:szCs w:val="18"/>
          <w:lang w:val="el-GR"/>
        </w:rPr>
        <w:t xml:space="preserve">οι 6 στους 10 πολίτες με σοβαρή αναπηρία, ηλικίας 16-64 ετών βρίσκονται σε κίνδυνο φτώχειας ή/και κοινωνικού αποκλεισμού. Το δελτίο είναι διαθέσιμο στη διεύθυνση: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gAV</w:instrText>
      </w:r>
      <w:r w:rsidR="001F3A35" w:rsidRPr="004A6D4E">
        <w:rPr>
          <w:lang w:val="el-GR"/>
        </w:rPr>
        <w:instrText>15" \</w:instrText>
      </w:r>
      <w:r w:rsidR="001F3A35">
        <w:instrText>o</w:instrText>
      </w:r>
      <w:r w:rsidR="001F3A35" w:rsidRPr="004A6D4E">
        <w:rPr>
          <w:lang w:val="el-GR"/>
        </w:rPr>
        <w:instrText xml:space="preserve"> "Μεταφορά στην επίσημη ιστοσελία </w:instrText>
      </w:r>
      <w:r w:rsidR="001F3A35">
        <w:instrText>www</w:instrText>
      </w:r>
      <w:r w:rsidR="001F3A35" w:rsidRPr="004A6D4E">
        <w:rPr>
          <w:lang w:val="el-GR"/>
        </w:rPr>
        <w:instrText>.</w:instrText>
      </w:r>
      <w:r w:rsidR="001F3A35">
        <w:instrText>paratirit</w:instrText>
      </w:r>
      <w:r w:rsidR="001F3A35">
        <w:instrText>irioanapirias</w:instrText>
      </w:r>
      <w:r w:rsidR="001F3A35" w:rsidRPr="004A6D4E">
        <w:rPr>
          <w:lang w:val="el-GR"/>
        </w:rPr>
        <w:instrText>.</w:instrText>
      </w:r>
      <w:r w:rsidR="001F3A35">
        <w:instrText>gr</w:instrText>
      </w:r>
      <w:r w:rsidR="001F3A35" w:rsidRPr="004A6D4E">
        <w:rPr>
          <w:lang w:val="el-GR"/>
        </w:rPr>
        <w:instrText xml:space="preserve">" </w:instrText>
      </w:r>
      <w:r w:rsidR="001F3A35">
        <w:fldChar w:fldCharType="separate"/>
      </w:r>
      <w:r w:rsidR="008E7B49" w:rsidRPr="00F32F47">
        <w:rPr>
          <w:rStyle w:val="-"/>
          <w:rFonts w:asciiTheme="majorHAnsi" w:hAnsiTheme="majorHAnsi" w:cstheme="majorHAnsi"/>
          <w:sz w:val="18"/>
          <w:szCs w:val="18"/>
          <w:lang w:val="en-GB"/>
        </w:rPr>
        <w:t>www</w:t>
      </w:r>
      <w:r w:rsidR="008E7B49" w:rsidRPr="00F32F47">
        <w:rPr>
          <w:rStyle w:val="-"/>
          <w:rFonts w:asciiTheme="majorHAnsi" w:hAnsiTheme="majorHAnsi" w:cstheme="majorHAnsi"/>
          <w:sz w:val="18"/>
          <w:szCs w:val="18"/>
          <w:lang w:val="el-GR"/>
        </w:rPr>
        <w:t>.</w:t>
      </w:r>
      <w:r w:rsidR="008E7B49" w:rsidRPr="00F32F47">
        <w:rPr>
          <w:rStyle w:val="-"/>
          <w:rFonts w:asciiTheme="majorHAnsi" w:hAnsiTheme="majorHAnsi" w:cstheme="majorHAnsi"/>
          <w:sz w:val="18"/>
          <w:szCs w:val="18"/>
          <w:lang w:val="en-GB"/>
        </w:rPr>
        <w:t>shorturl</w:t>
      </w:r>
      <w:r w:rsidR="008E7B49" w:rsidRPr="00F32F47">
        <w:rPr>
          <w:rStyle w:val="-"/>
          <w:rFonts w:asciiTheme="majorHAnsi" w:hAnsiTheme="majorHAnsi" w:cstheme="majorHAnsi"/>
          <w:sz w:val="18"/>
          <w:szCs w:val="18"/>
          <w:lang w:val="el-GR"/>
        </w:rPr>
        <w:t>.</w:t>
      </w:r>
      <w:r w:rsidR="008E7B49" w:rsidRPr="00F32F47">
        <w:rPr>
          <w:rStyle w:val="-"/>
          <w:rFonts w:asciiTheme="majorHAnsi" w:hAnsiTheme="majorHAnsi" w:cstheme="majorHAnsi"/>
          <w:sz w:val="18"/>
          <w:szCs w:val="18"/>
          <w:lang w:val="en-GB"/>
        </w:rPr>
        <w:t>at</w:t>
      </w:r>
      <w:r w:rsidR="008E7B49" w:rsidRPr="00F32F47">
        <w:rPr>
          <w:rStyle w:val="-"/>
          <w:rFonts w:asciiTheme="majorHAnsi" w:hAnsiTheme="majorHAnsi" w:cstheme="majorHAnsi"/>
          <w:sz w:val="18"/>
          <w:szCs w:val="18"/>
          <w:lang w:val="el-GR"/>
        </w:rPr>
        <w:t>/</w:t>
      </w:r>
      <w:r w:rsidR="008E7B49" w:rsidRPr="00F32F47">
        <w:rPr>
          <w:rStyle w:val="-"/>
          <w:rFonts w:asciiTheme="majorHAnsi" w:hAnsiTheme="majorHAnsi" w:cstheme="majorHAnsi"/>
          <w:sz w:val="18"/>
          <w:szCs w:val="18"/>
          <w:lang w:val="en-GB"/>
        </w:rPr>
        <w:t>gAV</w:t>
      </w:r>
      <w:r w:rsidR="008E7B49" w:rsidRPr="00F32F47">
        <w:rPr>
          <w:rStyle w:val="-"/>
          <w:rFonts w:asciiTheme="majorHAnsi" w:hAnsiTheme="majorHAnsi" w:cstheme="majorHAnsi"/>
          <w:sz w:val="18"/>
          <w:szCs w:val="18"/>
          <w:lang w:val="el-GR"/>
        </w:rPr>
        <w:t>15</w:t>
      </w:r>
      <w:r w:rsidR="001F3A35">
        <w:rPr>
          <w:rStyle w:val="-"/>
          <w:rFonts w:asciiTheme="majorHAnsi" w:hAnsiTheme="majorHAnsi" w:cstheme="majorHAnsi"/>
          <w:sz w:val="18"/>
          <w:szCs w:val="18"/>
          <w:lang w:val="el-GR"/>
        </w:rPr>
        <w:fldChar w:fldCharType="end"/>
      </w:r>
      <w:r w:rsidR="008E7B49" w:rsidRPr="008E7B49">
        <w:rPr>
          <w:rFonts w:asciiTheme="majorHAnsi" w:hAnsiTheme="majorHAnsi" w:cstheme="majorHAnsi"/>
          <w:sz w:val="18"/>
          <w:szCs w:val="18"/>
          <w:lang w:val="el-GR"/>
        </w:rPr>
        <w:t>.</w:t>
      </w:r>
    </w:p>
  </w:footnote>
  <w:footnote w:id="11">
    <w:p w14:paraId="27E58AA4" w14:textId="51359EC0" w:rsidR="006715DA" w:rsidRPr="00AD6138" w:rsidRDefault="006715DA" w:rsidP="00AD6138">
      <w:pPr>
        <w:spacing w:after="60" w:line="240" w:lineRule="auto"/>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w:t>
      </w:r>
      <w:r w:rsidRPr="000E4EBC">
        <w:rPr>
          <w:rFonts w:asciiTheme="majorHAnsi" w:eastAsia="Times New Roman" w:hAnsiTheme="majorHAnsi" w:cstheme="majorHAnsi"/>
          <w:sz w:val="18"/>
          <w:szCs w:val="18"/>
          <w:lang w:val="el-GR" w:eastAsia="el-GR"/>
        </w:rPr>
        <w:t xml:space="preserve">Ως «μονάδα αγοραστικής δύναμης (ΜΑΔ)» νοείται η τεχνητή κοινή νομισματική μονάδα αναφοράς που χρησιμοποιείται στην Ευρωπαϊκή Ένωση για να εκφράσει τον όγκο των οικονομικών συγκεντρωτικών μεγεθών για τους σκοπούς των χωρικών συγκρίσεων με τρόπο ώστε να εξαλείφονται οι διαφορές των επιπέδων τιμών μεταξύ κρατών μελών. Βλ. Κανονισμό του Ευρωπαϊκού Κοινοβουλίου και Συμβουλίου,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vxM</w:instrText>
      </w:r>
      <w:r w:rsidR="001F3A35" w:rsidRPr="004A6D4E">
        <w:rPr>
          <w:lang w:val="el-GR"/>
        </w:rPr>
        <w:instrText>26" \</w:instrText>
      </w:r>
      <w:r w:rsidR="001F3A35">
        <w:instrText>o</w:instrText>
      </w:r>
      <w:r w:rsidR="001F3A35" w:rsidRPr="004A6D4E">
        <w:rPr>
          <w:lang w:val="el-GR"/>
        </w:rPr>
        <w:instrText xml:space="preserve"> "Άνοιγμα/λήψη αρχείου </w:instrText>
      </w:r>
      <w:r w:rsidR="001F3A35">
        <w:instrText>PDF</w:instrText>
      </w:r>
      <w:r w:rsidR="001F3A35" w:rsidRPr="004A6D4E">
        <w:rPr>
          <w:lang w:val="el-GR"/>
        </w:rPr>
        <w:instrText xml:space="preserve"> από την επίσημη ιστοσελίδα </w:instrText>
      </w:r>
      <w:r w:rsidR="001F3A35">
        <w:instrText>eur</w:instrText>
      </w:r>
      <w:r w:rsidR="001F3A35" w:rsidRPr="004A6D4E">
        <w:rPr>
          <w:lang w:val="el-GR"/>
        </w:rPr>
        <w:instrText>-</w:instrText>
      </w:r>
      <w:r w:rsidR="001F3A35">
        <w:instrText>lex</w:instrText>
      </w:r>
      <w:r w:rsidR="001F3A35" w:rsidRPr="004A6D4E">
        <w:rPr>
          <w:lang w:val="el-GR"/>
        </w:rPr>
        <w:instrText>.</w:instrText>
      </w:r>
      <w:r w:rsidR="001F3A35">
        <w:instrText>europa</w:instrText>
      </w:r>
      <w:r w:rsidR="001F3A35" w:rsidRPr="004A6D4E">
        <w:rPr>
          <w:lang w:val="el-GR"/>
        </w:rPr>
        <w:instrText>.</w:instrText>
      </w:r>
      <w:r w:rsidR="001F3A35">
        <w:instrText>eu</w:instrText>
      </w:r>
      <w:r w:rsidR="001F3A35" w:rsidRPr="004A6D4E">
        <w:rPr>
          <w:lang w:val="el-GR"/>
        </w:rPr>
        <w:instrText xml:space="preserve">" </w:instrText>
      </w:r>
      <w:r w:rsidR="001F3A35">
        <w:fldChar w:fldCharType="separate"/>
      </w:r>
      <w:r w:rsidR="00DF070A" w:rsidRPr="00F32F47">
        <w:rPr>
          <w:rStyle w:val="-"/>
          <w:rFonts w:asciiTheme="majorHAnsi" w:eastAsia="Times New Roman" w:hAnsiTheme="majorHAnsi" w:cstheme="majorHAnsi"/>
          <w:sz w:val="18"/>
          <w:szCs w:val="18"/>
          <w:lang w:val="en-GB" w:eastAsia="el-GR"/>
        </w:rPr>
        <w:t>www</w:t>
      </w:r>
      <w:r w:rsidR="00DF070A" w:rsidRPr="00F32F47">
        <w:rPr>
          <w:rStyle w:val="-"/>
          <w:rFonts w:asciiTheme="majorHAnsi" w:eastAsia="Times New Roman" w:hAnsiTheme="majorHAnsi" w:cstheme="majorHAnsi"/>
          <w:sz w:val="18"/>
          <w:szCs w:val="18"/>
          <w:lang w:val="el-GR" w:eastAsia="el-GR"/>
        </w:rPr>
        <w:t>.</w:t>
      </w:r>
      <w:r w:rsidR="00DF070A" w:rsidRPr="00F32F47">
        <w:rPr>
          <w:rStyle w:val="-"/>
          <w:rFonts w:asciiTheme="majorHAnsi" w:eastAsia="Times New Roman" w:hAnsiTheme="majorHAnsi" w:cstheme="majorHAnsi"/>
          <w:sz w:val="18"/>
          <w:szCs w:val="18"/>
          <w:lang w:eastAsia="el-GR"/>
        </w:rPr>
        <w:t>shorturl</w:t>
      </w:r>
      <w:r w:rsidR="00DF070A" w:rsidRPr="00F32F47">
        <w:rPr>
          <w:rStyle w:val="-"/>
          <w:rFonts w:asciiTheme="majorHAnsi" w:eastAsia="Times New Roman" w:hAnsiTheme="majorHAnsi" w:cstheme="majorHAnsi"/>
          <w:sz w:val="18"/>
          <w:szCs w:val="18"/>
          <w:lang w:val="el-GR" w:eastAsia="el-GR"/>
        </w:rPr>
        <w:t>.</w:t>
      </w:r>
      <w:r w:rsidR="00DF070A" w:rsidRPr="00F32F47">
        <w:rPr>
          <w:rStyle w:val="-"/>
          <w:rFonts w:asciiTheme="majorHAnsi" w:eastAsia="Times New Roman" w:hAnsiTheme="majorHAnsi" w:cstheme="majorHAnsi"/>
          <w:sz w:val="18"/>
          <w:szCs w:val="18"/>
          <w:lang w:eastAsia="el-GR"/>
        </w:rPr>
        <w:t>at</w:t>
      </w:r>
      <w:r w:rsidR="00DF070A" w:rsidRPr="00F32F47">
        <w:rPr>
          <w:rStyle w:val="-"/>
          <w:rFonts w:asciiTheme="majorHAnsi" w:eastAsia="Times New Roman" w:hAnsiTheme="majorHAnsi" w:cstheme="majorHAnsi"/>
          <w:sz w:val="18"/>
          <w:szCs w:val="18"/>
          <w:lang w:val="el-GR" w:eastAsia="el-GR"/>
        </w:rPr>
        <w:t>/</w:t>
      </w:r>
      <w:r w:rsidR="00DF070A" w:rsidRPr="00F32F47">
        <w:rPr>
          <w:rStyle w:val="-"/>
          <w:rFonts w:asciiTheme="majorHAnsi" w:eastAsia="Times New Roman" w:hAnsiTheme="majorHAnsi" w:cstheme="majorHAnsi"/>
          <w:sz w:val="18"/>
          <w:szCs w:val="18"/>
          <w:lang w:eastAsia="el-GR"/>
        </w:rPr>
        <w:t>vxM</w:t>
      </w:r>
      <w:r w:rsidR="00DF070A" w:rsidRPr="00F32F47">
        <w:rPr>
          <w:rStyle w:val="-"/>
          <w:rFonts w:asciiTheme="majorHAnsi" w:eastAsia="Times New Roman" w:hAnsiTheme="majorHAnsi" w:cstheme="majorHAnsi"/>
          <w:sz w:val="18"/>
          <w:szCs w:val="18"/>
          <w:lang w:val="el-GR" w:eastAsia="el-GR"/>
        </w:rPr>
        <w:t>26</w:t>
      </w:r>
      <w:r w:rsidR="001F3A35">
        <w:rPr>
          <w:rStyle w:val="-"/>
          <w:rFonts w:asciiTheme="majorHAnsi" w:eastAsia="Times New Roman" w:hAnsiTheme="majorHAnsi" w:cstheme="majorHAnsi"/>
          <w:sz w:val="18"/>
          <w:szCs w:val="18"/>
          <w:lang w:val="el-GR" w:eastAsia="el-GR"/>
        </w:rPr>
        <w:fldChar w:fldCharType="end"/>
      </w:r>
      <w:r w:rsidR="00DF070A" w:rsidRPr="00DF070A">
        <w:rPr>
          <w:rFonts w:asciiTheme="majorHAnsi" w:eastAsia="Times New Roman" w:hAnsiTheme="majorHAnsi" w:cstheme="majorHAnsi"/>
          <w:sz w:val="18"/>
          <w:szCs w:val="18"/>
          <w:lang w:val="el-GR" w:eastAsia="el-GR"/>
        </w:rPr>
        <w:t>.</w:t>
      </w:r>
    </w:p>
  </w:footnote>
  <w:footnote w:id="12">
    <w:p w14:paraId="21AA477A" w14:textId="269585AA" w:rsidR="006715DA" w:rsidRPr="000E4EBC" w:rsidRDefault="006715DA" w:rsidP="00AD6138">
      <w:pPr>
        <w:spacing w:after="60" w:line="240" w:lineRule="auto"/>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Ως «μονάδα αγοραστικής δύναμης (ΜΑΔ)» νοείται η τεχνητή κοινή νομισματική μονάδα αναφοράς που χρησιμοποιείται στην Ευρωπαϊκή Ένωση για να εκφράσει τον όγκο των οικονομικών συγκεντρωτικών μεγεθών για τους σκοπούς των χωρικών συγκρίσεων με τρόπο ώστε να εξαλείφονται οι διαφορές των επιπέδων τιμών μεταξύ κρατών μελών. Βλ. Κανονισμό του Ευρωπαϊκού Κοινοβουλίου και Συμβουλίου,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vxM</w:instrText>
      </w:r>
      <w:r w:rsidR="001F3A35" w:rsidRPr="004A6D4E">
        <w:rPr>
          <w:lang w:val="el-GR"/>
        </w:rPr>
        <w:instrText>26" \</w:instrText>
      </w:r>
      <w:r w:rsidR="001F3A35">
        <w:instrText>o</w:instrText>
      </w:r>
      <w:r w:rsidR="001F3A35" w:rsidRPr="004A6D4E">
        <w:rPr>
          <w:lang w:val="el-GR"/>
        </w:rPr>
        <w:instrText xml:space="preserve"> "Άνοιγμα/λήψη αρχείου </w:instrText>
      </w:r>
      <w:r w:rsidR="001F3A35">
        <w:instrText>PDF</w:instrText>
      </w:r>
      <w:r w:rsidR="001F3A35" w:rsidRPr="004A6D4E">
        <w:rPr>
          <w:lang w:val="el-GR"/>
        </w:rPr>
        <w:instrText xml:space="preserve"> από την επίσημη ιστοσελίδα </w:instrText>
      </w:r>
      <w:r w:rsidR="001F3A35">
        <w:instrText>eur</w:instrText>
      </w:r>
      <w:r w:rsidR="001F3A35" w:rsidRPr="004A6D4E">
        <w:rPr>
          <w:lang w:val="el-GR"/>
        </w:rPr>
        <w:instrText>-</w:instrText>
      </w:r>
      <w:r w:rsidR="001F3A35">
        <w:instrText>lex</w:instrText>
      </w:r>
      <w:r w:rsidR="001F3A35" w:rsidRPr="004A6D4E">
        <w:rPr>
          <w:lang w:val="el-GR"/>
        </w:rPr>
        <w:instrText>.</w:instrText>
      </w:r>
      <w:r w:rsidR="001F3A35">
        <w:instrText>europa</w:instrText>
      </w:r>
      <w:r w:rsidR="001F3A35" w:rsidRPr="004A6D4E">
        <w:rPr>
          <w:lang w:val="el-GR"/>
        </w:rPr>
        <w:instrText>.</w:instrText>
      </w:r>
      <w:r w:rsidR="001F3A35">
        <w:instrText>eu</w:instrText>
      </w:r>
      <w:r w:rsidR="001F3A35" w:rsidRPr="004A6D4E">
        <w:rPr>
          <w:lang w:val="el-GR"/>
        </w:rPr>
        <w:instrText xml:space="preserve">" </w:instrText>
      </w:r>
      <w:r w:rsidR="001F3A35">
        <w:fldChar w:fldCharType="separate"/>
      </w:r>
      <w:r w:rsidR="00DF070A" w:rsidRPr="00F32F47">
        <w:rPr>
          <w:rStyle w:val="-"/>
          <w:rFonts w:asciiTheme="majorHAnsi" w:eastAsia="Times New Roman" w:hAnsiTheme="majorHAnsi" w:cstheme="majorHAnsi"/>
          <w:sz w:val="18"/>
          <w:szCs w:val="18"/>
          <w:lang w:val="en-GB" w:eastAsia="el-GR"/>
        </w:rPr>
        <w:t>www</w:t>
      </w:r>
      <w:r w:rsidR="00DF070A" w:rsidRPr="00F32F47">
        <w:rPr>
          <w:rStyle w:val="-"/>
          <w:rFonts w:asciiTheme="majorHAnsi" w:eastAsia="Times New Roman" w:hAnsiTheme="majorHAnsi" w:cstheme="majorHAnsi"/>
          <w:sz w:val="18"/>
          <w:szCs w:val="18"/>
          <w:lang w:val="el-GR" w:eastAsia="el-GR"/>
        </w:rPr>
        <w:t>.</w:t>
      </w:r>
      <w:r w:rsidR="00DF070A" w:rsidRPr="00F32F47">
        <w:rPr>
          <w:rStyle w:val="-"/>
          <w:rFonts w:asciiTheme="majorHAnsi" w:eastAsia="Times New Roman" w:hAnsiTheme="majorHAnsi" w:cstheme="majorHAnsi"/>
          <w:sz w:val="18"/>
          <w:szCs w:val="18"/>
          <w:lang w:eastAsia="el-GR"/>
        </w:rPr>
        <w:t>shorturl</w:t>
      </w:r>
      <w:r w:rsidR="00DF070A" w:rsidRPr="00F32F47">
        <w:rPr>
          <w:rStyle w:val="-"/>
          <w:rFonts w:asciiTheme="majorHAnsi" w:eastAsia="Times New Roman" w:hAnsiTheme="majorHAnsi" w:cstheme="majorHAnsi"/>
          <w:sz w:val="18"/>
          <w:szCs w:val="18"/>
          <w:lang w:val="el-GR" w:eastAsia="el-GR"/>
        </w:rPr>
        <w:t>.</w:t>
      </w:r>
      <w:r w:rsidR="00DF070A" w:rsidRPr="00F32F47">
        <w:rPr>
          <w:rStyle w:val="-"/>
          <w:rFonts w:asciiTheme="majorHAnsi" w:eastAsia="Times New Roman" w:hAnsiTheme="majorHAnsi" w:cstheme="majorHAnsi"/>
          <w:sz w:val="18"/>
          <w:szCs w:val="18"/>
          <w:lang w:eastAsia="el-GR"/>
        </w:rPr>
        <w:t>at</w:t>
      </w:r>
      <w:r w:rsidR="00DF070A" w:rsidRPr="00F32F47">
        <w:rPr>
          <w:rStyle w:val="-"/>
          <w:rFonts w:asciiTheme="majorHAnsi" w:eastAsia="Times New Roman" w:hAnsiTheme="majorHAnsi" w:cstheme="majorHAnsi"/>
          <w:sz w:val="18"/>
          <w:szCs w:val="18"/>
          <w:lang w:val="el-GR" w:eastAsia="el-GR"/>
        </w:rPr>
        <w:t>/</w:t>
      </w:r>
      <w:r w:rsidR="00DF070A" w:rsidRPr="00F32F47">
        <w:rPr>
          <w:rStyle w:val="-"/>
          <w:rFonts w:asciiTheme="majorHAnsi" w:eastAsia="Times New Roman" w:hAnsiTheme="majorHAnsi" w:cstheme="majorHAnsi"/>
          <w:sz w:val="18"/>
          <w:szCs w:val="18"/>
          <w:lang w:eastAsia="el-GR"/>
        </w:rPr>
        <w:t>vxM</w:t>
      </w:r>
      <w:r w:rsidR="00DF070A" w:rsidRPr="00F32F47">
        <w:rPr>
          <w:rStyle w:val="-"/>
          <w:rFonts w:asciiTheme="majorHAnsi" w:eastAsia="Times New Roman" w:hAnsiTheme="majorHAnsi" w:cstheme="majorHAnsi"/>
          <w:sz w:val="18"/>
          <w:szCs w:val="18"/>
          <w:lang w:val="el-GR" w:eastAsia="el-GR"/>
        </w:rPr>
        <w:t>26</w:t>
      </w:r>
      <w:r w:rsidR="001F3A35">
        <w:rPr>
          <w:rStyle w:val="-"/>
          <w:rFonts w:asciiTheme="majorHAnsi" w:eastAsia="Times New Roman" w:hAnsiTheme="majorHAnsi" w:cstheme="majorHAnsi"/>
          <w:sz w:val="18"/>
          <w:szCs w:val="18"/>
          <w:lang w:val="el-GR" w:eastAsia="el-GR"/>
        </w:rPr>
        <w:fldChar w:fldCharType="end"/>
      </w:r>
      <w:r w:rsidR="00DF070A" w:rsidRPr="00DF070A">
        <w:rPr>
          <w:rFonts w:asciiTheme="majorHAnsi" w:eastAsia="Times New Roman" w:hAnsiTheme="majorHAnsi" w:cstheme="majorHAnsi"/>
          <w:sz w:val="18"/>
          <w:szCs w:val="18"/>
          <w:lang w:val="el-GR" w:eastAsia="el-GR"/>
        </w:rPr>
        <w:t>.</w:t>
      </w:r>
    </w:p>
  </w:footnote>
  <w:footnote w:id="13">
    <w:p w14:paraId="2F89FA4D" w14:textId="0A95E0BA" w:rsidR="006715DA" w:rsidRPr="000E4EBC" w:rsidRDefault="006715DA" w:rsidP="00AD6138">
      <w:pPr>
        <w:spacing w:after="60" w:line="240" w:lineRule="auto"/>
        <w:ind w:right="142"/>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Βλέπε: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hzIW</w:instrText>
      </w:r>
      <w:r w:rsidR="001F3A35" w:rsidRPr="004A6D4E">
        <w:rPr>
          <w:lang w:val="el-GR"/>
        </w:rPr>
        <w:instrText>1" \</w:instrText>
      </w:r>
      <w:r w:rsidR="001F3A35">
        <w:instrText>o</w:instrText>
      </w:r>
      <w:r w:rsidR="001F3A35" w:rsidRPr="004A6D4E">
        <w:rPr>
          <w:lang w:val="el-GR"/>
        </w:rPr>
        <w:instrText xml:space="preserve"> "Άνοιγμα/λήψη εικόνας από την επίσημη ιστοσελίδα </w:instrText>
      </w:r>
      <w:r w:rsidR="001F3A35">
        <w:instrText>ec</w:instrText>
      </w:r>
      <w:r w:rsidR="001F3A35" w:rsidRPr="004A6D4E">
        <w:rPr>
          <w:lang w:val="el-GR"/>
        </w:rPr>
        <w:instrText>.</w:instrText>
      </w:r>
      <w:r w:rsidR="001F3A35">
        <w:instrText>europa</w:instrText>
      </w:r>
      <w:r w:rsidR="001F3A35" w:rsidRPr="004A6D4E">
        <w:rPr>
          <w:lang w:val="el-GR"/>
        </w:rPr>
        <w:instrText>.</w:instrText>
      </w:r>
      <w:r w:rsidR="001F3A35">
        <w:instrText>eu</w:instrText>
      </w:r>
      <w:r w:rsidR="001F3A35" w:rsidRPr="004A6D4E">
        <w:rPr>
          <w:lang w:val="el-GR"/>
        </w:rPr>
        <w:instrText xml:space="preserve">" </w:instrText>
      </w:r>
      <w:r w:rsidR="001F3A35">
        <w:fldChar w:fldCharType="separate"/>
      </w:r>
      <w:r w:rsidR="00AD6138" w:rsidRPr="00F32F47">
        <w:rPr>
          <w:rStyle w:val="-"/>
          <w:rFonts w:asciiTheme="majorHAnsi" w:hAnsiTheme="majorHAnsi" w:cstheme="majorHAnsi"/>
          <w:sz w:val="18"/>
          <w:szCs w:val="18"/>
          <w:lang w:val="en-GB"/>
        </w:rPr>
        <w:t>www</w:t>
      </w:r>
      <w:r w:rsidR="00AD6138" w:rsidRPr="00AD6138">
        <w:rPr>
          <w:rStyle w:val="-"/>
          <w:rFonts w:asciiTheme="majorHAnsi" w:hAnsiTheme="majorHAnsi" w:cstheme="majorHAnsi"/>
          <w:sz w:val="18"/>
          <w:szCs w:val="18"/>
          <w:lang w:val="el-GR"/>
        </w:rPr>
        <w:t>.</w:t>
      </w:r>
      <w:r w:rsidR="00AD6138" w:rsidRPr="00F32F47">
        <w:rPr>
          <w:rStyle w:val="-"/>
          <w:rFonts w:asciiTheme="majorHAnsi" w:hAnsiTheme="majorHAnsi" w:cstheme="majorHAnsi"/>
          <w:sz w:val="18"/>
          <w:szCs w:val="18"/>
        </w:rPr>
        <w:t>shorturl</w:t>
      </w:r>
      <w:r w:rsidR="00AD6138" w:rsidRPr="00AD6138">
        <w:rPr>
          <w:rStyle w:val="-"/>
          <w:rFonts w:asciiTheme="majorHAnsi" w:hAnsiTheme="majorHAnsi" w:cstheme="majorHAnsi"/>
          <w:sz w:val="18"/>
          <w:szCs w:val="18"/>
          <w:lang w:val="el-GR"/>
        </w:rPr>
        <w:t>.</w:t>
      </w:r>
      <w:r w:rsidR="00AD6138" w:rsidRPr="00F32F47">
        <w:rPr>
          <w:rStyle w:val="-"/>
          <w:rFonts w:asciiTheme="majorHAnsi" w:hAnsiTheme="majorHAnsi" w:cstheme="majorHAnsi"/>
          <w:sz w:val="18"/>
          <w:szCs w:val="18"/>
        </w:rPr>
        <w:t>at</w:t>
      </w:r>
      <w:r w:rsidR="00AD6138" w:rsidRPr="00AD6138">
        <w:rPr>
          <w:rStyle w:val="-"/>
          <w:rFonts w:asciiTheme="majorHAnsi" w:hAnsiTheme="majorHAnsi" w:cstheme="majorHAnsi"/>
          <w:sz w:val="18"/>
          <w:szCs w:val="18"/>
          <w:lang w:val="el-GR"/>
        </w:rPr>
        <w:t>/</w:t>
      </w:r>
      <w:r w:rsidR="00AD6138" w:rsidRPr="00F32F47">
        <w:rPr>
          <w:rStyle w:val="-"/>
          <w:rFonts w:asciiTheme="majorHAnsi" w:hAnsiTheme="majorHAnsi" w:cstheme="majorHAnsi"/>
          <w:sz w:val="18"/>
          <w:szCs w:val="18"/>
        </w:rPr>
        <w:t>hzIW</w:t>
      </w:r>
      <w:r w:rsidR="00AD6138" w:rsidRPr="00AD6138">
        <w:rPr>
          <w:rStyle w:val="-"/>
          <w:rFonts w:asciiTheme="majorHAnsi" w:hAnsiTheme="majorHAnsi" w:cstheme="majorHAnsi"/>
          <w:sz w:val="18"/>
          <w:szCs w:val="18"/>
          <w:lang w:val="el-GR"/>
        </w:rPr>
        <w:t>1</w:t>
      </w:r>
      <w:r w:rsidR="001F3A35">
        <w:rPr>
          <w:rStyle w:val="-"/>
          <w:rFonts w:asciiTheme="majorHAnsi" w:hAnsiTheme="majorHAnsi" w:cstheme="majorHAnsi"/>
          <w:sz w:val="18"/>
          <w:szCs w:val="18"/>
          <w:lang w:val="el-GR"/>
        </w:rPr>
        <w:fldChar w:fldCharType="end"/>
      </w:r>
      <w:r w:rsidR="00AD6138" w:rsidRPr="00AD6138">
        <w:rPr>
          <w:rFonts w:asciiTheme="majorHAnsi" w:hAnsiTheme="majorHAnsi" w:cstheme="majorHAnsi"/>
          <w:sz w:val="18"/>
          <w:szCs w:val="18"/>
          <w:lang w:val="el-GR"/>
        </w:rPr>
        <w:t>.</w:t>
      </w:r>
    </w:p>
  </w:footnote>
  <w:footnote w:id="14">
    <w:p w14:paraId="37265B20" w14:textId="4B167B00" w:rsidR="006715DA" w:rsidRPr="00F36C04" w:rsidRDefault="006715DA" w:rsidP="000E4EBC">
      <w:pPr>
        <w:pStyle w:val="a7"/>
        <w:spacing w:after="60"/>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Πηγή στοιχείων: Eurostat, </w:t>
      </w:r>
      <w:r w:rsidRPr="000E4EBC">
        <w:rPr>
          <w:rFonts w:asciiTheme="majorHAnsi" w:hAnsiTheme="majorHAnsi" w:cstheme="majorHAnsi"/>
          <w:sz w:val="18"/>
          <w:szCs w:val="18"/>
        </w:rPr>
        <w:t>EU</w:t>
      </w:r>
      <w:r w:rsidRPr="000E4EBC">
        <w:rPr>
          <w:rFonts w:asciiTheme="majorHAnsi" w:hAnsiTheme="majorHAnsi" w:cstheme="majorHAnsi"/>
          <w:sz w:val="18"/>
          <w:szCs w:val="18"/>
          <w:lang w:val="el-GR"/>
        </w:rPr>
        <w:t xml:space="preserve">-SILC, διαθέσιμα στη διεύθυνση: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https</w:instrText>
      </w:r>
      <w:r w:rsidR="001F3A35" w:rsidRPr="004A6D4E">
        <w:rPr>
          <w:lang w:val="el-GR"/>
        </w:rPr>
        <w:instrText>://</w:instrText>
      </w:r>
      <w:r w:rsidR="001F3A35">
        <w:instrText>ec</w:instrText>
      </w:r>
      <w:r w:rsidR="001F3A35" w:rsidRPr="004A6D4E">
        <w:rPr>
          <w:lang w:val="el-GR"/>
        </w:rPr>
        <w:instrText>.</w:instrText>
      </w:r>
      <w:r w:rsidR="001F3A35">
        <w:instrText>europa</w:instrText>
      </w:r>
      <w:r w:rsidR="001F3A35" w:rsidRPr="004A6D4E">
        <w:rPr>
          <w:lang w:val="el-GR"/>
        </w:rPr>
        <w:instrText>.</w:instrText>
      </w:r>
      <w:r w:rsidR="001F3A35">
        <w:instrText>eu</w:instrText>
      </w:r>
      <w:r w:rsidR="001F3A35" w:rsidRPr="004A6D4E">
        <w:rPr>
          <w:lang w:val="el-GR"/>
        </w:rPr>
        <w:instrText>/</w:instrText>
      </w:r>
      <w:r w:rsidR="001F3A35">
        <w:instrText>eurostat</w:instrText>
      </w:r>
      <w:r w:rsidR="001F3A35" w:rsidRPr="004A6D4E">
        <w:rPr>
          <w:lang w:val="el-GR"/>
        </w:rPr>
        <w:instrText>/</w:instrText>
      </w:r>
      <w:r w:rsidR="001F3A35">
        <w:instrText>data</w:instrText>
      </w:r>
      <w:r w:rsidR="001F3A35" w:rsidRPr="004A6D4E">
        <w:rPr>
          <w:lang w:val="el-GR"/>
        </w:rPr>
        <w:instrText>/</w:instrText>
      </w:r>
      <w:r w:rsidR="001F3A35">
        <w:instrText>database</w:instrText>
      </w:r>
      <w:r w:rsidR="001F3A35" w:rsidRPr="004A6D4E">
        <w:rPr>
          <w:lang w:val="el-GR"/>
        </w:rPr>
        <w:instrText xml:space="preserve">" </w:instrText>
      </w:r>
      <w:r w:rsidR="001F3A35">
        <w:fldChar w:fldCharType="separate"/>
      </w:r>
      <w:r w:rsidR="00F36C04" w:rsidRPr="00F32F47">
        <w:rPr>
          <w:rStyle w:val="-"/>
          <w:rFonts w:asciiTheme="majorHAnsi" w:hAnsiTheme="majorHAnsi" w:cstheme="majorHAnsi"/>
          <w:sz w:val="18"/>
          <w:szCs w:val="18"/>
          <w:lang w:val="el-GR"/>
        </w:rPr>
        <w:t>https://ec.europa.eu/eurostat/data/database</w:t>
      </w:r>
      <w:r w:rsidR="001F3A35">
        <w:rPr>
          <w:rStyle w:val="-"/>
          <w:rFonts w:asciiTheme="majorHAnsi" w:hAnsiTheme="majorHAnsi" w:cstheme="majorHAnsi"/>
          <w:sz w:val="18"/>
          <w:szCs w:val="18"/>
          <w:lang w:val="el-GR"/>
        </w:rPr>
        <w:fldChar w:fldCharType="end"/>
      </w:r>
      <w:r w:rsidR="00F36C04" w:rsidRPr="00F36C04">
        <w:rPr>
          <w:rFonts w:asciiTheme="majorHAnsi" w:hAnsiTheme="majorHAnsi" w:cstheme="majorHAnsi"/>
          <w:sz w:val="18"/>
          <w:szCs w:val="18"/>
          <w:lang w:val="el-GR"/>
        </w:rPr>
        <w:t>.</w:t>
      </w:r>
    </w:p>
  </w:footnote>
  <w:footnote w:id="15">
    <w:p w14:paraId="5582A361" w14:textId="38799248" w:rsidR="006715DA" w:rsidRPr="00F36C04" w:rsidRDefault="006715DA" w:rsidP="000E4EBC">
      <w:pPr>
        <w:pStyle w:val="a7"/>
        <w:spacing w:after="60"/>
        <w:jc w:val="both"/>
        <w:rPr>
          <w:rFonts w:asciiTheme="majorHAnsi" w:hAnsiTheme="majorHAnsi" w:cstheme="majorHAnsi"/>
          <w:sz w:val="18"/>
          <w:szCs w:val="18"/>
          <w:lang w:val="el-GR"/>
        </w:rPr>
      </w:pPr>
      <w:r w:rsidRPr="000E4EBC">
        <w:rPr>
          <w:rFonts w:asciiTheme="majorHAnsi" w:hAnsiTheme="majorHAnsi" w:cstheme="majorHAnsi"/>
          <w:sz w:val="18"/>
          <w:szCs w:val="18"/>
          <w:lang w:val="el-GR"/>
        </w:rPr>
        <w:footnoteRef/>
      </w:r>
      <w:r w:rsidRPr="000E4EBC">
        <w:rPr>
          <w:rFonts w:asciiTheme="majorHAnsi" w:hAnsiTheme="majorHAnsi" w:cstheme="majorHAnsi"/>
          <w:sz w:val="18"/>
          <w:szCs w:val="18"/>
          <w:lang w:val="el-GR"/>
        </w:rPr>
        <w:t xml:space="preserve"> Στην Ελλάδα και στην Κύπρο καταγράφονται τα μικρότερα ποσοστά δαπανών, μεταξύ των χωρών της Ε.Ε. για κοινωνικές παροχές σε είδος, ενώ η Δανία και η Σουηδία, στο άλλο άκρο της κατανομής, διαθέτουν</w:t>
      </w:r>
      <w:r w:rsidR="008E7B49">
        <w:rPr>
          <w:rFonts w:asciiTheme="majorHAnsi" w:hAnsiTheme="majorHAnsi" w:cstheme="majorHAnsi"/>
          <w:sz w:val="18"/>
          <w:szCs w:val="18"/>
          <w:lang w:val="el-GR"/>
        </w:rPr>
        <w:t xml:space="preserve"> </w:t>
      </w:r>
      <w:r w:rsidRPr="000E4EBC">
        <w:rPr>
          <w:rFonts w:asciiTheme="majorHAnsi" w:hAnsiTheme="majorHAnsi" w:cstheme="majorHAnsi"/>
          <w:sz w:val="18"/>
          <w:szCs w:val="18"/>
          <w:lang w:val="el-GR"/>
        </w:rPr>
        <w:t>τα υψηλότερα στην Ευρώπη ποσοστά των προϋπολογισμών κοινωνικής προστασίας, για παροχές σε είδος.</w:t>
      </w:r>
      <w:r w:rsidR="00F36C04" w:rsidRPr="00F36C04">
        <w:rPr>
          <w:rFonts w:asciiTheme="majorHAnsi" w:hAnsiTheme="majorHAnsi" w:cstheme="majorHAnsi"/>
          <w:sz w:val="18"/>
          <w:szCs w:val="18"/>
          <w:lang w:val="el-GR"/>
        </w:rPr>
        <w:t xml:space="preserve"> </w:t>
      </w:r>
      <w:r w:rsidRPr="000E4EBC">
        <w:rPr>
          <w:rFonts w:asciiTheme="majorHAnsi" w:hAnsiTheme="majorHAnsi" w:cstheme="majorHAnsi"/>
          <w:sz w:val="18"/>
          <w:szCs w:val="18"/>
          <w:lang w:val="el-GR"/>
        </w:rPr>
        <w:t xml:space="preserve">Για περισσότερες πληροφορίες δες εδώ: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eowX</w:instrText>
      </w:r>
      <w:r w:rsidR="001F3A35" w:rsidRPr="004A6D4E">
        <w:rPr>
          <w:lang w:val="el-GR"/>
        </w:rPr>
        <w:instrText xml:space="preserve">2" </w:instrText>
      </w:r>
      <w:r w:rsidR="001F3A35">
        <w:fldChar w:fldCharType="separate"/>
      </w:r>
      <w:r w:rsidR="00F36C04" w:rsidRPr="00F32F47">
        <w:rPr>
          <w:rStyle w:val="-"/>
          <w:rFonts w:asciiTheme="majorHAnsi" w:hAnsiTheme="majorHAnsi" w:cstheme="majorHAnsi"/>
          <w:sz w:val="18"/>
          <w:szCs w:val="18"/>
          <w:lang w:val="en-GB"/>
        </w:rPr>
        <w:t>www</w:t>
      </w:r>
      <w:r w:rsidR="00F36C04" w:rsidRPr="00F36C04">
        <w:rPr>
          <w:rStyle w:val="-"/>
          <w:rFonts w:asciiTheme="majorHAnsi" w:hAnsiTheme="majorHAnsi" w:cstheme="majorHAnsi"/>
          <w:sz w:val="18"/>
          <w:szCs w:val="18"/>
          <w:lang w:val="el-GR"/>
        </w:rPr>
        <w:t>.</w:t>
      </w:r>
      <w:r w:rsidR="00F36C04" w:rsidRPr="00F32F47">
        <w:rPr>
          <w:rStyle w:val="-"/>
          <w:rFonts w:asciiTheme="majorHAnsi" w:hAnsiTheme="majorHAnsi" w:cstheme="majorHAnsi"/>
          <w:sz w:val="18"/>
          <w:szCs w:val="18"/>
          <w:lang w:val="el-GR"/>
        </w:rPr>
        <w:t>shorturl.at/eowX2</w:t>
      </w:r>
      <w:r w:rsidR="001F3A35">
        <w:rPr>
          <w:rStyle w:val="-"/>
          <w:rFonts w:asciiTheme="majorHAnsi" w:hAnsiTheme="majorHAnsi" w:cstheme="majorHAnsi"/>
          <w:sz w:val="18"/>
          <w:szCs w:val="18"/>
          <w:lang w:val="el-GR"/>
        </w:rPr>
        <w:fldChar w:fldCharType="end"/>
      </w:r>
      <w:r w:rsidR="00F36C04" w:rsidRPr="00F36C04">
        <w:rPr>
          <w:rFonts w:asciiTheme="majorHAnsi" w:hAnsiTheme="majorHAnsi" w:cstheme="majorHAnsi"/>
          <w:sz w:val="18"/>
          <w:szCs w:val="18"/>
          <w:lang w:val="el-GR"/>
        </w:rPr>
        <w:t>.</w:t>
      </w:r>
    </w:p>
  </w:footnote>
  <w:footnote w:id="16">
    <w:p w14:paraId="39C2CA3D" w14:textId="7E0F2E41" w:rsidR="006715DA" w:rsidRPr="000E4EBC" w:rsidRDefault="006715DA" w:rsidP="004F338E">
      <w:pPr>
        <w:spacing w:after="60" w:line="240" w:lineRule="auto"/>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w:t>
      </w:r>
      <w:r w:rsidRPr="000E4EBC">
        <w:rPr>
          <w:rFonts w:asciiTheme="majorHAnsi" w:eastAsia="Times New Roman" w:hAnsiTheme="majorHAnsi" w:cstheme="majorHAnsi"/>
          <w:sz w:val="18"/>
          <w:szCs w:val="18"/>
          <w:lang w:val="el-GR" w:eastAsia="el-GR"/>
        </w:rPr>
        <w:t xml:space="preserve">Ως «μονάδα αγοραστικής δύναμης (ΜΑΔ)» νοείται η τεχνητή κοινή νομισματική μονάδα αναφοράς που χρησιμοποιείται στην Ευρωπαϊκή Ένωση για να εκφράσει τον όγκο των οικονομικών συγκεντρωτικών μεγεθών για τους σκοπούς των χωρικών συγκρίσεων με τρόπο ώστε να εξαλείφονται οι διαφορές των επιπέδων τιμών μεταξύ κρατών μελών. Βλ. Κανονισμό του Ευρωπαϊκού Κοινοβουλίου και Συμβουλίου,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vxM</w:instrText>
      </w:r>
      <w:r w:rsidR="001F3A35" w:rsidRPr="004A6D4E">
        <w:rPr>
          <w:lang w:val="el-GR"/>
        </w:rPr>
        <w:instrText>26" \</w:instrText>
      </w:r>
      <w:r w:rsidR="001F3A35">
        <w:instrText>o</w:instrText>
      </w:r>
      <w:r w:rsidR="001F3A35" w:rsidRPr="004A6D4E">
        <w:rPr>
          <w:lang w:val="el-GR"/>
        </w:rPr>
        <w:instrText xml:space="preserve"> "Άνοιγμα/λήψη αρχείου </w:instrText>
      </w:r>
      <w:r w:rsidR="001F3A35">
        <w:instrText>PDF</w:instrText>
      </w:r>
      <w:r w:rsidR="001F3A35" w:rsidRPr="004A6D4E">
        <w:rPr>
          <w:lang w:val="el-GR"/>
        </w:rPr>
        <w:instrText xml:space="preserve"> από την επίσημη ιστοσελίδα </w:instrText>
      </w:r>
      <w:r w:rsidR="001F3A35">
        <w:instrText>eur</w:instrText>
      </w:r>
      <w:r w:rsidR="001F3A35" w:rsidRPr="004A6D4E">
        <w:rPr>
          <w:lang w:val="el-GR"/>
        </w:rPr>
        <w:instrText>-</w:instrText>
      </w:r>
      <w:r w:rsidR="001F3A35">
        <w:instrText>lex</w:instrText>
      </w:r>
      <w:r w:rsidR="001F3A35" w:rsidRPr="004A6D4E">
        <w:rPr>
          <w:lang w:val="el-GR"/>
        </w:rPr>
        <w:instrText>.</w:instrText>
      </w:r>
      <w:r w:rsidR="001F3A35">
        <w:instrText>europa</w:instrText>
      </w:r>
      <w:r w:rsidR="001F3A35" w:rsidRPr="004A6D4E">
        <w:rPr>
          <w:lang w:val="el-GR"/>
        </w:rPr>
        <w:instrText>.</w:instrText>
      </w:r>
      <w:r w:rsidR="001F3A35">
        <w:instrText>eu</w:instrText>
      </w:r>
      <w:r w:rsidR="001F3A35" w:rsidRPr="004A6D4E">
        <w:rPr>
          <w:lang w:val="el-GR"/>
        </w:rPr>
        <w:instrText xml:space="preserve">" </w:instrText>
      </w:r>
      <w:r w:rsidR="001F3A35">
        <w:fldChar w:fldCharType="separate"/>
      </w:r>
      <w:r w:rsidR="00B62042" w:rsidRPr="00F32F47">
        <w:rPr>
          <w:rStyle w:val="-"/>
          <w:rFonts w:asciiTheme="majorHAnsi" w:eastAsia="Times New Roman" w:hAnsiTheme="majorHAnsi" w:cstheme="majorHAnsi"/>
          <w:sz w:val="18"/>
          <w:szCs w:val="18"/>
          <w:lang w:val="en-GB" w:eastAsia="el-GR"/>
        </w:rPr>
        <w:t>www</w:t>
      </w:r>
      <w:r w:rsidR="00B62042" w:rsidRPr="00F32F47">
        <w:rPr>
          <w:rStyle w:val="-"/>
          <w:rFonts w:asciiTheme="majorHAnsi" w:eastAsia="Times New Roman" w:hAnsiTheme="majorHAnsi" w:cstheme="majorHAnsi"/>
          <w:sz w:val="18"/>
          <w:szCs w:val="18"/>
          <w:lang w:val="el-GR" w:eastAsia="el-GR"/>
        </w:rPr>
        <w:t>.</w:t>
      </w:r>
      <w:r w:rsidR="00B62042" w:rsidRPr="00F32F47">
        <w:rPr>
          <w:rStyle w:val="-"/>
          <w:rFonts w:asciiTheme="majorHAnsi" w:eastAsia="Times New Roman" w:hAnsiTheme="majorHAnsi" w:cstheme="majorHAnsi"/>
          <w:sz w:val="18"/>
          <w:szCs w:val="18"/>
          <w:lang w:eastAsia="el-GR"/>
        </w:rPr>
        <w:t>shorturl</w:t>
      </w:r>
      <w:r w:rsidR="00B62042" w:rsidRPr="00F32F47">
        <w:rPr>
          <w:rStyle w:val="-"/>
          <w:rFonts w:asciiTheme="majorHAnsi" w:eastAsia="Times New Roman" w:hAnsiTheme="majorHAnsi" w:cstheme="majorHAnsi"/>
          <w:sz w:val="18"/>
          <w:szCs w:val="18"/>
          <w:lang w:val="el-GR" w:eastAsia="el-GR"/>
        </w:rPr>
        <w:t>.</w:t>
      </w:r>
      <w:r w:rsidR="00B62042" w:rsidRPr="00F32F47">
        <w:rPr>
          <w:rStyle w:val="-"/>
          <w:rFonts w:asciiTheme="majorHAnsi" w:eastAsia="Times New Roman" w:hAnsiTheme="majorHAnsi" w:cstheme="majorHAnsi"/>
          <w:sz w:val="18"/>
          <w:szCs w:val="18"/>
          <w:lang w:eastAsia="el-GR"/>
        </w:rPr>
        <w:t>at</w:t>
      </w:r>
      <w:r w:rsidR="00B62042" w:rsidRPr="00F32F47">
        <w:rPr>
          <w:rStyle w:val="-"/>
          <w:rFonts w:asciiTheme="majorHAnsi" w:eastAsia="Times New Roman" w:hAnsiTheme="majorHAnsi" w:cstheme="majorHAnsi"/>
          <w:sz w:val="18"/>
          <w:szCs w:val="18"/>
          <w:lang w:val="el-GR" w:eastAsia="el-GR"/>
        </w:rPr>
        <w:t>/</w:t>
      </w:r>
      <w:r w:rsidR="00B62042" w:rsidRPr="00F32F47">
        <w:rPr>
          <w:rStyle w:val="-"/>
          <w:rFonts w:asciiTheme="majorHAnsi" w:eastAsia="Times New Roman" w:hAnsiTheme="majorHAnsi" w:cstheme="majorHAnsi"/>
          <w:sz w:val="18"/>
          <w:szCs w:val="18"/>
          <w:lang w:eastAsia="el-GR"/>
        </w:rPr>
        <w:t>vxM</w:t>
      </w:r>
      <w:r w:rsidR="00B62042" w:rsidRPr="00F32F47">
        <w:rPr>
          <w:rStyle w:val="-"/>
          <w:rFonts w:asciiTheme="majorHAnsi" w:eastAsia="Times New Roman" w:hAnsiTheme="majorHAnsi" w:cstheme="majorHAnsi"/>
          <w:sz w:val="18"/>
          <w:szCs w:val="18"/>
          <w:lang w:val="el-GR" w:eastAsia="el-GR"/>
        </w:rPr>
        <w:t>26</w:t>
      </w:r>
      <w:r w:rsidR="001F3A35">
        <w:rPr>
          <w:rStyle w:val="-"/>
          <w:rFonts w:asciiTheme="majorHAnsi" w:eastAsia="Times New Roman" w:hAnsiTheme="majorHAnsi" w:cstheme="majorHAnsi"/>
          <w:sz w:val="18"/>
          <w:szCs w:val="18"/>
          <w:lang w:val="el-GR" w:eastAsia="el-GR"/>
        </w:rPr>
        <w:fldChar w:fldCharType="end"/>
      </w:r>
      <w:r w:rsidR="00B62042" w:rsidRPr="00B62042">
        <w:rPr>
          <w:rFonts w:asciiTheme="majorHAnsi" w:eastAsia="Times New Roman" w:hAnsiTheme="majorHAnsi" w:cstheme="majorHAnsi"/>
          <w:sz w:val="18"/>
          <w:szCs w:val="18"/>
          <w:lang w:val="el-GR" w:eastAsia="el-GR"/>
        </w:rPr>
        <w:t>.</w:t>
      </w:r>
    </w:p>
  </w:footnote>
  <w:footnote w:id="17">
    <w:p w14:paraId="54CE3BEF" w14:textId="3071FD57" w:rsidR="006715DA" w:rsidRPr="000E4EBC" w:rsidRDefault="006715DA" w:rsidP="008C79F8">
      <w:pPr>
        <w:pStyle w:val="a7"/>
        <w:spacing w:after="60"/>
        <w:jc w:val="both"/>
        <w:rPr>
          <w:rFonts w:asciiTheme="majorHAnsi" w:hAnsiTheme="majorHAnsi" w:cstheme="majorHAnsi"/>
          <w:sz w:val="18"/>
          <w:szCs w:val="18"/>
          <w:lang w:val="el-GR"/>
        </w:rPr>
      </w:pPr>
      <w:r w:rsidRPr="000E4EBC">
        <w:rPr>
          <w:rStyle w:val="a8"/>
          <w:rFonts w:asciiTheme="majorHAnsi" w:hAnsiTheme="majorHAnsi" w:cstheme="majorHAnsi"/>
          <w:sz w:val="18"/>
          <w:szCs w:val="18"/>
        </w:rPr>
        <w:footnoteRef/>
      </w:r>
      <w:r w:rsidRPr="000E4EBC">
        <w:rPr>
          <w:rFonts w:asciiTheme="majorHAnsi" w:hAnsiTheme="majorHAnsi" w:cstheme="majorHAnsi"/>
          <w:sz w:val="18"/>
          <w:szCs w:val="18"/>
          <w:lang w:val="el-GR"/>
        </w:rPr>
        <w:t xml:space="preserve"> </w:t>
      </w:r>
      <w:r w:rsidRPr="000E4EBC">
        <w:rPr>
          <w:rStyle w:val="tlid-translation"/>
          <w:rFonts w:asciiTheme="majorHAnsi" w:hAnsiTheme="majorHAnsi" w:cstheme="majorHAnsi"/>
          <w:sz w:val="18"/>
          <w:szCs w:val="18"/>
          <w:lang w:val="el-GR"/>
        </w:rPr>
        <w:t xml:space="preserve">Πηγή: Ελληνική Στατιστική Αρχή, Δελτίο τύπου, Στατιστικές συστήματος κοινωνικής προστασίας: Έτος 2017, διαθέσιμο στη διεύθυνση: </w:t>
      </w:r>
      <w:r w:rsidR="001F3A35">
        <w:fldChar w:fldCharType="begin"/>
      </w:r>
      <w:r w:rsidR="001F3A35" w:rsidRPr="004A6D4E">
        <w:rPr>
          <w:lang w:val="el-GR"/>
        </w:rPr>
        <w:instrText xml:space="preserve"> </w:instrText>
      </w:r>
      <w:r w:rsidR="001F3A35">
        <w:instrText>HYPERLINK</w:instrText>
      </w:r>
      <w:r w:rsidR="001F3A35" w:rsidRPr="004A6D4E">
        <w:rPr>
          <w:lang w:val="el-GR"/>
        </w:rPr>
        <w:instrText xml:space="preserve"> "</w:instrText>
      </w:r>
      <w:r w:rsidR="001F3A35">
        <w:instrText>http</w:instrText>
      </w:r>
      <w:r w:rsidR="001F3A35" w:rsidRPr="004A6D4E">
        <w:rPr>
          <w:lang w:val="el-GR"/>
        </w:rPr>
        <w:instrText>://</w:instrText>
      </w:r>
      <w:r w:rsidR="001F3A35">
        <w:instrText>www</w:instrText>
      </w:r>
      <w:r w:rsidR="001F3A35" w:rsidRPr="004A6D4E">
        <w:rPr>
          <w:lang w:val="el-GR"/>
        </w:rPr>
        <w:instrText>.</w:instrText>
      </w:r>
      <w:r w:rsidR="001F3A35">
        <w:instrText>shorturl</w:instrText>
      </w:r>
      <w:r w:rsidR="001F3A35" w:rsidRPr="004A6D4E">
        <w:rPr>
          <w:lang w:val="el-GR"/>
        </w:rPr>
        <w:instrText>.</w:instrText>
      </w:r>
      <w:r w:rsidR="001F3A35">
        <w:instrText>at</w:instrText>
      </w:r>
      <w:r w:rsidR="001F3A35" w:rsidRPr="004A6D4E">
        <w:rPr>
          <w:lang w:val="el-GR"/>
        </w:rPr>
        <w:instrText>/</w:instrText>
      </w:r>
      <w:r w:rsidR="001F3A35">
        <w:instrText>kyILU</w:instrText>
      </w:r>
      <w:r w:rsidR="001F3A35" w:rsidRPr="004A6D4E">
        <w:rPr>
          <w:lang w:val="el-GR"/>
        </w:rPr>
        <w:instrText>" \</w:instrText>
      </w:r>
      <w:r w:rsidR="001F3A35">
        <w:instrText>o</w:instrText>
      </w:r>
      <w:r w:rsidR="001F3A35" w:rsidRPr="004A6D4E">
        <w:rPr>
          <w:lang w:val="el-GR"/>
        </w:rPr>
        <w:instrText xml:space="preserve"> " Μεταφορά στην επίσημη ιστοσελίδα </w:instrText>
      </w:r>
      <w:r w:rsidR="001F3A35">
        <w:instrText>www</w:instrText>
      </w:r>
      <w:r w:rsidR="001F3A35" w:rsidRPr="004A6D4E">
        <w:rPr>
          <w:lang w:val="el-GR"/>
        </w:rPr>
        <w:instrText>.</w:instrText>
      </w:r>
      <w:r w:rsidR="001F3A35">
        <w:instrText>statistics</w:instrText>
      </w:r>
      <w:r w:rsidR="001F3A35" w:rsidRPr="004A6D4E">
        <w:rPr>
          <w:lang w:val="el-GR"/>
        </w:rPr>
        <w:instrText>.</w:instrText>
      </w:r>
      <w:r w:rsidR="001F3A35">
        <w:instrText>gr</w:instrText>
      </w:r>
      <w:r w:rsidR="001F3A35" w:rsidRPr="004A6D4E">
        <w:rPr>
          <w:lang w:val="el-GR"/>
        </w:rPr>
        <w:instrText xml:space="preserve">" </w:instrText>
      </w:r>
      <w:r w:rsidR="001F3A35">
        <w:fldChar w:fldCharType="separate"/>
      </w:r>
      <w:r w:rsidR="008C79F8" w:rsidRPr="00F32F47">
        <w:rPr>
          <w:rStyle w:val="-"/>
          <w:rFonts w:asciiTheme="majorHAnsi" w:hAnsiTheme="majorHAnsi" w:cstheme="majorHAnsi"/>
          <w:sz w:val="18"/>
          <w:szCs w:val="18"/>
          <w:lang w:val="en-GB"/>
        </w:rPr>
        <w:t>www</w:t>
      </w:r>
      <w:r w:rsidR="008C79F8" w:rsidRPr="00F32F47">
        <w:rPr>
          <w:rStyle w:val="-"/>
          <w:rFonts w:asciiTheme="majorHAnsi" w:hAnsiTheme="majorHAnsi" w:cstheme="majorHAnsi"/>
          <w:sz w:val="18"/>
          <w:szCs w:val="18"/>
          <w:lang w:val="el-GR"/>
        </w:rPr>
        <w:t>.shorturl.at/kyILU</w:t>
      </w:r>
      <w:r w:rsidR="001F3A35">
        <w:rPr>
          <w:rStyle w:val="-"/>
          <w:rFonts w:asciiTheme="majorHAnsi" w:hAnsiTheme="majorHAnsi" w:cstheme="majorHAnsi"/>
          <w:sz w:val="18"/>
          <w:szCs w:val="18"/>
          <w:lang w:val="el-GR"/>
        </w:rPr>
        <w:fldChar w:fldCharType="end"/>
      </w:r>
      <w:r w:rsidR="008C79F8">
        <w:rPr>
          <w:rStyle w:val="tlid-translation"/>
          <w:rFonts w:asciiTheme="majorHAnsi" w:hAnsiTheme="majorHAnsi" w:cstheme="majorHAnsi"/>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CE9E8" w14:textId="3D8FE1CA" w:rsidR="006715DA" w:rsidRPr="00C975F8" w:rsidRDefault="006715DA" w:rsidP="006715DA">
    <w:pPr>
      <w:pStyle w:val="a3"/>
      <w:tabs>
        <w:tab w:val="clear" w:pos="9360"/>
        <w:tab w:val="right" w:pos="9211"/>
      </w:tabs>
      <w:jc w:val="center"/>
    </w:pPr>
    <w:r>
      <w:rPr>
        <w:noProof/>
        <w:lang w:val="el-GR" w:eastAsia="el-GR"/>
      </w:rPr>
      <w:drawing>
        <wp:inline distT="0" distB="0" distL="0" distR="0" wp14:anchorId="65DCA034" wp14:editId="50B2B638">
          <wp:extent cx="5490210" cy="947097"/>
          <wp:effectExtent l="0" t="0" r="0" b="0"/>
          <wp:docPr id="82" name="Εικόνα 82"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5490210" cy="9470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53D5C871" wp14:editId="4D5AA279">
          <wp:extent cx="5400040" cy="647700"/>
          <wp:effectExtent l="0" t="0" r="0" b="0"/>
          <wp:docPr id="83" name="Εικόνα 8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647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A7F4" w14:textId="142BF246" w:rsidR="006715DA" w:rsidRDefault="006715DA" w:rsidP="001E4AC0">
    <w:pPr>
      <w:pStyle w:val="a3"/>
      <w:spacing w:before="360"/>
      <w:ind w:left="-1701" w:right="-1298"/>
      <w:jc w:val="center"/>
    </w:pPr>
    <w:r>
      <w:rPr>
        <w:noProof/>
        <w:lang w:val="el-GR" w:eastAsia="el-GR"/>
      </w:rPr>
      <w:drawing>
        <wp:inline distT="0" distB="0" distL="0" distR="0" wp14:anchorId="74FA2671" wp14:editId="3A682678">
          <wp:extent cx="6644640" cy="906780"/>
          <wp:effectExtent l="0" t="0" r="3810" b="0"/>
          <wp:docPr id="85" name="Εικόνα 85"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20A98D19" wp14:editId="57CD837D">
          <wp:extent cx="6187440" cy="876300"/>
          <wp:effectExtent l="0" t="0" r="3810" b="0"/>
          <wp:docPr id="86" name="Εικόνα 86"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212A0E31"/>
    <w:multiLevelType w:val="hybridMultilevel"/>
    <w:tmpl w:val="33F239DC"/>
    <w:lvl w:ilvl="0" w:tplc="6AACC08A">
      <w:start w:val="1"/>
      <mc:AlternateContent>
        <mc:Choice Requires="w14">
          <w:numFmt w:val="custom" w:format="α, β, γ, ..."/>
        </mc:Choice>
        <mc:Fallback>
          <w:numFmt w:val="decimal"/>
        </mc:Fallback>
      </mc:AlternateContent>
      <w:lvlText w:val="%1)"/>
      <w:lvlJc w:val="left"/>
      <w:pPr>
        <w:ind w:left="862" w:hanging="360"/>
      </w:pPr>
      <w:rPr>
        <w:rFonts w:ascii="PF DinText Pro" w:hAnsi="PF DinText Pro" w:cs="Times New Roman" w:hint="default"/>
        <w:b w:val="0"/>
        <w:i w:val="0"/>
        <w:color w:val="auto"/>
        <w:sz w:val="22"/>
        <w:szCs w:val="20"/>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33C67EBE"/>
    <w:multiLevelType w:val="hybridMultilevel"/>
    <w:tmpl w:val="0FD47D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9922EBD"/>
    <w:multiLevelType w:val="hybridMultilevel"/>
    <w:tmpl w:val="64A8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F3A1F16"/>
    <w:multiLevelType w:val="hybridMultilevel"/>
    <w:tmpl w:val="8E0AA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9F426A"/>
    <w:multiLevelType w:val="multilevel"/>
    <w:tmpl w:val="040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A666F82"/>
    <w:multiLevelType w:val="hybridMultilevel"/>
    <w:tmpl w:val="0994B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11"/>
  </w:num>
  <w:num w:numId="6">
    <w:abstractNumId w:val="4"/>
  </w:num>
  <w:num w:numId="7">
    <w:abstractNumId w:val="8"/>
  </w:num>
  <w:num w:numId="8">
    <w:abstractNumId w:val="9"/>
  </w:num>
  <w:num w:numId="9">
    <w:abstractNumId w:val="3"/>
  </w:num>
  <w:num w:numId="10">
    <w:abstractNumId w:val="2"/>
  </w:num>
  <w:num w:numId="11">
    <w:abstractNumId w:val="10"/>
  </w:num>
  <w:num w:numId="12">
    <w:abstractNumId w:val="10"/>
    <w:lvlOverride w:ilvl="0">
      <w:lvl w:ilvl="0">
        <w:start w:val="1"/>
        <w:numFmt w:val="decimal"/>
        <w:pStyle w:val="10"/>
        <w:lvlText w:val="%1"/>
        <w:lvlJc w:val="left"/>
        <w:pPr>
          <w:ind w:left="432" w:hanging="432"/>
        </w:pPr>
        <w:rPr>
          <w:rFonts w:hint="default"/>
        </w:rPr>
      </w:lvl>
    </w:lvlOverride>
    <w:lvlOverride w:ilvl="1">
      <w:lvl w:ilvl="1">
        <w:start w:val="1"/>
        <w:numFmt w:val="decimal"/>
        <w:pStyle w:val="2"/>
        <w:lvlText w:val="%2. "/>
        <w:lvlJc w:val="left"/>
        <w:pPr>
          <w:ind w:left="576" w:hanging="576"/>
        </w:pPr>
        <w:rPr>
          <w:rFonts w:hint="default"/>
        </w:rPr>
      </w:lvl>
    </w:lvlOverride>
    <w:lvlOverride w:ilvl="2">
      <w:lvl w:ilvl="2">
        <w:start w:val="1"/>
        <w:numFmt w:val="decimal"/>
        <w:pStyle w:val="3"/>
        <w:lvlText w:val="%1.%2.%3"/>
        <w:lvlJc w:val="left"/>
        <w:pPr>
          <w:ind w:left="720" w:hanging="720"/>
        </w:pPr>
        <w:rPr>
          <w:rFonts w:hint="default"/>
        </w:rPr>
      </w:lvl>
    </w:lvlOverride>
    <w:lvlOverride w:ilvl="3">
      <w:lvl w:ilvl="3">
        <w:start w:val="1"/>
        <w:numFmt w:val="decimal"/>
        <w:pStyle w:val="4"/>
        <w:lvlText w:val="%1.%2.%3.%4"/>
        <w:lvlJc w:val="left"/>
        <w:pPr>
          <w:ind w:left="864" w:hanging="864"/>
        </w:pPr>
        <w:rPr>
          <w:rFonts w:hint="default"/>
        </w:rPr>
      </w:lvl>
    </w:lvlOverride>
    <w:lvlOverride w:ilvl="4">
      <w:lvl w:ilvl="4">
        <w:start w:val="1"/>
        <w:numFmt w:val="decimal"/>
        <w:pStyle w:val="5"/>
        <w:lvlText w:val="%1.%2.%3.%4.%5"/>
        <w:lvlJc w:val="left"/>
        <w:pPr>
          <w:ind w:left="1008" w:hanging="1008"/>
        </w:pPr>
        <w:rPr>
          <w:rFonts w:hint="default"/>
        </w:rPr>
      </w:lvl>
    </w:lvlOverride>
    <w:lvlOverride w:ilvl="5">
      <w:lvl w:ilvl="5">
        <w:start w:val="1"/>
        <w:numFmt w:val="decimal"/>
        <w:pStyle w:val="6"/>
        <w:lvlText w:val="%1.%2.%3.%4.%5.%6"/>
        <w:lvlJc w:val="left"/>
        <w:pPr>
          <w:ind w:left="1152" w:hanging="1152"/>
        </w:pPr>
        <w:rPr>
          <w:rFonts w:hint="default"/>
        </w:rPr>
      </w:lvl>
    </w:lvlOverride>
    <w:lvlOverride w:ilvl="6">
      <w:lvl w:ilvl="6">
        <w:start w:val="1"/>
        <w:numFmt w:val="decimal"/>
        <w:pStyle w:val="7"/>
        <w:lvlText w:val="%1.%2.%3.%4.%5.%6.%7"/>
        <w:lvlJc w:val="left"/>
        <w:pPr>
          <w:ind w:left="1296" w:hanging="1296"/>
        </w:pPr>
        <w:rPr>
          <w:rFonts w:hint="default"/>
        </w:rPr>
      </w:lvl>
    </w:lvlOverride>
    <w:lvlOverride w:ilvl="7">
      <w:lvl w:ilvl="7">
        <w:start w:val="1"/>
        <w:numFmt w:val="decimal"/>
        <w:pStyle w:val="8"/>
        <w:lvlText w:val="%1.%2.%3.%4.%5.%6.%7.%8"/>
        <w:lvlJc w:val="left"/>
        <w:pPr>
          <w:ind w:left="1440" w:hanging="1440"/>
        </w:pPr>
        <w:rPr>
          <w:rFonts w:hint="default"/>
        </w:rPr>
      </w:lvl>
    </w:lvlOverride>
    <w:lvlOverride w:ilvl="8">
      <w:lvl w:ilvl="8">
        <w:start w:val="1"/>
        <w:numFmt w:val="decimal"/>
        <w:pStyle w:val="9"/>
        <w:lvlText w:val="%1.%2.%3.%4.%5.%6.%7.%8.%9"/>
        <w:lvlJc w:val="left"/>
        <w:pPr>
          <w:ind w:left="1584" w:hanging="1584"/>
        </w:pPr>
        <w:rPr>
          <w:rFonts w:hint="default"/>
        </w:rPr>
      </w:lvl>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2"/>
    <w:rsid w:val="00000401"/>
    <w:rsid w:val="00000F04"/>
    <w:rsid w:val="00001B0E"/>
    <w:rsid w:val="00001C48"/>
    <w:rsid w:val="0000287E"/>
    <w:rsid w:val="00004A64"/>
    <w:rsid w:val="00004F59"/>
    <w:rsid w:val="00006238"/>
    <w:rsid w:val="00010D6F"/>
    <w:rsid w:val="00011632"/>
    <w:rsid w:val="00013C12"/>
    <w:rsid w:val="00016989"/>
    <w:rsid w:val="0002091C"/>
    <w:rsid w:val="00020C87"/>
    <w:rsid w:val="000235A7"/>
    <w:rsid w:val="00023EA3"/>
    <w:rsid w:val="000249DF"/>
    <w:rsid w:val="000251A7"/>
    <w:rsid w:val="0002706F"/>
    <w:rsid w:val="00027487"/>
    <w:rsid w:val="00027AA3"/>
    <w:rsid w:val="00030659"/>
    <w:rsid w:val="00030B66"/>
    <w:rsid w:val="00032998"/>
    <w:rsid w:val="00033E31"/>
    <w:rsid w:val="0003410A"/>
    <w:rsid w:val="00034FCC"/>
    <w:rsid w:val="00035153"/>
    <w:rsid w:val="00036148"/>
    <w:rsid w:val="00036AFB"/>
    <w:rsid w:val="00036E31"/>
    <w:rsid w:val="000401D1"/>
    <w:rsid w:val="00040C1E"/>
    <w:rsid w:val="00040CA9"/>
    <w:rsid w:val="00045C42"/>
    <w:rsid w:val="00046688"/>
    <w:rsid w:val="00047068"/>
    <w:rsid w:val="000476D6"/>
    <w:rsid w:val="0004785C"/>
    <w:rsid w:val="00050137"/>
    <w:rsid w:val="00051811"/>
    <w:rsid w:val="00053EFC"/>
    <w:rsid w:val="000568F8"/>
    <w:rsid w:val="00056984"/>
    <w:rsid w:val="00057501"/>
    <w:rsid w:val="00057539"/>
    <w:rsid w:val="00057811"/>
    <w:rsid w:val="0005793A"/>
    <w:rsid w:val="000603B1"/>
    <w:rsid w:val="0006162C"/>
    <w:rsid w:val="00062552"/>
    <w:rsid w:val="00063077"/>
    <w:rsid w:val="00064787"/>
    <w:rsid w:val="00064DB2"/>
    <w:rsid w:val="000664D0"/>
    <w:rsid w:val="00066546"/>
    <w:rsid w:val="000674F2"/>
    <w:rsid w:val="00067CD5"/>
    <w:rsid w:val="00073C36"/>
    <w:rsid w:val="000769FF"/>
    <w:rsid w:val="00080E7B"/>
    <w:rsid w:val="000817A1"/>
    <w:rsid w:val="00082630"/>
    <w:rsid w:val="00083EBB"/>
    <w:rsid w:val="00083F90"/>
    <w:rsid w:val="00091429"/>
    <w:rsid w:val="000928C5"/>
    <w:rsid w:val="00095D5C"/>
    <w:rsid w:val="00097592"/>
    <w:rsid w:val="000A3589"/>
    <w:rsid w:val="000A4359"/>
    <w:rsid w:val="000A67ED"/>
    <w:rsid w:val="000A7205"/>
    <w:rsid w:val="000B0AA7"/>
    <w:rsid w:val="000B0FDE"/>
    <w:rsid w:val="000B3814"/>
    <w:rsid w:val="000B3D31"/>
    <w:rsid w:val="000B4243"/>
    <w:rsid w:val="000B4DF3"/>
    <w:rsid w:val="000B6438"/>
    <w:rsid w:val="000B7F76"/>
    <w:rsid w:val="000C037E"/>
    <w:rsid w:val="000C2646"/>
    <w:rsid w:val="000C28D2"/>
    <w:rsid w:val="000C318A"/>
    <w:rsid w:val="000C33EE"/>
    <w:rsid w:val="000C40F9"/>
    <w:rsid w:val="000C54CC"/>
    <w:rsid w:val="000C6F93"/>
    <w:rsid w:val="000C75E0"/>
    <w:rsid w:val="000C7AC1"/>
    <w:rsid w:val="000C7D79"/>
    <w:rsid w:val="000D4C81"/>
    <w:rsid w:val="000D70C9"/>
    <w:rsid w:val="000E0E48"/>
    <w:rsid w:val="000E1B25"/>
    <w:rsid w:val="000E21F4"/>
    <w:rsid w:val="000E22CF"/>
    <w:rsid w:val="000E494A"/>
    <w:rsid w:val="000E4ABF"/>
    <w:rsid w:val="000E4EBC"/>
    <w:rsid w:val="000E51F1"/>
    <w:rsid w:val="000E56E0"/>
    <w:rsid w:val="000E5ABB"/>
    <w:rsid w:val="000E6AD4"/>
    <w:rsid w:val="000E7D00"/>
    <w:rsid w:val="000F057C"/>
    <w:rsid w:val="000F19A4"/>
    <w:rsid w:val="000F1BE8"/>
    <w:rsid w:val="000F20A7"/>
    <w:rsid w:val="000F464E"/>
    <w:rsid w:val="001001A5"/>
    <w:rsid w:val="001016BA"/>
    <w:rsid w:val="00101E3E"/>
    <w:rsid w:val="00102B01"/>
    <w:rsid w:val="0010411B"/>
    <w:rsid w:val="00105644"/>
    <w:rsid w:val="00107885"/>
    <w:rsid w:val="00107C12"/>
    <w:rsid w:val="00107F11"/>
    <w:rsid w:val="0011470C"/>
    <w:rsid w:val="00115383"/>
    <w:rsid w:val="00117798"/>
    <w:rsid w:val="001178DE"/>
    <w:rsid w:val="00120801"/>
    <w:rsid w:val="001208F8"/>
    <w:rsid w:val="00122357"/>
    <w:rsid w:val="001228E5"/>
    <w:rsid w:val="00122E0D"/>
    <w:rsid w:val="001241AA"/>
    <w:rsid w:val="00124938"/>
    <w:rsid w:val="00124A66"/>
    <w:rsid w:val="001254A2"/>
    <w:rsid w:val="00125908"/>
    <w:rsid w:val="00130F9F"/>
    <w:rsid w:val="00136322"/>
    <w:rsid w:val="0013767A"/>
    <w:rsid w:val="001379D4"/>
    <w:rsid w:val="00137E34"/>
    <w:rsid w:val="001412B3"/>
    <w:rsid w:val="00141A47"/>
    <w:rsid w:val="00141FD5"/>
    <w:rsid w:val="00142759"/>
    <w:rsid w:val="00143650"/>
    <w:rsid w:val="00146455"/>
    <w:rsid w:val="0014671D"/>
    <w:rsid w:val="00147711"/>
    <w:rsid w:val="0014790E"/>
    <w:rsid w:val="00147AB1"/>
    <w:rsid w:val="00150307"/>
    <w:rsid w:val="00152A10"/>
    <w:rsid w:val="00155B1B"/>
    <w:rsid w:val="00156294"/>
    <w:rsid w:val="00156A87"/>
    <w:rsid w:val="001600E4"/>
    <w:rsid w:val="001612A5"/>
    <w:rsid w:val="001615F4"/>
    <w:rsid w:val="001623D3"/>
    <w:rsid w:val="00162860"/>
    <w:rsid w:val="00163E31"/>
    <w:rsid w:val="001647E0"/>
    <w:rsid w:val="00164C3B"/>
    <w:rsid w:val="0016570D"/>
    <w:rsid w:val="0016630F"/>
    <w:rsid w:val="0016662B"/>
    <w:rsid w:val="00166C4F"/>
    <w:rsid w:val="00167E48"/>
    <w:rsid w:val="0017007C"/>
    <w:rsid w:val="00170112"/>
    <w:rsid w:val="00172F99"/>
    <w:rsid w:val="00173737"/>
    <w:rsid w:val="00173D7F"/>
    <w:rsid w:val="00174640"/>
    <w:rsid w:val="00175055"/>
    <w:rsid w:val="001755B7"/>
    <w:rsid w:val="00175766"/>
    <w:rsid w:val="0017715F"/>
    <w:rsid w:val="00177DE2"/>
    <w:rsid w:val="00180F0E"/>
    <w:rsid w:val="00181FA0"/>
    <w:rsid w:val="00182BD8"/>
    <w:rsid w:val="001861A9"/>
    <w:rsid w:val="00190721"/>
    <w:rsid w:val="001912EA"/>
    <w:rsid w:val="00191617"/>
    <w:rsid w:val="00192299"/>
    <w:rsid w:val="0019273B"/>
    <w:rsid w:val="00192DE8"/>
    <w:rsid w:val="00193C8C"/>
    <w:rsid w:val="00195DDA"/>
    <w:rsid w:val="00195EFF"/>
    <w:rsid w:val="0019795A"/>
    <w:rsid w:val="00197F60"/>
    <w:rsid w:val="001A0A17"/>
    <w:rsid w:val="001A0E0A"/>
    <w:rsid w:val="001A157B"/>
    <w:rsid w:val="001A2A51"/>
    <w:rsid w:val="001A4803"/>
    <w:rsid w:val="001A4B01"/>
    <w:rsid w:val="001A4B99"/>
    <w:rsid w:val="001A766F"/>
    <w:rsid w:val="001A78F7"/>
    <w:rsid w:val="001B1CE7"/>
    <w:rsid w:val="001B2554"/>
    <w:rsid w:val="001B2983"/>
    <w:rsid w:val="001B3FF5"/>
    <w:rsid w:val="001B5099"/>
    <w:rsid w:val="001C0348"/>
    <w:rsid w:val="001C03B2"/>
    <w:rsid w:val="001C086F"/>
    <w:rsid w:val="001C153F"/>
    <w:rsid w:val="001C1F90"/>
    <w:rsid w:val="001C3CFE"/>
    <w:rsid w:val="001C5C5D"/>
    <w:rsid w:val="001C6D9B"/>
    <w:rsid w:val="001C752A"/>
    <w:rsid w:val="001D00EE"/>
    <w:rsid w:val="001D0A17"/>
    <w:rsid w:val="001D137C"/>
    <w:rsid w:val="001D2A70"/>
    <w:rsid w:val="001D3091"/>
    <w:rsid w:val="001D3672"/>
    <w:rsid w:val="001D37F3"/>
    <w:rsid w:val="001D5992"/>
    <w:rsid w:val="001D6A57"/>
    <w:rsid w:val="001D6FC1"/>
    <w:rsid w:val="001D74D2"/>
    <w:rsid w:val="001D764A"/>
    <w:rsid w:val="001E04ED"/>
    <w:rsid w:val="001E323F"/>
    <w:rsid w:val="001E4AC0"/>
    <w:rsid w:val="001E6AAF"/>
    <w:rsid w:val="001F3A35"/>
    <w:rsid w:val="001F4A63"/>
    <w:rsid w:val="001F52C8"/>
    <w:rsid w:val="001F63F0"/>
    <w:rsid w:val="001F6A5E"/>
    <w:rsid w:val="001F6EF6"/>
    <w:rsid w:val="001F7564"/>
    <w:rsid w:val="002002E3"/>
    <w:rsid w:val="00200BE7"/>
    <w:rsid w:val="0020258C"/>
    <w:rsid w:val="00203EB7"/>
    <w:rsid w:val="00204642"/>
    <w:rsid w:val="00204986"/>
    <w:rsid w:val="002073FF"/>
    <w:rsid w:val="002116D5"/>
    <w:rsid w:val="00212CC9"/>
    <w:rsid w:val="00212FFF"/>
    <w:rsid w:val="00213404"/>
    <w:rsid w:val="00214EBA"/>
    <w:rsid w:val="0021573C"/>
    <w:rsid w:val="00216669"/>
    <w:rsid w:val="0021728C"/>
    <w:rsid w:val="002201F2"/>
    <w:rsid w:val="00222527"/>
    <w:rsid w:val="00222C20"/>
    <w:rsid w:val="002250FA"/>
    <w:rsid w:val="00225304"/>
    <w:rsid w:val="00225305"/>
    <w:rsid w:val="002261CA"/>
    <w:rsid w:val="002269B0"/>
    <w:rsid w:val="00227C7F"/>
    <w:rsid w:val="00227ECE"/>
    <w:rsid w:val="002309C0"/>
    <w:rsid w:val="00230FEB"/>
    <w:rsid w:val="002313EC"/>
    <w:rsid w:val="00231D4F"/>
    <w:rsid w:val="00231F2B"/>
    <w:rsid w:val="00232921"/>
    <w:rsid w:val="00235081"/>
    <w:rsid w:val="002350D8"/>
    <w:rsid w:val="002358EA"/>
    <w:rsid w:val="00235D14"/>
    <w:rsid w:val="0024363C"/>
    <w:rsid w:val="00244749"/>
    <w:rsid w:val="00245176"/>
    <w:rsid w:val="00246EDE"/>
    <w:rsid w:val="00247073"/>
    <w:rsid w:val="002521B4"/>
    <w:rsid w:val="00254B70"/>
    <w:rsid w:val="00255BAD"/>
    <w:rsid w:val="00257015"/>
    <w:rsid w:val="00257BD8"/>
    <w:rsid w:val="00260620"/>
    <w:rsid w:val="00260D0E"/>
    <w:rsid w:val="002640C3"/>
    <w:rsid w:val="002648EF"/>
    <w:rsid w:val="0026536B"/>
    <w:rsid w:val="002653D4"/>
    <w:rsid w:val="002669F4"/>
    <w:rsid w:val="00267765"/>
    <w:rsid w:val="002679EF"/>
    <w:rsid w:val="002710F5"/>
    <w:rsid w:val="00271EC1"/>
    <w:rsid w:val="00273C2C"/>
    <w:rsid w:val="00275014"/>
    <w:rsid w:val="00275553"/>
    <w:rsid w:val="0027752E"/>
    <w:rsid w:val="00281166"/>
    <w:rsid w:val="00282458"/>
    <w:rsid w:val="002835DA"/>
    <w:rsid w:val="00283ECB"/>
    <w:rsid w:val="00285961"/>
    <w:rsid w:val="00290406"/>
    <w:rsid w:val="00291A1F"/>
    <w:rsid w:val="0029276C"/>
    <w:rsid w:val="00293743"/>
    <w:rsid w:val="0029431E"/>
    <w:rsid w:val="002943E5"/>
    <w:rsid w:val="00294795"/>
    <w:rsid w:val="002956E5"/>
    <w:rsid w:val="002A09DB"/>
    <w:rsid w:val="002A1383"/>
    <w:rsid w:val="002A1C99"/>
    <w:rsid w:val="002A3AA8"/>
    <w:rsid w:val="002A52C8"/>
    <w:rsid w:val="002A5E5A"/>
    <w:rsid w:val="002A7F9A"/>
    <w:rsid w:val="002B0AD5"/>
    <w:rsid w:val="002B0F74"/>
    <w:rsid w:val="002B16EC"/>
    <w:rsid w:val="002B292D"/>
    <w:rsid w:val="002B2E7D"/>
    <w:rsid w:val="002B316F"/>
    <w:rsid w:val="002B508B"/>
    <w:rsid w:val="002B6A65"/>
    <w:rsid w:val="002B6E3E"/>
    <w:rsid w:val="002C0A1C"/>
    <w:rsid w:val="002C0BE8"/>
    <w:rsid w:val="002C2221"/>
    <w:rsid w:val="002C2572"/>
    <w:rsid w:val="002C47EE"/>
    <w:rsid w:val="002C52CE"/>
    <w:rsid w:val="002C5A76"/>
    <w:rsid w:val="002C5DE1"/>
    <w:rsid w:val="002C71A4"/>
    <w:rsid w:val="002C75E5"/>
    <w:rsid w:val="002D072A"/>
    <w:rsid w:val="002D0B63"/>
    <w:rsid w:val="002D1D04"/>
    <w:rsid w:val="002D2023"/>
    <w:rsid w:val="002D2673"/>
    <w:rsid w:val="002D3EEB"/>
    <w:rsid w:val="002D40C5"/>
    <w:rsid w:val="002D679C"/>
    <w:rsid w:val="002D7418"/>
    <w:rsid w:val="002D7B7A"/>
    <w:rsid w:val="002E13B5"/>
    <w:rsid w:val="002E161F"/>
    <w:rsid w:val="002E3124"/>
    <w:rsid w:val="002E3266"/>
    <w:rsid w:val="002E378C"/>
    <w:rsid w:val="002E45AD"/>
    <w:rsid w:val="002E5997"/>
    <w:rsid w:val="002E6272"/>
    <w:rsid w:val="002E7B62"/>
    <w:rsid w:val="002F1E9B"/>
    <w:rsid w:val="002F1EC5"/>
    <w:rsid w:val="002F2388"/>
    <w:rsid w:val="002F4B34"/>
    <w:rsid w:val="002F56E7"/>
    <w:rsid w:val="002F5C47"/>
    <w:rsid w:val="002F5DEA"/>
    <w:rsid w:val="002F77B6"/>
    <w:rsid w:val="00300331"/>
    <w:rsid w:val="00301453"/>
    <w:rsid w:val="0030347E"/>
    <w:rsid w:val="00303E53"/>
    <w:rsid w:val="0030416A"/>
    <w:rsid w:val="00305F28"/>
    <w:rsid w:val="00306F87"/>
    <w:rsid w:val="003070F3"/>
    <w:rsid w:val="00315B61"/>
    <w:rsid w:val="003161F4"/>
    <w:rsid w:val="00316412"/>
    <w:rsid w:val="00316833"/>
    <w:rsid w:val="00316B0A"/>
    <w:rsid w:val="00317A10"/>
    <w:rsid w:val="00317D0D"/>
    <w:rsid w:val="00317ED8"/>
    <w:rsid w:val="003201B9"/>
    <w:rsid w:val="00323EF5"/>
    <w:rsid w:val="00324516"/>
    <w:rsid w:val="003276EB"/>
    <w:rsid w:val="00331DFE"/>
    <w:rsid w:val="0033245E"/>
    <w:rsid w:val="003330EA"/>
    <w:rsid w:val="00333438"/>
    <w:rsid w:val="00333895"/>
    <w:rsid w:val="00335BE3"/>
    <w:rsid w:val="003361D5"/>
    <w:rsid w:val="00336623"/>
    <w:rsid w:val="00337707"/>
    <w:rsid w:val="00341B31"/>
    <w:rsid w:val="003436DD"/>
    <w:rsid w:val="00343876"/>
    <w:rsid w:val="0034403A"/>
    <w:rsid w:val="003460F2"/>
    <w:rsid w:val="00347356"/>
    <w:rsid w:val="003478A0"/>
    <w:rsid w:val="00347FD2"/>
    <w:rsid w:val="00351FD5"/>
    <w:rsid w:val="00352D70"/>
    <w:rsid w:val="003530C9"/>
    <w:rsid w:val="003533B1"/>
    <w:rsid w:val="003533DE"/>
    <w:rsid w:val="003572AC"/>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803"/>
    <w:rsid w:val="00377025"/>
    <w:rsid w:val="003775B4"/>
    <w:rsid w:val="003800AB"/>
    <w:rsid w:val="00380183"/>
    <w:rsid w:val="00382CC6"/>
    <w:rsid w:val="00382EFA"/>
    <w:rsid w:val="0038573B"/>
    <w:rsid w:val="00385E69"/>
    <w:rsid w:val="0039264E"/>
    <w:rsid w:val="00394F81"/>
    <w:rsid w:val="00397072"/>
    <w:rsid w:val="00397972"/>
    <w:rsid w:val="00397A70"/>
    <w:rsid w:val="003A0D20"/>
    <w:rsid w:val="003A1BE5"/>
    <w:rsid w:val="003A3495"/>
    <w:rsid w:val="003A4054"/>
    <w:rsid w:val="003A599D"/>
    <w:rsid w:val="003A5D8D"/>
    <w:rsid w:val="003A6C73"/>
    <w:rsid w:val="003A7E34"/>
    <w:rsid w:val="003B1441"/>
    <w:rsid w:val="003B41D9"/>
    <w:rsid w:val="003B4A60"/>
    <w:rsid w:val="003B4C8A"/>
    <w:rsid w:val="003B52E6"/>
    <w:rsid w:val="003B731F"/>
    <w:rsid w:val="003C0900"/>
    <w:rsid w:val="003C0A09"/>
    <w:rsid w:val="003C0C5D"/>
    <w:rsid w:val="003C1230"/>
    <w:rsid w:val="003C4A75"/>
    <w:rsid w:val="003C5D81"/>
    <w:rsid w:val="003D06FB"/>
    <w:rsid w:val="003D41C5"/>
    <w:rsid w:val="003D6928"/>
    <w:rsid w:val="003D722C"/>
    <w:rsid w:val="003E0A03"/>
    <w:rsid w:val="003E5906"/>
    <w:rsid w:val="003E668B"/>
    <w:rsid w:val="003E7456"/>
    <w:rsid w:val="003E76B6"/>
    <w:rsid w:val="003F12F6"/>
    <w:rsid w:val="003F2D35"/>
    <w:rsid w:val="003F3C89"/>
    <w:rsid w:val="003F4529"/>
    <w:rsid w:val="003F5690"/>
    <w:rsid w:val="003F79E1"/>
    <w:rsid w:val="00400995"/>
    <w:rsid w:val="00400C58"/>
    <w:rsid w:val="00401F78"/>
    <w:rsid w:val="00401FCA"/>
    <w:rsid w:val="004021EE"/>
    <w:rsid w:val="00402869"/>
    <w:rsid w:val="00402980"/>
    <w:rsid w:val="00403970"/>
    <w:rsid w:val="004047E3"/>
    <w:rsid w:val="004051C2"/>
    <w:rsid w:val="00406905"/>
    <w:rsid w:val="004075FF"/>
    <w:rsid w:val="004118D1"/>
    <w:rsid w:val="00411B16"/>
    <w:rsid w:val="00411EDC"/>
    <w:rsid w:val="0041241D"/>
    <w:rsid w:val="004124FE"/>
    <w:rsid w:val="00412EF4"/>
    <w:rsid w:val="00414EA5"/>
    <w:rsid w:val="00415ED7"/>
    <w:rsid w:val="0041790F"/>
    <w:rsid w:val="00420445"/>
    <w:rsid w:val="0042213A"/>
    <w:rsid w:val="00425E78"/>
    <w:rsid w:val="004338AF"/>
    <w:rsid w:val="00433F23"/>
    <w:rsid w:val="004350D0"/>
    <w:rsid w:val="004354CC"/>
    <w:rsid w:val="00436797"/>
    <w:rsid w:val="00437DAE"/>
    <w:rsid w:val="00437DF9"/>
    <w:rsid w:val="00441911"/>
    <w:rsid w:val="00442933"/>
    <w:rsid w:val="004436CA"/>
    <w:rsid w:val="004512FC"/>
    <w:rsid w:val="00451C05"/>
    <w:rsid w:val="00455D7B"/>
    <w:rsid w:val="004609C3"/>
    <w:rsid w:val="00460A4C"/>
    <w:rsid w:val="00460C31"/>
    <w:rsid w:val="004645B2"/>
    <w:rsid w:val="004706AA"/>
    <w:rsid w:val="00474407"/>
    <w:rsid w:val="0047480C"/>
    <w:rsid w:val="00477EED"/>
    <w:rsid w:val="004814FD"/>
    <w:rsid w:val="00481697"/>
    <w:rsid w:val="00482356"/>
    <w:rsid w:val="00482515"/>
    <w:rsid w:val="00482E4F"/>
    <w:rsid w:val="004830CA"/>
    <w:rsid w:val="0048373F"/>
    <w:rsid w:val="00483A56"/>
    <w:rsid w:val="00484316"/>
    <w:rsid w:val="0048470E"/>
    <w:rsid w:val="00484A6E"/>
    <w:rsid w:val="0048558A"/>
    <w:rsid w:val="0048585E"/>
    <w:rsid w:val="00485C27"/>
    <w:rsid w:val="0049151C"/>
    <w:rsid w:val="004940EC"/>
    <w:rsid w:val="00494798"/>
    <w:rsid w:val="00497856"/>
    <w:rsid w:val="004A11C5"/>
    <w:rsid w:val="004A1ACF"/>
    <w:rsid w:val="004A24E5"/>
    <w:rsid w:val="004A2FA3"/>
    <w:rsid w:val="004A4C17"/>
    <w:rsid w:val="004A60B7"/>
    <w:rsid w:val="004A6D4E"/>
    <w:rsid w:val="004B2C6E"/>
    <w:rsid w:val="004B2CB0"/>
    <w:rsid w:val="004B3D97"/>
    <w:rsid w:val="004B4CE9"/>
    <w:rsid w:val="004B58EB"/>
    <w:rsid w:val="004B679B"/>
    <w:rsid w:val="004C01B4"/>
    <w:rsid w:val="004C09FE"/>
    <w:rsid w:val="004C0E44"/>
    <w:rsid w:val="004C1DBD"/>
    <w:rsid w:val="004C332A"/>
    <w:rsid w:val="004C493F"/>
    <w:rsid w:val="004C5414"/>
    <w:rsid w:val="004C61CC"/>
    <w:rsid w:val="004D139C"/>
    <w:rsid w:val="004D350F"/>
    <w:rsid w:val="004D46EB"/>
    <w:rsid w:val="004D49D2"/>
    <w:rsid w:val="004D5455"/>
    <w:rsid w:val="004D5E86"/>
    <w:rsid w:val="004D620B"/>
    <w:rsid w:val="004E0417"/>
    <w:rsid w:val="004E0BF7"/>
    <w:rsid w:val="004E0F51"/>
    <w:rsid w:val="004E12F3"/>
    <w:rsid w:val="004E197B"/>
    <w:rsid w:val="004E27F8"/>
    <w:rsid w:val="004E50C9"/>
    <w:rsid w:val="004E6498"/>
    <w:rsid w:val="004E71C3"/>
    <w:rsid w:val="004E73A2"/>
    <w:rsid w:val="004F0089"/>
    <w:rsid w:val="004F00E1"/>
    <w:rsid w:val="004F08D5"/>
    <w:rsid w:val="004F10BA"/>
    <w:rsid w:val="004F16AA"/>
    <w:rsid w:val="004F2C04"/>
    <w:rsid w:val="004F2E54"/>
    <w:rsid w:val="004F338E"/>
    <w:rsid w:val="004F3A27"/>
    <w:rsid w:val="004F4406"/>
    <w:rsid w:val="004F4D05"/>
    <w:rsid w:val="004F4F99"/>
    <w:rsid w:val="00502F99"/>
    <w:rsid w:val="00504767"/>
    <w:rsid w:val="00505FCA"/>
    <w:rsid w:val="00511365"/>
    <w:rsid w:val="00511397"/>
    <w:rsid w:val="00513B57"/>
    <w:rsid w:val="00513D40"/>
    <w:rsid w:val="005146A2"/>
    <w:rsid w:val="005150B8"/>
    <w:rsid w:val="005164F5"/>
    <w:rsid w:val="00516A9A"/>
    <w:rsid w:val="00516B04"/>
    <w:rsid w:val="005219CB"/>
    <w:rsid w:val="00521BB5"/>
    <w:rsid w:val="00521DDF"/>
    <w:rsid w:val="00522FD7"/>
    <w:rsid w:val="005242B7"/>
    <w:rsid w:val="00527F5B"/>
    <w:rsid w:val="00530E74"/>
    <w:rsid w:val="005312F9"/>
    <w:rsid w:val="0053212E"/>
    <w:rsid w:val="0054186C"/>
    <w:rsid w:val="00542105"/>
    <w:rsid w:val="00542541"/>
    <w:rsid w:val="00542583"/>
    <w:rsid w:val="00544395"/>
    <w:rsid w:val="00544537"/>
    <w:rsid w:val="00544E8D"/>
    <w:rsid w:val="005452E8"/>
    <w:rsid w:val="00550DC9"/>
    <w:rsid w:val="00550E07"/>
    <w:rsid w:val="00551336"/>
    <w:rsid w:val="00554D67"/>
    <w:rsid w:val="0055668F"/>
    <w:rsid w:val="00557CA0"/>
    <w:rsid w:val="00557E2A"/>
    <w:rsid w:val="005603BC"/>
    <w:rsid w:val="005605B6"/>
    <w:rsid w:val="005633DD"/>
    <w:rsid w:val="00566AFF"/>
    <w:rsid w:val="005702E1"/>
    <w:rsid w:val="00570B2E"/>
    <w:rsid w:val="00571304"/>
    <w:rsid w:val="00571ABE"/>
    <w:rsid w:val="005723E4"/>
    <w:rsid w:val="00574351"/>
    <w:rsid w:val="00574487"/>
    <w:rsid w:val="00574E70"/>
    <w:rsid w:val="00576A71"/>
    <w:rsid w:val="0057786D"/>
    <w:rsid w:val="0058101A"/>
    <w:rsid w:val="00581031"/>
    <w:rsid w:val="00581398"/>
    <w:rsid w:val="00581AD6"/>
    <w:rsid w:val="005862C2"/>
    <w:rsid w:val="0058655B"/>
    <w:rsid w:val="00586AE7"/>
    <w:rsid w:val="00587F16"/>
    <w:rsid w:val="00590E56"/>
    <w:rsid w:val="005919BA"/>
    <w:rsid w:val="005922C2"/>
    <w:rsid w:val="0059344F"/>
    <w:rsid w:val="005940C2"/>
    <w:rsid w:val="005943CF"/>
    <w:rsid w:val="00594E1E"/>
    <w:rsid w:val="00594EE7"/>
    <w:rsid w:val="00595E3B"/>
    <w:rsid w:val="0059663C"/>
    <w:rsid w:val="0059728A"/>
    <w:rsid w:val="005976C6"/>
    <w:rsid w:val="005A0867"/>
    <w:rsid w:val="005A2557"/>
    <w:rsid w:val="005A4BDA"/>
    <w:rsid w:val="005A5AE9"/>
    <w:rsid w:val="005A7F50"/>
    <w:rsid w:val="005B11D5"/>
    <w:rsid w:val="005B2F24"/>
    <w:rsid w:val="005B309C"/>
    <w:rsid w:val="005B3FD1"/>
    <w:rsid w:val="005B6E46"/>
    <w:rsid w:val="005B7ABC"/>
    <w:rsid w:val="005B7C1E"/>
    <w:rsid w:val="005C1444"/>
    <w:rsid w:val="005C1B56"/>
    <w:rsid w:val="005C25EB"/>
    <w:rsid w:val="005C287C"/>
    <w:rsid w:val="005C2924"/>
    <w:rsid w:val="005C2AA6"/>
    <w:rsid w:val="005C3043"/>
    <w:rsid w:val="005C47E1"/>
    <w:rsid w:val="005C6B21"/>
    <w:rsid w:val="005C6FE5"/>
    <w:rsid w:val="005D06FF"/>
    <w:rsid w:val="005D2AE4"/>
    <w:rsid w:val="005D2DB9"/>
    <w:rsid w:val="005D33EF"/>
    <w:rsid w:val="005D4360"/>
    <w:rsid w:val="005E129A"/>
    <w:rsid w:val="005E1734"/>
    <w:rsid w:val="005E19F0"/>
    <w:rsid w:val="005E7D5F"/>
    <w:rsid w:val="005F04D1"/>
    <w:rsid w:val="005F09E5"/>
    <w:rsid w:val="005F5D68"/>
    <w:rsid w:val="005F5FDF"/>
    <w:rsid w:val="00601910"/>
    <w:rsid w:val="00601917"/>
    <w:rsid w:val="00601EF8"/>
    <w:rsid w:val="00602E03"/>
    <w:rsid w:val="00603139"/>
    <w:rsid w:val="00603FC4"/>
    <w:rsid w:val="00604744"/>
    <w:rsid w:val="00605E13"/>
    <w:rsid w:val="00606376"/>
    <w:rsid w:val="0061032F"/>
    <w:rsid w:val="00611089"/>
    <w:rsid w:val="00612CFC"/>
    <w:rsid w:val="006135A9"/>
    <w:rsid w:val="0062157B"/>
    <w:rsid w:val="00624737"/>
    <w:rsid w:val="00625C1D"/>
    <w:rsid w:val="006265EE"/>
    <w:rsid w:val="00626BD9"/>
    <w:rsid w:val="006272CE"/>
    <w:rsid w:val="006272F1"/>
    <w:rsid w:val="00630915"/>
    <w:rsid w:val="00630953"/>
    <w:rsid w:val="00631302"/>
    <w:rsid w:val="00632416"/>
    <w:rsid w:val="006329DB"/>
    <w:rsid w:val="00633E68"/>
    <w:rsid w:val="0063479E"/>
    <w:rsid w:val="006364F8"/>
    <w:rsid w:val="0063678C"/>
    <w:rsid w:val="0063699C"/>
    <w:rsid w:val="006401C0"/>
    <w:rsid w:val="006412FC"/>
    <w:rsid w:val="00641555"/>
    <w:rsid w:val="006415D3"/>
    <w:rsid w:val="00642263"/>
    <w:rsid w:val="006424BB"/>
    <w:rsid w:val="006438B6"/>
    <w:rsid w:val="00651075"/>
    <w:rsid w:val="00654527"/>
    <w:rsid w:val="00654FC5"/>
    <w:rsid w:val="00655299"/>
    <w:rsid w:val="0065755A"/>
    <w:rsid w:val="00660008"/>
    <w:rsid w:val="00660C45"/>
    <w:rsid w:val="006629E4"/>
    <w:rsid w:val="00665F8C"/>
    <w:rsid w:val="00666EAB"/>
    <w:rsid w:val="00667EE6"/>
    <w:rsid w:val="00670114"/>
    <w:rsid w:val="00670713"/>
    <w:rsid w:val="006715DA"/>
    <w:rsid w:val="00672BD6"/>
    <w:rsid w:val="00672C7D"/>
    <w:rsid w:val="0067423A"/>
    <w:rsid w:val="0067580F"/>
    <w:rsid w:val="00680B72"/>
    <w:rsid w:val="0068245B"/>
    <w:rsid w:val="00682A3E"/>
    <w:rsid w:val="00682DF4"/>
    <w:rsid w:val="006907B7"/>
    <w:rsid w:val="006929D5"/>
    <w:rsid w:val="00693A08"/>
    <w:rsid w:val="00694A92"/>
    <w:rsid w:val="006978D3"/>
    <w:rsid w:val="006A0EEA"/>
    <w:rsid w:val="006A2D6A"/>
    <w:rsid w:val="006A42CE"/>
    <w:rsid w:val="006A5978"/>
    <w:rsid w:val="006A7AA1"/>
    <w:rsid w:val="006B0597"/>
    <w:rsid w:val="006B0D25"/>
    <w:rsid w:val="006B1FA5"/>
    <w:rsid w:val="006B2963"/>
    <w:rsid w:val="006B2E9E"/>
    <w:rsid w:val="006B54B9"/>
    <w:rsid w:val="006B7C1D"/>
    <w:rsid w:val="006C03F5"/>
    <w:rsid w:val="006C137A"/>
    <w:rsid w:val="006C14BF"/>
    <w:rsid w:val="006C3726"/>
    <w:rsid w:val="006C438F"/>
    <w:rsid w:val="006C43AC"/>
    <w:rsid w:val="006C68C3"/>
    <w:rsid w:val="006C728B"/>
    <w:rsid w:val="006C7302"/>
    <w:rsid w:val="006C7DBD"/>
    <w:rsid w:val="006D0036"/>
    <w:rsid w:val="006D29BA"/>
    <w:rsid w:val="006D59F0"/>
    <w:rsid w:val="006D684C"/>
    <w:rsid w:val="006D6EAD"/>
    <w:rsid w:val="006D7135"/>
    <w:rsid w:val="006D7879"/>
    <w:rsid w:val="006E2E3F"/>
    <w:rsid w:val="006E2F39"/>
    <w:rsid w:val="006E3C41"/>
    <w:rsid w:val="006E421E"/>
    <w:rsid w:val="006F2434"/>
    <w:rsid w:val="006F3415"/>
    <w:rsid w:val="006F5BE0"/>
    <w:rsid w:val="006F7860"/>
    <w:rsid w:val="006F7EA6"/>
    <w:rsid w:val="00702E4C"/>
    <w:rsid w:val="00703860"/>
    <w:rsid w:val="00704050"/>
    <w:rsid w:val="00705627"/>
    <w:rsid w:val="00710422"/>
    <w:rsid w:val="007105CD"/>
    <w:rsid w:val="007127AA"/>
    <w:rsid w:val="00714AFB"/>
    <w:rsid w:val="0071521D"/>
    <w:rsid w:val="0071665E"/>
    <w:rsid w:val="007177AA"/>
    <w:rsid w:val="00717C87"/>
    <w:rsid w:val="007219BD"/>
    <w:rsid w:val="00722578"/>
    <w:rsid w:val="00723AA6"/>
    <w:rsid w:val="00725187"/>
    <w:rsid w:val="00725B68"/>
    <w:rsid w:val="00725BA9"/>
    <w:rsid w:val="0072624C"/>
    <w:rsid w:val="00727E8C"/>
    <w:rsid w:val="007313A8"/>
    <w:rsid w:val="0073334D"/>
    <w:rsid w:val="00735246"/>
    <w:rsid w:val="00736C88"/>
    <w:rsid w:val="00737145"/>
    <w:rsid w:val="00737D53"/>
    <w:rsid w:val="00737DEE"/>
    <w:rsid w:val="007415FC"/>
    <w:rsid w:val="00741AE5"/>
    <w:rsid w:val="00741C9A"/>
    <w:rsid w:val="00742482"/>
    <w:rsid w:val="00742A7B"/>
    <w:rsid w:val="00747FC9"/>
    <w:rsid w:val="00750309"/>
    <w:rsid w:val="00750614"/>
    <w:rsid w:val="00750883"/>
    <w:rsid w:val="0075182B"/>
    <w:rsid w:val="00752173"/>
    <w:rsid w:val="0075238E"/>
    <w:rsid w:val="00752FEF"/>
    <w:rsid w:val="00753A3D"/>
    <w:rsid w:val="0075427E"/>
    <w:rsid w:val="00756BDA"/>
    <w:rsid w:val="007618D8"/>
    <w:rsid w:val="00762815"/>
    <w:rsid w:val="007665EC"/>
    <w:rsid w:val="00766982"/>
    <w:rsid w:val="00766DA5"/>
    <w:rsid w:val="007676FE"/>
    <w:rsid w:val="00767AF1"/>
    <w:rsid w:val="0077009A"/>
    <w:rsid w:val="007706DB"/>
    <w:rsid w:val="007728F5"/>
    <w:rsid w:val="00772AE2"/>
    <w:rsid w:val="007731A7"/>
    <w:rsid w:val="00773404"/>
    <w:rsid w:val="00774A03"/>
    <w:rsid w:val="00781790"/>
    <w:rsid w:val="007828CB"/>
    <w:rsid w:val="00782C13"/>
    <w:rsid w:val="00784603"/>
    <w:rsid w:val="00784EDF"/>
    <w:rsid w:val="00785E81"/>
    <w:rsid w:val="007874AF"/>
    <w:rsid w:val="0078788F"/>
    <w:rsid w:val="00787AFA"/>
    <w:rsid w:val="0079033D"/>
    <w:rsid w:val="00790419"/>
    <w:rsid w:val="007905D2"/>
    <w:rsid w:val="007922DE"/>
    <w:rsid w:val="00793614"/>
    <w:rsid w:val="00793BE3"/>
    <w:rsid w:val="00793E54"/>
    <w:rsid w:val="007941FB"/>
    <w:rsid w:val="0079481B"/>
    <w:rsid w:val="0079504B"/>
    <w:rsid w:val="00795F51"/>
    <w:rsid w:val="00797954"/>
    <w:rsid w:val="007A2BF8"/>
    <w:rsid w:val="007A3C7D"/>
    <w:rsid w:val="007A403F"/>
    <w:rsid w:val="007A47B1"/>
    <w:rsid w:val="007A5849"/>
    <w:rsid w:val="007A609A"/>
    <w:rsid w:val="007A6ACE"/>
    <w:rsid w:val="007A6D6A"/>
    <w:rsid w:val="007B0D45"/>
    <w:rsid w:val="007B1846"/>
    <w:rsid w:val="007B1C89"/>
    <w:rsid w:val="007B2ED5"/>
    <w:rsid w:val="007B3052"/>
    <w:rsid w:val="007B45C7"/>
    <w:rsid w:val="007B5748"/>
    <w:rsid w:val="007B5981"/>
    <w:rsid w:val="007B6873"/>
    <w:rsid w:val="007B75D8"/>
    <w:rsid w:val="007C05B7"/>
    <w:rsid w:val="007C0724"/>
    <w:rsid w:val="007C266C"/>
    <w:rsid w:val="007C3C64"/>
    <w:rsid w:val="007C51F3"/>
    <w:rsid w:val="007C720A"/>
    <w:rsid w:val="007C7D87"/>
    <w:rsid w:val="007D083F"/>
    <w:rsid w:val="007D0EB2"/>
    <w:rsid w:val="007D10F8"/>
    <w:rsid w:val="007D237E"/>
    <w:rsid w:val="007D2DDE"/>
    <w:rsid w:val="007D34DC"/>
    <w:rsid w:val="007D4BE7"/>
    <w:rsid w:val="007D6612"/>
    <w:rsid w:val="007E1190"/>
    <w:rsid w:val="007E28BE"/>
    <w:rsid w:val="007E4D1D"/>
    <w:rsid w:val="007E532C"/>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1073"/>
    <w:rsid w:val="00801B2E"/>
    <w:rsid w:val="0080213F"/>
    <w:rsid w:val="00802B0F"/>
    <w:rsid w:val="00804165"/>
    <w:rsid w:val="00805BBF"/>
    <w:rsid w:val="00805C26"/>
    <w:rsid w:val="00806D0B"/>
    <w:rsid w:val="008075A9"/>
    <w:rsid w:val="00810F8D"/>
    <w:rsid w:val="00810F94"/>
    <w:rsid w:val="00811526"/>
    <w:rsid w:val="00816237"/>
    <w:rsid w:val="008176DB"/>
    <w:rsid w:val="00820FE5"/>
    <w:rsid w:val="008235D8"/>
    <w:rsid w:val="00823DF5"/>
    <w:rsid w:val="008242C6"/>
    <w:rsid w:val="00824D63"/>
    <w:rsid w:val="00827466"/>
    <w:rsid w:val="00827CBB"/>
    <w:rsid w:val="00831920"/>
    <w:rsid w:val="0083649F"/>
    <w:rsid w:val="00840695"/>
    <w:rsid w:val="00843737"/>
    <w:rsid w:val="00845EC8"/>
    <w:rsid w:val="008474B7"/>
    <w:rsid w:val="0085149B"/>
    <w:rsid w:val="00851554"/>
    <w:rsid w:val="00854CFD"/>
    <w:rsid w:val="0085508D"/>
    <w:rsid w:val="008553A4"/>
    <w:rsid w:val="008577E6"/>
    <w:rsid w:val="00861631"/>
    <w:rsid w:val="008635BC"/>
    <w:rsid w:val="0086436B"/>
    <w:rsid w:val="008643DF"/>
    <w:rsid w:val="00865618"/>
    <w:rsid w:val="0086624C"/>
    <w:rsid w:val="00870E8B"/>
    <w:rsid w:val="008740F4"/>
    <w:rsid w:val="00874283"/>
    <w:rsid w:val="0087498E"/>
    <w:rsid w:val="00874C11"/>
    <w:rsid w:val="00876745"/>
    <w:rsid w:val="00876A27"/>
    <w:rsid w:val="00877140"/>
    <w:rsid w:val="00877A07"/>
    <w:rsid w:val="008808C9"/>
    <w:rsid w:val="00883218"/>
    <w:rsid w:val="0088355A"/>
    <w:rsid w:val="00883B95"/>
    <w:rsid w:val="008848AC"/>
    <w:rsid w:val="00885159"/>
    <w:rsid w:val="00886B63"/>
    <w:rsid w:val="00890A34"/>
    <w:rsid w:val="00890E70"/>
    <w:rsid w:val="00891C81"/>
    <w:rsid w:val="0089229B"/>
    <w:rsid w:val="008927D8"/>
    <w:rsid w:val="00893CEE"/>
    <w:rsid w:val="008A0F70"/>
    <w:rsid w:val="008A2F3C"/>
    <w:rsid w:val="008A3D8E"/>
    <w:rsid w:val="008A4B76"/>
    <w:rsid w:val="008A56B2"/>
    <w:rsid w:val="008A5A94"/>
    <w:rsid w:val="008A619A"/>
    <w:rsid w:val="008B0488"/>
    <w:rsid w:val="008B2C52"/>
    <w:rsid w:val="008B33C1"/>
    <w:rsid w:val="008B3677"/>
    <w:rsid w:val="008B3DD4"/>
    <w:rsid w:val="008B4E81"/>
    <w:rsid w:val="008C0CA0"/>
    <w:rsid w:val="008C1A97"/>
    <w:rsid w:val="008C1C30"/>
    <w:rsid w:val="008C36B6"/>
    <w:rsid w:val="008C3932"/>
    <w:rsid w:val="008C443A"/>
    <w:rsid w:val="008C6278"/>
    <w:rsid w:val="008C79F8"/>
    <w:rsid w:val="008D176F"/>
    <w:rsid w:val="008D30C6"/>
    <w:rsid w:val="008D57EE"/>
    <w:rsid w:val="008D596B"/>
    <w:rsid w:val="008D6271"/>
    <w:rsid w:val="008E023C"/>
    <w:rsid w:val="008E05F8"/>
    <w:rsid w:val="008E2BDA"/>
    <w:rsid w:val="008E3314"/>
    <w:rsid w:val="008E3521"/>
    <w:rsid w:val="008E3EAE"/>
    <w:rsid w:val="008E5802"/>
    <w:rsid w:val="008E6325"/>
    <w:rsid w:val="008E7B49"/>
    <w:rsid w:val="008F2E68"/>
    <w:rsid w:val="008F311A"/>
    <w:rsid w:val="008F46BB"/>
    <w:rsid w:val="009007EB"/>
    <w:rsid w:val="00900C2F"/>
    <w:rsid w:val="00901104"/>
    <w:rsid w:val="00902467"/>
    <w:rsid w:val="0090283B"/>
    <w:rsid w:val="00902BBE"/>
    <w:rsid w:val="00902D16"/>
    <w:rsid w:val="00903C50"/>
    <w:rsid w:val="00903F32"/>
    <w:rsid w:val="009065A3"/>
    <w:rsid w:val="0090683B"/>
    <w:rsid w:val="00907567"/>
    <w:rsid w:val="009077EA"/>
    <w:rsid w:val="00910EDA"/>
    <w:rsid w:val="0091162C"/>
    <w:rsid w:val="00911E67"/>
    <w:rsid w:val="00913253"/>
    <w:rsid w:val="009135F5"/>
    <w:rsid w:val="00913DE9"/>
    <w:rsid w:val="00915ACB"/>
    <w:rsid w:val="00916366"/>
    <w:rsid w:val="009170B5"/>
    <w:rsid w:val="00917420"/>
    <w:rsid w:val="00917FEF"/>
    <w:rsid w:val="009205F6"/>
    <w:rsid w:val="00922564"/>
    <w:rsid w:val="00922C65"/>
    <w:rsid w:val="00924F11"/>
    <w:rsid w:val="009270EA"/>
    <w:rsid w:val="00930262"/>
    <w:rsid w:val="009313F9"/>
    <w:rsid w:val="00931AC2"/>
    <w:rsid w:val="00931E30"/>
    <w:rsid w:val="00935012"/>
    <w:rsid w:val="009361D8"/>
    <w:rsid w:val="009365B5"/>
    <w:rsid w:val="00936DB8"/>
    <w:rsid w:val="00937414"/>
    <w:rsid w:val="00937D25"/>
    <w:rsid w:val="009424AE"/>
    <w:rsid w:val="00943BCD"/>
    <w:rsid w:val="00944AC4"/>
    <w:rsid w:val="00945D83"/>
    <w:rsid w:val="00946312"/>
    <w:rsid w:val="00947FDB"/>
    <w:rsid w:val="009526BF"/>
    <w:rsid w:val="00952CB3"/>
    <w:rsid w:val="00953C1C"/>
    <w:rsid w:val="00953E39"/>
    <w:rsid w:val="009552D5"/>
    <w:rsid w:val="00956152"/>
    <w:rsid w:val="009561E1"/>
    <w:rsid w:val="0095653D"/>
    <w:rsid w:val="009605DA"/>
    <w:rsid w:val="00960AD3"/>
    <w:rsid w:val="009617E3"/>
    <w:rsid w:val="00962269"/>
    <w:rsid w:val="00962D72"/>
    <w:rsid w:val="0096355A"/>
    <w:rsid w:val="009642DC"/>
    <w:rsid w:val="0096447D"/>
    <w:rsid w:val="00965C03"/>
    <w:rsid w:val="00967987"/>
    <w:rsid w:val="00970107"/>
    <w:rsid w:val="0097231B"/>
    <w:rsid w:val="00972F29"/>
    <w:rsid w:val="00975308"/>
    <w:rsid w:val="00976564"/>
    <w:rsid w:val="00977695"/>
    <w:rsid w:val="00980CBA"/>
    <w:rsid w:val="00980ED9"/>
    <w:rsid w:val="009821B0"/>
    <w:rsid w:val="00982AB6"/>
    <w:rsid w:val="00982CF1"/>
    <w:rsid w:val="00983278"/>
    <w:rsid w:val="00984501"/>
    <w:rsid w:val="00985116"/>
    <w:rsid w:val="00986E22"/>
    <w:rsid w:val="00987AAD"/>
    <w:rsid w:val="00987ADD"/>
    <w:rsid w:val="009939FF"/>
    <w:rsid w:val="009954FD"/>
    <w:rsid w:val="009A09D9"/>
    <w:rsid w:val="009A2C5E"/>
    <w:rsid w:val="009A4B40"/>
    <w:rsid w:val="009A5C32"/>
    <w:rsid w:val="009B0485"/>
    <w:rsid w:val="009B43EE"/>
    <w:rsid w:val="009B4822"/>
    <w:rsid w:val="009B50A3"/>
    <w:rsid w:val="009B6E02"/>
    <w:rsid w:val="009B7D94"/>
    <w:rsid w:val="009C0B06"/>
    <w:rsid w:val="009C2E83"/>
    <w:rsid w:val="009C5A66"/>
    <w:rsid w:val="009C61A9"/>
    <w:rsid w:val="009C670E"/>
    <w:rsid w:val="009C7B1C"/>
    <w:rsid w:val="009D15B7"/>
    <w:rsid w:val="009D36A4"/>
    <w:rsid w:val="009D3C16"/>
    <w:rsid w:val="009D4ED8"/>
    <w:rsid w:val="009D679D"/>
    <w:rsid w:val="009D7D14"/>
    <w:rsid w:val="009E1474"/>
    <w:rsid w:val="009E3086"/>
    <w:rsid w:val="009E445F"/>
    <w:rsid w:val="009E5DB4"/>
    <w:rsid w:val="009E68B5"/>
    <w:rsid w:val="009F18F8"/>
    <w:rsid w:val="009F1F34"/>
    <w:rsid w:val="009F3CB2"/>
    <w:rsid w:val="009F5377"/>
    <w:rsid w:val="009F5A60"/>
    <w:rsid w:val="009F74A0"/>
    <w:rsid w:val="009F7766"/>
    <w:rsid w:val="009F7E5C"/>
    <w:rsid w:val="00A00DE0"/>
    <w:rsid w:val="00A04A3F"/>
    <w:rsid w:val="00A05F22"/>
    <w:rsid w:val="00A06989"/>
    <w:rsid w:val="00A06AB5"/>
    <w:rsid w:val="00A108F0"/>
    <w:rsid w:val="00A11C2E"/>
    <w:rsid w:val="00A12023"/>
    <w:rsid w:val="00A1225D"/>
    <w:rsid w:val="00A17072"/>
    <w:rsid w:val="00A2111A"/>
    <w:rsid w:val="00A219D7"/>
    <w:rsid w:val="00A249EF"/>
    <w:rsid w:val="00A25E7C"/>
    <w:rsid w:val="00A30388"/>
    <w:rsid w:val="00A315B9"/>
    <w:rsid w:val="00A31B68"/>
    <w:rsid w:val="00A3257A"/>
    <w:rsid w:val="00A32B29"/>
    <w:rsid w:val="00A33E48"/>
    <w:rsid w:val="00A34AB1"/>
    <w:rsid w:val="00A36561"/>
    <w:rsid w:val="00A37F75"/>
    <w:rsid w:val="00A400EF"/>
    <w:rsid w:val="00A402E0"/>
    <w:rsid w:val="00A429C4"/>
    <w:rsid w:val="00A441CE"/>
    <w:rsid w:val="00A46504"/>
    <w:rsid w:val="00A473F9"/>
    <w:rsid w:val="00A52647"/>
    <w:rsid w:val="00A53BF2"/>
    <w:rsid w:val="00A53D3F"/>
    <w:rsid w:val="00A55912"/>
    <w:rsid w:val="00A56862"/>
    <w:rsid w:val="00A57DA5"/>
    <w:rsid w:val="00A626CF"/>
    <w:rsid w:val="00A62E69"/>
    <w:rsid w:val="00A633E9"/>
    <w:rsid w:val="00A638DA"/>
    <w:rsid w:val="00A64B9E"/>
    <w:rsid w:val="00A66385"/>
    <w:rsid w:val="00A663D6"/>
    <w:rsid w:val="00A66492"/>
    <w:rsid w:val="00A667DD"/>
    <w:rsid w:val="00A66CD1"/>
    <w:rsid w:val="00A67ECB"/>
    <w:rsid w:val="00A70EA1"/>
    <w:rsid w:val="00A71507"/>
    <w:rsid w:val="00A71CCC"/>
    <w:rsid w:val="00A73375"/>
    <w:rsid w:val="00A744DB"/>
    <w:rsid w:val="00A7536D"/>
    <w:rsid w:val="00A75591"/>
    <w:rsid w:val="00A75A45"/>
    <w:rsid w:val="00A82A4A"/>
    <w:rsid w:val="00A857B3"/>
    <w:rsid w:val="00A85B30"/>
    <w:rsid w:val="00A85EB6"/>
    <w:rsid w:val="00A86589"/>
    <w:rsid w:val="00A87577"/>
    <w:rsid w:val="00A87FA8"/>
    <w:rsid w:val="00A87FF8"/>
    <w:rsid w:val="00A917D6"/>
    <w:rsid w:val="00A9303E"/>
    <w:rsid w:val="00A93237"/>
    <w:rsid w:val="00A941FB"/>
    <w:rsid w:val="00A94D6D"/>
    <w:rsid w:val="00A9512D"/>
    <w:rsid w:val="00A96381"/>
    <w:rsid w:val="00A96EEC"/>
    <w:rsid w:val="00A97714"/>
    <w:rsid w:val="00AA0D7F"/>
    <w:rsid w:val="00AA0EDB"/>
    <w:rsid w:val="00AA21A6"/>
    <w:rsid w:val="00AA230F"/>
    <w:rsid w:val="00AA53AE"/>
    <w:rsid w:val="00AA560B"/>
    <w:rsid w:val="00AA5A2B"/>
    <w:rsid w:val="00AA5AEA"/>
    <w:rsid w:val="00AB1285"/>
    <w:rsid w:val="00AB2DA6"/>
    <w:rsid w:val="00AB36FA"/>
    <w:rsid w:val="00AB56F8"/>
    <w:rsid w:val="00AB5DE7"/>
    <w:rsid w:val="00AB798C"/>
    <w:rsid w:val="00AC0E76"/>
    <w:rsid w:val="00AC1CF4"/>
    <w:rsid w:val="00AC314A"/>
    <w:rsid w:val="00AC31BB"/>
    <w:rsid w:val="00AC365B"/>
    <w:rsid w:val="00AC379B"/>
    <w:rsid w:val="00AC4EF4"/>
    <w:rsid w:val="00AC6B14"/>
    <w:rsid w:val="00AC7AC3"/>
    <w:rsid w:val="00AD0D57"/>
    <w:rsid w:val="00AD1823"/>
    <w:rsid w:val="00AD2631"/>
    <w:rsid w:val="00AD2B28"/>
    <w:rsid w:val="00AD2CE0"/>
    <w:rsid w:val="00AD39FA"/>
    <w:rsid w:val="00AD3DBC"/>
    <w:rsid w:val="00AD4C9F"/>
    <w:rsid w:val="00AD5226"/>
    <w:rsid w:val="00AD5386"/>
    <w:rsid w:val="00AD6138"/>
    <w:rsid w:val="00AD62A0"/>
    <w:rsid w:val="00AE0631"/>
    <w:rsid w:val="00AE18E1"/>
    <w:rsid w:val="00AE24F0"/>
    <w:rsid w:val="00AE2763"/>
    <w:rsid w:val="00AE2E28"/>
    <w:rsid w:val="00AE37B5"/>
    <w:rsid w:val="00AE6250"/>
    <w:rsid w:val="00AE69AD"/>
    <w:rsid w:val="00AF08E9"/>
    <w:rsid w:val="00AF12CA"/>
    <w:rsid w:val="00AF130E"/>
    <w:rsid w:val="00AF2C01"/>
    <w:rsid w:val="00AF3C0B"/>
    <w:rsid w:val="00AF4099"/>
    <w:rsid w:val="00AF6EEE"/>
    <w:rsid w:val="00AF7A59"/>
    <w:rsid w:val="00B02310"/>
    <w:rsid w:val="00B05F86"/>
    <w:rsid w:val="00B1020D"/>
    <w:rsid w:val="00B10E99"/>
    <w:rsid w:val="00B1172E"/>
    <w:rsid w:val="00B12783"/>
    <w:rsid w:val="00B12943"/>
    <w:rsid w:val="00B14CE2"/>
    <w:rsid w:val="00B14D22"/>
    <w:rsid w:val="00B14E5B"/>
    <w:rsid w:val="00B14FB2"/>
    <w:rsid w:val="00B15E43"/>
    <w:rsid w:val="00B16648"/>
    <w:rsid w:val="00B16872"/>
    <w:rsid w:val="00B16E37"/>
    <w:rsid w:val="00B17863"/>
    <w:rsid w:val="00B217C2"/>
    <w:rsid w:val="00B22788"/>
    <w:rsid w:val="00B227EF"/>
    <w:rsid w:val="00B235D5"/>
    <w:rsid w:val="00B23BC6"/>
    <w:rsid w:val="00B2433B"/>
    <w:rsid w:val="00B2551D"/>
    <w:rsid w:val="00B30BDB"/>
    <w:rsid w:val="00B318DC"/>
    <w:rsid w:val="00B342EC"/>
    <w:rsid w:val="00B34889"/>
    <w:rsid w:val="00B352DB"/>
    <w:rsid w:val="00B35DFD"/>
    <w:rsid w:val="00B36116"/>
    <w:rsid w:val="00B363A0"/>
    <w:rsid w:val="00B42A79"/>
    <w:rsid w:val="00B4301E"/>
    <w:rsid w:val="00B53A41"/>
    <w:rsid w:val="00B557FD"/>
    <w:rsid w:val="00B574C2"/>
    <w:rsid w:val="00B62042"/>
    <w:rsid w:val="00B62AE4"/>
    <w:rsid w:val="00B63A4C"/>
    <w:rsid w:val="00B64F4E"/>
    <w:rsid w:val="00B66601"/>
    <w:rsid w:val="00B6723C"/>
    <w:rsid w:val="00B67722"/>
    <w:rsid w:val="00B67A22"/>
    <w:rsid w:val="00B700A1"/>
    <w:rsid w:val="00B70248"/>
    <w:rsid w:val="00B7101A"/>
    <w:rsid w:val="00B719A0"/>
    <w:rsid w:val="00B7360B"/>
    <w:rsid w:val="00B74239"/>
    <w:rsid w:val="00B751CA"/>
    <w:rsid w:val="00B7542A"/>
    <w:rsid w:val="00B774FF"/>
    <w:rsid w:val="00B806CD"/>
    <w:rsid w:val="00B83142"/>
    <w:rsid w:val="00B84AF1"/>
    <w:rsid w:val="00B84B9F"/>
    <w:rsid w:val="00B860A0"/>
    <w:rsid w:val="00B862FF"/>
    <w:rsid w:val="00B8642F"/>
    <w:rsid w:val="00B86636"/>
    <w:rsid w:val="00B93C32"/>
    <w:rsid w:val="00B942C2"/>
    <w:rsid w:val="00B965DC"/>
    <w:rsid w:val="00B969E3"/>
    <w:rsid w:val="00B9736D"/>
    <w:rsid w:val="00BA0AEA"/>
    <w:rsid w:val="00BA154D"/>
    <w:rsid w:val="00BA2887"/>
    <w:rsid w:val="00BA3D96"/>
    <w:rsid w:val="00BA3ECC"/>
    <w:rsid w:val="00BA3F0D"/>
    <w:rsid w:val="00BA463E"/>
    <w:rsid w:val="00BA4E49"/>
    <w:rsid w:val="00BA5968"/>
    <w:rsid w:val="00BA6625"/>
    <w:rsid w:val="00BB1162"/>
    <w:rsid w:val="00BB3B27"/>
    <w:rsid w:val="00BB445F"/>
    <w:rsid w:val="00BB4FBF"/>
    <w:rsid w:val="00BB6DFF"/>
    <w:rsid w:val="00BC24B7"/>
    <w:rsid w:val="00BC3FEE"/>
    <w:rsid w:val="00BC50C0"/>
    <w:rsid w:val="00BD26E3"/>
    <w:rsid w:val="00BD4921"/>
    <w:rsid w:val="00BD50D3"/>
    <w:rsid w:val="00BD7418"/>
    <w:rsid w:val="00BD7D4F"/>
    <w:rsid w:val="00BE122C"/>
    <w:rsid w:val="00BE2D00"/>
    <w:rsid w:val="00BE2EB2"/>
    <w:rsid w:val="00BE5181"/>
    <w:rsid w:val="00BE7899"/>
    <w:rsid w:val="00BF043E"/>
    <w:rsid w:val="00BF0D92"/>
    <w:rsid w:val="00BF13AA"/>
    <w:rsid w:val="00BF1684"/>
    <w:rsid w:val="00BF2356"/>
    <w:rsid w:val="00BF33BD"/>
    <w:rsid w:val="00BF3DD6"/>
    <w:rsid w:val="00BF467C"/>
    <w:rsid w:val="00BF4810"/>
    <w:rsid w:val="00BF5C18"/>
    <w:rsid w:val="00BF5C43"/>
    <w:rsid w:val="00BF67F5"/>
    <w:rsid w:val="00BF7713"/>
    <w:rsid w:val="00C00802"/>
    <w:rsid w:val="00C00A00"/>
    <w:rsid w:val="00C015DE"/>
    <w:rsid w:val="00C01FAE"/>
    <w:rsid w:val="00C038A7"/>
    <w:rsid w:val="00C04731"/>
    <w:rsid w:val="00C04F21"/>
    <w:rsid w:val="00C050A6"/>
    <w:rsid w:val="00C05251"/>
    <w:rsid w:val="00C103D5"/>
    <w:rsid w:val="00C1475D"/>
    <w:rsid w:val="00C16FBB"/>
    <w:rsid w:val="00C22482"/>
    <w:rsid w:val="00C2259F"/>
    <w:rsid w:val="00C23377"/>
    <w:rsid w:val="00C243AB"/>
    <w:rsid w:val="00C262FC"/>
    <w:rsid w:val="00C2665F"/>
    <w:rsid w:val="00C268C6"/>
    <w:rsid w:val="00C314D1"/>
    <w:rsid w:val="00C34067"/>
    <w:rsid w:val="00C345A3"/>
    <w:rsid w:val="00C34DF3"/>
    <w:rsid w:val="00C34DFF"/>
    <w:rsid w:val="00C3598C"/>
    <w:rsid w:val="00C35EA9"/>
    <w:rsid w:val="00C362D4"/>
    <w:rsid w:val="00C42D66"/>
    <w:rsid w:val="00C453D9"/>
    <w:rsid w:val="00C457B2"/>
    <w:rsid w:val="00C45EE6"/>
    <w:rsid w:val="00C46373"/>
    <w:rsid w:val="00C46912"/>
    <w:rsid w:val="00C46D9B"/>
    <w:rsid w:val="00C5162B"/>
    <w:rsid w:val="00C568A3"/>
    <w:rsid w:val="00C57539"/>
    <w:rsid w:val="00C5759C"/>
    <w:rsid w:val="00C5770B"/>
    <w:rsid w:val="00C600F1"/>
    <w:rsid w:val="00C60C12"/>
    <w:rsid w:val="00C64536"/>
    <w:rsid w:val="00C65961"/>
    <w:rsid w:val="00C65F2C"/>
    <w:rsid w:val="00C668EB"/>
    <w:rsid w:val="00C70007"/>
    <w:rsid w:val="00C70F37"/>
    <w:rsid w:val="00C726D8"/>
    <w:rsid w:val="00C72F44"/>
    <w:rsid w:val="00C74C25"/>
    <w:rsid w:val="00C76E5A"/>
    <w:rsid w:val="00C77596"/>
    <w:rsid w:val="00C77D17"/>
    <w:rsid w:val="00C81198"/>
    <w:rsid w:val="00C83319"/>
    <w:rsid w:val="00C839D1"/>
    <w:rsid w:val="00C8457E"/>
    <w:rsid w:val="00C870FB"/>
    <w:rsid w:val="00C92573"/>
    <w:rsid w:val="00C9300C"/>
    <w:rsid w:val="00C9433F"/>
    <w:rsid w:val="00C975F8"/>
    <w:rsid w:val="00C97B35"/>
    <w:rsid w:val="00C97B82"/>
    <w:rsid w:val="00CA01F4"/>
    <w:rsid w:val="00CA1726"/>
    <w:rsid w:val="00CA39CB"/>
    <w:rsid w:val="00CA5556"/>
    <w:rsid w:val="00CA62D3"/>
    <w:rsid w:val="00CA6374"/>
    <w:rsid w:val="00CA64E8"/>
    <w:rsid w:val="00CB0009"/>
    <w:rsid w:val="00CB04AF"/>
    <w:rsid w:val="00CB41B5"/>
    <w:rsid w:val="00CB70FF"/>
    <w:rsid w:val="00CC41D9"/>
    <w:rsid w:val="00CC4A1E"/>
    <w:rsid w:val="00CD07C8"/>
    <w:rsid w:val="00CD3398"/>
    <w:rsid w:val="00CD37A7"/>
    <w:rsid w:val="00CD41B8"/>
    <w:rsid w:val="00CD4604"/>
    <w:rsid w:val="00CD5673"/>
    <w:rsid w:val="00CD5B68"/>
    <w:rsid w:val="00CE019D"/>
    <w:rsid w:val="00CE0F4B"/>
    <w:rsid w:val="00CE1743"/>
    <w:rsid w:val="00CE1786"/>
    <w:rsid w:val="00CE2971"/>
    <w:rsid w:val="00CE5200"/>
    <w:rsid w:val="00CE574E"/>
    <w:rsid w:val="00CE5B80"/>
    <w:rsid w:val="00CE6997"/>
    <w:rsid w:val="00CE7E69"/>
    <w:rsid w:val="00CF141D"/>
    <w:rsid w:val="00CF2E02"/>
    <w:rsid w:val="00CF4CC2"/>
    <w:rsid w:val="00CF5198"/>
    <w:rsid w:val="00CF6510"/>
    <w:rsid w:val="00D008F4"/>
    <w:rsid w:val="00D00EC7"/>
    <w:rsid w:val="00D035E5"/>
    <w:rsid w:val="00D04CBB"/>
    <w:rsid w:val="00D05BA9"/>
    <w:rsid w:val="00D0650D"/>
    <w:rsid w:val="00D07047"/>
    <w:rsid w:val="00D07317"/>
    <w:rsid w:val="00D07C79"/>
    <w:rsid w:val="00D10D8A"/>
    <w:rsid w:val="00D10DBB"/>
    <w:rsid w:val="00D132AF"/>
    <w:rsid w:val="00D13931"/>
    <w:rsid w:val="00D20BAE"/>
    <w:rsid w:val="00D21A5E"/>
    <w:rsid w:val="00D24F34"/>
    <w:rsid w:val="00D32828"/>
    <w:rsid w:val="00D36579"/>
    <w:rsid w:val="00D37588"/>
    <w:rsid w:val="00D40AF3"/>
    <w:rsid w:val="00D4100E"/>
    <w:rsid w:val="00D415F4"/>
    <w:rsid w:val="00D41E07"/>
    <w:rsid w:val="00D41F2A"/>
    <w:rsid w:val="00D42E24"/>
    <w:rsid w:val="00D43B97"/>
    <w:rsid w:val="00D44641"/>
    <w:rsid w:val="00D45C40"/>
    <w:rsid w:val="00D47011"/>
    <w:rsid w:val="00D47916"/>
    <w:rsid w:val="00D47B5F"/>
    <w:rsid w:val="00D47E81"/>
    <w:rsid w:val="00D5001B"/>
    <w:rsid w:val="00D50551"/>
    <w:rsid w:val="00D51982"/>
    <w:rsid w:val="00D51BDB"/>
    <w:rsid w:val="00D51D0C"/>
    <w:rsid w:val="00D533D5"/>
    <w:rsid w:val="00D53D88"/>
    <w:rsid w:val="00D549B2"/>
    <w:rsid w:val="00D54D06"/>
    <w:rsid w:val="00D54D6B"/>
    <w:rsid w:val="00D57098"/>
    <w:rsid w:val="00D602E0"/>
    <w:rsid w:val="00D605E0"/>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3923"/>
    <w:rsid w:val="00D85C23"/>
    <w:rsid w:val="00D86845"/>
    <w:rsid w:val="00D872CB"/>
    <w:rsid w:val="00D87CD9"/>
    <w:rsid w:val="00D90E10"/>
    <w:rsid w:val="00D94751"/>
    <w:rsid w:val="00D956B5"/>
    <w:rsid w:val="00D96970"/>
    <w:rsid w:val="00D96C55"/>
    <w:rsid w:val="00D96DD9"/>
    <w:rsid w:val="00D97494"/>
    <w:rsid w:val="00DA096A"/>
    <w:rsid w:val="00DA0F17"/>
    <w:rsid w:val="00DA19BE"/>
    <w:rsid w:val="00DA40C1"/>
    <w:rsid w:val="00DA4FA3"/>
    <w:rsid w:val="00DA5541"/>
    <w:rsid w:val="00DA5D57"/>
    <w:rsid w:val="00DA735E"/>
    <w:rsid w:val="00DA7FE0"/>
    <w:rsid w:val="00DB1AA7"/>
    <w:rsid w:val="00DB4A94"/>
    <w:rsid w:val="00DB552D"/>
    <w:rsid w:val="00DB5920"/>
    <w:rsid w:val="00DB5A5F"/>
    <w:rsid w:val="00DB7314"/>
    <w:rsid w:val="00DC0385"/>
    <w:rsid w:val="00DC1878"/>
    <w:rsid w:val="00DC61E3"/>
    <w:rsid w:val="00DC6710"/>
    <w:rsid w:val="00DC73F7"/>
    <w:rsid w:val="00DC75CB"/>
    <w:rsid w:val="00DC7FCC"/>
    <w:rsid w:val="00DD04D8"/>
    <w:rsid w:val="00DD52EE"/>
    <w:rsid w:val="00DD59D1"/>
    <w:rsid w:val="00DD7849"/>
    <w:rsid w:val="00DD7E2D"/>
    <w:rsid w:val="00DE0303"/>
    <w:rsid w:val="00DE124A"/>
    <w:rsid w:val="00DE1303"/>
    <w:rsid w:val="00DE2EA9"/>
    <w:rsid w:val="00DE3E65"/>
    <w:rsid w:val="00DE536A"/>
    <w:rsid w:val="00DE54AB"/>
    <w:rsid w:val="00DE5DD2"/>
    <w:rsid w:val="00DE6A8A"/>
    <w:rsid w:val="00DE7823"/>
    <w:rsid w:val="00DF0405"/>
    <w:rsid w:val="00DF070A"/>
    <w:rsid w:val="00DF1224"/>
    <w:rsid w:val="00DF198B"/>
    <w:rsid w:val="00DF27D9"/>
    <w:rsid w:val="00DF2ED4"/>
    <w:rsid w:val="00DF2FE1"/>
    <w:rsid w:val="00DF451D"/>
    <w:rsid w:val="00DF4E8A"/>
    <w:rsid w:val="00DF6087"/>
    <w:rsid w:val="00DF6315"/>
    <w:rsid w:val="00DF6A9A"/>
    <w:rsid w:val="00DF7362"/>
    <w:rsid w:val="00DF7BBD"/>
    <w:rsid w:val="00E01C94"/>
    <w:rsid w:val="00E02D56"/>
    <w:rsid w:val="00E04D9A"/>
    <w:rsid w:val="00E063E1"/>
    <w:rsid w:val="00E104FE"/>
    <w:rsid w:val="00E12E9A"/>
    <w:rsid w:val="00E13063"/>
    <w:rsid w:val="00E13E11"/>
    <w:rsid w:val="00E17080"/>
    <w:rsid w:val="00E17829"/>
    <w:rsid w:val="00E17F27"/>
    <w:rsid w:val="00E203A7"/>
    <w:rsid w:val="00E20512"/>
    <w:rsid w:val="00E22BC2"/>
    <w:rsid w:val="00E23095"/>
    <w:rsid w:val="00E23459"/>
    <w:rsid w:val="00E23962"/>
    <w:rsid w:val="00E25BEA"/>
    <w:rsid w:val="00E263E6"/>
    <w:rsid w:val="00E276C4"/>
    <w:rsid w:val="00E277D6"/>
    <w:rsid w:val="00E27E03"/>
    <w:rsid w:val="00E30C41"/>
    <w:rsid w:val="00E32ED3"/>
    <w:rsid w:val="00E34D81"/>
    <w:rsid w:val="00E3729F"/>
    <w:rsid w:val="00E40D7E"/>
    <w:rsid w:val="00E42CC9"/>
    <w:rsid w:val="00E433A7"/>
    <w:rsid w:val="00E4396F"/>
    <w:rsid w:val="00E43F30"/>
    <w:rsid w:val="00E4576E"/>
    <w:rsid w:val="00E5037E"/>
    <w:rsid w:val="00E522FF"/>
    <w:rsid w:val="00E537F7"/>
    <w:rsid w:val="00E5604E"/>
    <w:rsid w:val="00E560FE"/>
    <w:rsid w:val="00E56842"/>
    <w:rsid w:val="00E56A2D"/>
    <w:rsid w:val="00E571F2"/>
    <w:rsid w:val="00E57EBF"/>
    <w:rsid w:val="00E60A22"/>
    <w:rsid w:val="00E6168A"/>
    <w:rsid w:val="00E62D71"/>
    <w:rsid w:val="00E63C28"/>
    <w:rsid w:val="00E647CA"/>
    <w:rsid w:val="00E6506D"/>
    <w:rsid w:val="00E67784"/>
    <w:rsid w:val="00E715D9"/>
    <w:rsid w:val="00E7193E"/>
    <w:rsid w:val="00E721F5"/>
    <w:rsid w:val="00E7269C"/>
    <w:rsid w:val="00E7290F"/>
    <w:rsid w:val="00E72D6D"/>
    <w:rsid w:val="00E7342A"/>
    <w:rsid w:val="00E73549"/>
    <w:rsid w:val="00E76577"/>
    <w:rsid w:val="00E7676C"/>
    <w:rsid w:val="00E76862"/>
    <w:rsid w:val="00E82DA8"/>
    <w:rsid w:val="00E8352E"/>
    <w:rsid w:val="00E83727"/>
    <w:rsid w:val="00E84822"/>
    <w:rsid w:val="00E84AD2"/>
    <w:rsid w:val="00E853E2"/>
    <w:rsid w:val="00E853FE"/>
    <w:rsid w:val="00E85484"/>
    <w:rsid w:val="00E85C98"/>
    <w:rsid w:val="00E86572"/>
    <w:rsid w:val="00E91289"/>
    <w:rsid w:val="00E94891"/>
    <w:rsid w:val="00E94AF4"/>
    <w:rsid w:val="00E953DF"/>
    <w:rsid w:val="00E96730"/>
    <w:rsid w:val="00E96F61"/>
    <w:rsid w:val="00E974DB"/>
    <w:rsid w:val="00E97845"/>
    <w:rsid w:val="00EA1EC6"/>
    <w:rsid w:val="00EA5322"/>
    <w:rsid w:val="00EA6BCD"/>
    <w:rsid w:val="00EB0176"/>
    <w:rsid w:val="00EB16F2"/>
    <w:rsid w:val="00EB374D"/>
    <w:rsid w:val="00EB4268"/>
    <w:rsid w:val="00EB4AF5"/>
    <w:rsid w:val="00EB5382"/>
    <w:rsid w:val="00EB5A07"/>
    <w:rsid w:val="00EB6528"/>
    <w:rsid w:val="00EB6B3E"/>
    <w:rsid w:val="00EC3596"/>
    <w:rsid w:val="00EC4D79"/>
    <w:rsid w:val="00EC584A"/>
    <w:rsid w:val="00EC724A"/>
    <w:rsid w:val="00ED0C77"/>
    <w:rsid w:val="00ED0F99"/>
    <w:rsid w:val="00ED2626"/>
    <w:rsid w:val="00ED2CF4"/>
    <w:rsid w:val="00ED414F"/>
    <w:rsid w:val="00ED41CE"/>
    <w:rsid w:val="00ED65DD"/>
    <w:rsid w:val="00EE0CBF"/>
    <w:rsid w:val="00EE0FA1"/>
    <w:rsid w:val="00EE15EF"/>
    <w:rsid w:val="00EE1CE1"/>
    <w:rsid w:val="00EE251D"/>
    <w:rsid w:val="00EE255A"/>
    <w:rsid w:val="00EE3CCF"/>
    <w:rsid w:val="00EE3D95"/>
    <w:rsid w:val="00EE4184"/>
    <w:rsid w:val="00EE42BD"/>
    <w:rsid w:val="00EE50BE"/>
    <w:rsid w:val="00EE6056"/>
    <w:rsid w:val="00EE640E"/>
    <w:rsid w:val="00EE754B"/>
    <w:rsid w:val="00EE7D33"/>
    <w:rsid w:val="00EF0C63"/>
    <w:rsid w:val="00EF5B68"/>
    <w:rsid w:val="00EF6B11"/>
    <w:rsid w:val="00EF71C7"/>
    <w:rsid w:val="00F006C3"/>
    <w:rsid w:val="00F0192B"/>
    <w:rsid w:val="00F03037"/>
    <w:rsid w:val="00F03259"/>
    <w:rsid w:val="00F048C1"/>
    <w:rsid w:val="00F058CE"/>
    <w:rsid w:val="00F076CB"/>
    <w:rsid w:val="00F07984"/>
    <w:rsid w:val="00F10716"/>
    <w:rsid w:val="00F133D8"/>
    <w:rsid w:val="00F137DB"/>
    <w:rsid w:val="00F13FCC"/>
    <w:rsid w:val="00F143F5"/>
    <w:rsid w:val="00F15609"/>
    <w:rsid w:val="00F164BE"/>
    <w:rsid w:val="00F16CAF"/>
    <w:rsid w:val="00F17E3D"/>
    <w:rsid w:val="00F2217C"/>
    <w:rsid w:val="00F23A1F"/>
    <w:rsid w:val="00F240AE"/>
    <w:rsid w:val="00F240C7"/>
    <w:rsid w:val="00F26A4F"/>
    <w:rsid w:val="00F26D12"/>
    <w:rsid w:val="00F30668"/>
    <w:rsid w:val="00F30C85"/>
    <w:rsid w:val="00F313B0"/>
    <w:rsid w:val="00F320B5"/>
    <w:rsid w:val="00F323CE"/>
    <w:rsid w:val="00F3299A"/>
    <w:rsid w:val="00F32D83"/>
    <w:rsid w:val="00F33DDF"/>
    <w:rsid w:val="00F346ED"/>
    <w:rsid w:val="00F36639"/>
    <w:rsid w:val="00F36C04"/>
    <w:rsid w:val="00F377F0"/>
    <w:rsid w:val="00F37A6E"/>
    <w:rsid w:val="00F408C7"/>
    <w:rsid w:val="00F40A11"/>
    <w:rsid w:val="00F42ACF"/>
    <w:rsid w:val="00F440BE"/>
    <w:rsid w:val="00F46CBE"/>
    <w:rsid w:val="00F51BFB"/>
    <w:rsid w:val="00F52A1B"/>
    <w:rsid w:val="00F55B40"/>
    <w:rsid w:val="00F56593"/>
    <w:rsid w:val="00F56C34"/>
    <w:rsid w:val="00F61821"/>
    <w:rsid w:val="00F61D58"/>
    <w:rsid w:val="00F62168"/>
    <w:rsid w:val="00F627D4"/>
    <w:rsid w:val="00F62956"/>
    <w:rsid w:val="00F62EF7"/>
    <w:rsid w:val="00F649FB"/>
    <w:rsid w:val="00F64B5E"/>
    <w:rsid w:val="00F67E90"/>
    <w:rsid w:val="00F70330"/>
    <w:rsid w:val="00F725AD"/>
    <w:rsid w:val="00F73DD2"/>
    <w:rsid w:val="00F7450E"/>
    <w:rsid w:val="00F76739"/>
    <w:rsid w:val="00F7767F"/>
    <w:rsid w:val="00F7778E"/>
    <w:rsid w:val="00F8034B"/>
    <w:rsid w:val="00F811C2"/>
    <w:rsid w:val="00F82A9E"/>
    <w:rsid w:val="00F82DA1"/>
    <w:rsid w:val="00F83018"/>
    <w:rsid w:val="00F84C0C"/>
    <w:rsid w:val="00F86D23"/>
    <w:rsid w:val="00F873ED"/>
    <w:rsid w:val="00F87915"/>
    <w:rsid w:val="00F90584"/>
    <w:rsid w:val="00F91371"/>
    <w:rsid w:val="00F91969"/>
    <w:rsid w:val="00F9373D"/>
    <w:rsid w:val="00F943F3"/>
    <w:rsid w:val="00F969AD"/>
    <w:rsid w:val="00F96B3C"/>
    <w:rsid w:val="00FA22D8"/>
    <w:rsid w:val="00FA62A9"/>
    <w:rsid w:val="00FA64AF"/>
    <w:rsid w:val="00FA6BF8"/>
    <w:rsid w:val="00FA740E"/>
    <w:rsid w:val="00FB14F7"/>
    <w:rsid w:val="00FB1E25"/>
    <w:rsid w:val="00FB25D2"/>
    <w:rsid w:val="00FB392D"/>
    <w:rsid w:val="00FB6FF1"/>
    <w:rsid w:val="00FB77B2"/>
    <w:rsid w:val="00FB7C03"/>
    <w:rsid w:val="00FC07C4"/>
    <w:rsid w:val="00FC0B40"/>
    <w:rsid w:val="00FC0CA4"/>
    <w:rsid w:val="00FC1F37"/>
    <w:rsid w:val="00FC3777"/>
    <w:rsid w:val="00FC3B1F"/>
    <w:rsid w:val="00FC7D32"/>
    <w:rsid w:val="00FD0BA9"/>
    <w:rsid w:val="00FD0D6B"/>
    <w:rsid w:val="00FD11A7"/>
    <w:rsid w:val="00FD1F19"/>
    <w:rsid w:val="00FD28DB"/>
    <w:rsid w:val="00FD4214"/>
    <w:rsid w:val="00FD4313"/>
    <w:rsid w:val="00FD45FB"/>
    <w:rsid w:val="00FD52EC"/>
    <w:rsid w:val="00FD6184"/>
    <w:rsid w:val="00FD67D1"/>
    <w:rsid w:val="00FD6E9C"/>
    <w:rsid w:val="00FE1A07"/>
    <w:rsid w:val="00FE1A30"/>
    <w:rsid w:val="00FE1AE1"/>
    <w:rsid w:val="00FE214C"/>
    <w:rsid w:val="00FE237D"/>
    <w:rsid w:val="00FE502C"/>
    <w:rsid w:val="00FE547F"/>
    <w:rsid w:val="00FE57C8"/>
    <w:rsid w:val="00FE6827"/>
    <w:rsid w:val="00FE7988"/>
    <w:rsid w:val="00FE7E89"/>
    <w:rsid w:val="00FF091C"/>
    <w:rsid w:val="00FF18D5"/>
    <w:rsid w:val="00FF2C5A"/>
    <w:rsid w:val="00FF31D0"/>
    <w:rsid w:val="00FF3491"/>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6B2E7"/>
  <w15:chartTrackingRefBased/>
  <w15:docId w15:val="{F0B00710-6BDC-4318-835E-1CF2561C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styleId="2-5">
    <w:name w:val="Grid Table 2 Accent 5"/>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2">
    <w:name w:val="Grid Table 1 Light Accent 2"/>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3"/>
    <w:uiPriority w:val="99"/>
    <w:semiHidden/>
    <w:unhideWhenUsed/>
    <w:rsid w:val="005C287C"/>
    <w:pPr>
      <w:spacing w:after="0" w:line="240" w:lineRule="auto"/>
    </w:pPr>
    <w:rPr>
      <w:rFonts w:ascii="Segoe UI" w:hAnsi="Segoe UI" w:cs="Segoe UI"/>
      <w:sz w:val="18"/>
      <w:szCs w:val="18"/>
    </w:rPr>
  </w:style>
  <w:style w:type="character" w:customStyle="1" w:styleId="Char3">
    <w:name w:val="Κείμενο πλαισίου Char"/>
    <w:basedOn w:val="a0"/>
    <w:link w:val="ae"/>
    <w:uiPriority w:val="99"/>
    <w:semiHidden/>
    <w:rsid w:val="005C287C"/>
    <w:rPr>
      <w:rFonts w:ascii="Segoe UI" w:hAnsi="Segoe UI" w:cs="Segoe UI"/>
      <w:sz w:val="18"/>
      <w:szCs w:val="18"/>
    </w:rPr>
  </w:style>
  <w:style w:type="table" w:styleId="13">
    <w:name w:val="Plain Table 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0">
    <w:name w:val="Plain Table 5"/>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4"/>
    <w:uiPriority w:val="99"/>
    <w:semiHidden/>
    <w:unhideWhenUsed/>
    <w:rsid w:val="00A1225D"/>
    <w:pPr>
      <w:spacing w:line="240" w:lineRule="auto"/>
    </w:pPr>
    <w:rPr>
      <w:sz w:val="20"/>
      <w:szCs w:val="20"/>
    </w:rPr>
  </w:style>
  <w:style w:type="character" w:customStyle="1" w:styleId="Char4">
    <w:name w:val="Κείμενο σχολίου Char"/>
    <w:basedOn w:val="a0"/>
    <w:link w:val="af0"/>
    <w:uiPriority w:val="99"/>
    <w:semiHidden/>
    <w:rsid w:val="00A1225D"/>
    <w:rPr>
      <w:sz w:val="20"/>
      <w:szCs w:val="20"/>
    </w:rPr>
  </w:style>
  <w:style w:type="paragraph" w:styleId="af1">
    <w:name w:val="annotation subject"/>
    <w:basedOn w:val="af0"/>
    <w:next w:val="af0"/>
    <w:link w:val="Char5"/>
    <w:uiPriority w:val="99"/>
    <w:semiHidden/>
    <w:unhideWhenUsed/>
    <w:rsid w:val="00A1225D"/>
    <w:rPr>
      <w:b/>
      <w:bCs/>
    </w:rPr>
  </w:style>
  <w:style w:type="character" w:customStyle="1" w:styleId="Char5">
    <w:name w:val="Θέμα σχολίου Char"/>
    <w:basedOn w:val="Char4"/>
    <w:link w:val="af1"/>
    <w:uiPriority w:val="99"/>
    <w:semiHidden/>
    <w:rsid w:val="00A1225D"/>
    <w:rPr>
      <w:b/>
      <w:bCs/>
      <w:sz w:val="20"/>
      <w:szCs w:val="20"/>
    </w:rPr>
  </w:style>
  <w:style w:type="table" w:styleId="4-6">
    <w:name w:val="Grid Table 4 Accent 6"/>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styleId="4-4">
    <w:name w:val="Grid Table 4 Accent 4"/>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2">
    <w:name w:val="Grid Table 5 Dark Accent 2"/>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1-3">
    <w:name w:val="Grid Table 1 Light Accent 3"/>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styleId="14">
    <w:name w:val="Grid Table 1 Light"/>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2">
    <w:name w:val="Plain Table 2"/>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styleId="af3">
    <w:name w:val="Unresolved Mention"/>
    <w:basedOn w:val="a0"/>
    <w:uiPriority w:val="99"/>
    <w:semiHidden/>
    <w:unhideWhenUsed/>
    <w:rsid w:val="007A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 w:id="21337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ineobservatory.gr/wp-content/uploads/2014/08/policy-brief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andros\Dropbox\Desktop\myPro\01%20&#928;&#945;&#961;&#945;&#964;&#951;&#961;&#951;&#964;&#951;&#961;&#953;&#959;\4%20Contributions\7_&#916;&#917;&#923;&#932;&#921;&#927;\Graphs_7_SOCIAL%20PROTECTIO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fprovi\Desktop\SOCIAL%20PROTECTION_GRAPH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7_&#916;&#917;&#923;&#932;&#921;&#927;\Graphs_7_SOCIAL%20PROTECTION.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provi\Desktop\deltio%207_social%20protection\&#927;&#923;&#917;&#931;%20&#927;&#921;%20&#923;&#917;&#921;&#932;&#927;&#933;&#929;&#915;&#921;&#917;&#931;_&#916;&#913;&#928;&#913;&#925;&#917;&#931;_2000.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provi\Desktop\deltio%207_social%20protection\&#945;&#957;&#945;&#960;&#951;&#961;&#953;&#945;_&#945;&#957;&#945;&#955;&#965;&#964;&#953;&#954;&#945;.xls"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7_&#916;&#917;&#923;&#932;&#921;&#927;\Graphs_7_SOCIAL%20PROTECTION.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7_&#916;&#917;&#923;&#932;&#921;&#927;\Graphs_7_SOCIAL%20PROTECTION.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lexandros\Dropbox\Desktop\myPro\01%20&#928;&#945;&#961;&#945;&#964;&#951;&#961;&#951;&#964;&#951;&#961;&#953;&#959;\4%20Contributions\7_&#916;&#917;&#923;&#932;&#921;&#927;\Graphs_7_SOCIAL%20PROTECTIO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spPr>
            <a:ln w="28575" cap="rnd">
              <a:solidFill>
                <a:schemeClr val="accent2"/>
              </a:solidFill>
              <a:round/>
            </a:ln>
            <a:effectLst/>
          </c:spPr>
          <c:marker>
            <c:symbol val="none"/>
          </c:marker>
          <c:dLbls>
            <c:dLbl>
              <c:idx val="0"/>
              <c:layout>
                <c:manualLayout>
                  <c:x val="-6.0562168101080401E-2"/>
                  <c:y val="3.35376471175775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F-40B1-AB19-C90983E021D0}"/>
                </c:ext>
              </c:extLst>
            </c:dLbl>
            <c:dLbl>
              <c:idx val="1"/>
              <c:layout>
                <c:manualLayout>
                  <c:x val="-7.2289380643162024E-2"/>
                  <c:y val="-9.0712303070209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F-40B1-AB19-C90983E021D0}"/>
                </c:ext>
              </c:extLst>
            </c:dLbl>
            <c:dLbl>
              <c:idx val="2"/>
              <c:layout>
                <c:manualLayout>
                  <c:x val="-6.3983397424159191E-2"/>
                  <c:y val="-6.83783846728758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F-40B1-AB19-C90983E021D0}"/>
                </c:ext>
              </c:extLst>
            </c:dLbl>
            <c:dLbl>
              <c:idx val="3"/>
              <c:layout>
                <c:manualLayout>
                  <c:x val="-5.9212974049084696E-2"/>
                  <c:y val="0.114466466093459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DF-40B1-AB19-C90983E021D0}"/>
                </c:ext>
              </c:extLst>
            </c:dLbl>
            <c:dLbl>
              <c:idx val="5"/>
              <c:layout>
                <c:manualLayout>
                  <c:x val="-5.6827762361547379E-2"/>
                  <c:y val="-8.9889543586562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F-40B1-AB19-C90983E021D0}"/>
                </c:ext>
              </c:extLst>
            </c:dLbl>
            <c:dLbl>
              <c:idx val="6"/>
              <c:layout>
                <c:manualLayout>
                  <c:x val="-6.1598185736622006E-2"/>
                  <c:y val="8.2199727722929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F-40B1-AB19-C90983E021D0}"/>
                </c:ext>
              </c:extLst>
            </c:dLbl>
            <c:dLbl>
              <c:idx val="8"/>
              <c:layout>
                <c:manualLayout>
                  <c:x val="-6.1598185736622096E-2"/>
                  <c:y val="5.53107790808214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DF-40B1-AB19-C90983E021D0}"/>
                </c:ext>
              </c:extLst>
            </c:dLbl>
            <c:dLbl>
              <c:idx val="10"/>
              <c:layout>
                <c:manualLayout>
                  <c:x val="-2.2057761563346621E-2"/>
                  <c:y val="6.6066358537664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DF-40B1-AB19-C90983E021D0}"/>
                </c:ext>
              </c:extLst>
            </c:dLbl>
            <c:numFmt formatCode="#,##0"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'ΓΡΑΦΗΜΑ 1'!$J$1:$T$1</c:f>
              <c:numCache>
                <c:formatCode>0</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'ΓΡΑΦΗΜΑ 1'!$J$3:$T$3</c:f>
              <c:numCache>
                <c:formatCode>General</c:formatCode>
                <c:ptCount val="11"/>
                <c:pt idx="0">
                  <c:v>48291</c:v>
                </c:pt>
                <c:pt idx="1">
                  <c:v>53995</c:v>
                </c:pt>
                <c:pt idx="2">
                  <c:v>57690</c:v>
                </c:pt>
                <c:pt idx="3">
                  <c:v>57361</c:v>
                </c:pt>
                <c:pt idx="4">
                  <c:v>55374</c:v>
                </c:pt>
                <c:pt idx="5">
                  <c:v>52632</c:v>
                </c:pt>
                <c:pt idx="6">
                  <c:v>46560</c:v>
                </c:pt>
                <c:pt idx="7">
                  <c:v>45629</c:v>
                </c:pt>
                <c:pt idx="8">
                  <c:v>45593</c:v>
                </c:pt>
                <c:pt idx="9">
                  <c:v>45539</c:v>
                </c:pt>
                <c:pt idx="10">
                  <c:v>44857</c:v>
                </c:pt>
              </c:numCache>
            </c:numRef>
          </c:val>
          <c:smooth val="0"/>
          <c:extLst>
            <c:ext xmlns:c16="http://schemas.microsoft.com/office/drawing/2014/chart" uri="{C3380CC4-5D6E-409C-BE32-E72D297353CC}">
              <c16:uniqueId val="{00000002-91DF-40B1-AB19-C90983E021D0}"/>
            </c:ext>
          </c:extLst>
        </c:ser>
        <c:dLbls>
          <c:showLegendKey val="0"/>
          <c:showVal val="0"/>
          <c:showCatName val="0"/>
          <c:showSerName val="0"/>
          <c:showPercent val="0"/>
          <c:showBubbleSize val="0"/>
        </c:dLbls>
        <c:smooth val="0"/>
        <c:axId val="370800200"/>
        <c:axId val="1"/>
      </c:lineChart>
      <c:catAx>
        <c:axId val="37080020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1"/>
        <c:crossesAt val="0"/>
        <c:auto val="1"/>
        <c:lblAlgn val="ctr"/>
        <c:lblOffset val="100"/>
        <c:noMultiLvlLbl val="0"/>
      </c:catAx>
      <c:valAx>
        <c:axId val="1"/>
        <c:scaling>
          <c:orientation val="minMax"/>
          <c:max val="60000"/>
          <c:min val="4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370800200"/>
        <c:crosses val="autoZero"/>
        <c:crossBetween val="between"/>
        <c:majorUnit val="10000"/>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a:latin typeface="+mn-lt"/>
        </a:defRPr>
      </a:pPr>
      <a:endParaRPr lang="el-G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F0-4689-BE70-628902A904C5}"/>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F0-4689-BE70-628902A904C5}"/>
                </c:ext>
              </c:extLst>
            </c:dLbl>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F0-4689-BE70-628902A904C5}"/>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F0-4689-BE70-628902A904C5}"/>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F0-4689-BE70-628902A904C5}"/>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F0-4689-BE70-628902A904C5}"/>
                </c:ext>
              </c:extLst>
            </c:dLbl>
            <c:dLbl>
              <c:idx val="3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F0-4689-BE70-628902A904C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2'!$A$11:$A$45</c:f>
              <c:strCache>
                <c:ptCount val="35"/>
                <c:pt idx="0">
                  <c:v>Βόρεια Μακεδονία </c:v>
                </c:pt>
                <c:pt idx="1">
                  <c:v>Σερβία</c:v>
                </c:pt>
                <c:pt idx="2">
                  <c:v>Τουρκία</c:v>
                </c:pt>
                <c:pt idx="3">
                  <c:v>Βουλγαρία</c:v>
                </c:pt>
                <c:pt idx="4">
                  <c:v>Ρουμανία</c:v>
                </c:pt>
                <c:pt idx="5">
                  <c:v>Λετονία</c:v>
                </c:pt>
                <c:pt idx="6">
                  <c:v>Λιθουανία</c:v>
                </c:pt>
                <c:pt idx="7">
                  <c:v>Εσθονία</c:v>
                </c:pt>
                <c:pt idx="8">
                  <c:v>Κροατία</c:v>
                </c:pt>
                <c:pt idx="9">
                  <c:v>Ουγγαρία</c:v>
                </c:pt>
                <c:pt idx="10">
                  <c:v>Σλοβακία</c:v>
                </c:pt>
                <c:pt idx="11">
                  <c:v>Πολωνία</c:v>
                </c:pt>
                <c:pt idx="12">
                  <c:v>Κύπρος</c:v>
                </c:pt>
                <c:pt idx="13">
                  <c:v>Μάλτα</c:v>
                </c:pt>
                <c:pt idx="14">
                  <c:v>Ελλάδα</c:v>
                </c:pt>
                <c:pt idx="15">
                  <c:v>Τσεχία</c:v>
                </c:pt>
                <c:pt idx="16">
                  <c:v>Πορτογαλία</c:v>
                </c:pt>
                <c:pt idx="17">
                  <c:v>Σλοβενία</c:v>
                </c:pt>
                <c:pt idx="18">
                  <c:v>Ισπανία</c:v>
                </c:pt>
                <c:pt idx="19">
                  <c:v>Ιρλανδία</c:v>
                </c:pt>
                <c:pt idx="20">
                  <c:v>Αγγλία</c:v>
                </c:pt>
                <c:pt idx="21">
                  <c:v>Ιταλία</c:v>
                </c:pt>
                <c:pt idx="22">
                  <c:v>Ε.Ε. 28 </c:v>
                </c:pt>
                <c:pt idx="23">
                  <c:v>Ισλανδία</c:v>
                </c:pt>
                <c:pt idx="24">
                  <c:v>Βέλγιο</c:v>
                </c:pt>
                <c:pt idx="25">
                  <c:v>Φιλανδία</c:v>
                </c:pt>
                <c:pt idx="26">
                  <c:v>Σουηδία</c:v>
                </c:pt>
                <c:pt idx="27">
                  <c:v>Γαλλία</c:v>
                </c:pt>
                <c:pt idx="28">
                  <c:v>Αυστρία</c:v>
                </c:pt>
                <c:pt idx="29">
                  <c:v>Ολλανδία</c:v>
                </c:pt>
                <c:pt idx="30">
                  <c:v>Γερμανία</c:v>
                </c:pt>
                <c:pt idx="31">
                  <c:v>Δανία</c:v>
                </c:pt>
                <c:pt idx="32">
                  <c:v>Ελβετία</c:v>
                </c:pt>
                <c:pt idx="33">
                  <c:v>Νορβηγία</c:v>
                </c:pt>
                <c:pt idx="34">
                  <c:v>Λουξεμβούργο </c:v>
                </c:pt>
              </c:strCache>
            </c:strRef>
          </c:cat>
          <c:val>
            <c:numRef>
              <c:f>'ΓΡΑΦΗΜΑ 2'!$B$11:$B$45</c:f>
              <c:numCache>
                <c:formatCode>#,##0.##########</c:formatCode>
                <c:ptCount val="35"/>
                <c:pt idx="0">
                  <c:v>1625.32</c:v>
                </c:pt>
                <c:pt idx="1">
                  <c:v>2354.7399999999998</c:v>
                </c:pt>
                <c:pt idx="2">
                  <c:v>2547.1999999999998</c:v>
                </c:pt>
                <c:pt idx="3">
                  <c:v>2755.91</c:v>
                </c:pt>
                <c:pt idx="4">
                  <c:v>2869.32</c:v>
                </c:pt>
                <c:pt idx="5">
                  <c:v>3000.64</c:v>
                </c:pt>
                <c:pt idx="6">
                  <c:v>3754.9</c:v>
                </c:pt>
                <c:pt idx="7">
                  <c:v>3909.1</c:v>
                </c:pt>
                <c:pt idx="8">
                  <c:v>3930.32</c:v>
                </c:pt>
                <c:pt idx="9">
                  <c:v>3964.56</c:v>
                </c:pt>
                <c:pt idx="10">
                  <c:v>4329.57</c:v>
                </c:pt>
                <c:pt idx="11">
                  <c:v>4661.55</c:v>
                </c:pt>
                <c:pt idx="12" formatCode="#,##0">
                  <c:v>4735</c:v>
                </c:pt>
                <c:pt idx="13">
                  <c:v>4752.08</c:v>
                </c:pt>
                <c:pt idx="14">
                  <c:v>5087.99</c:v>
                </c:pt>
                <c:pt idx="15">
                  <c:v>5378.07</c:v>
                </c:pt>
                <c:pt idx="16">
                  <c:v>5607.53</c:v>
                </c:pt>
                <c:pt idx="17">
                  <c:v>5692.57</c:v>
                </c:pt>
                <c:pt idx="18">
                  <c:v>6233.92</c:v>
                </c:pt>
                <c:pt idx="19">
                  <c:v>7153.05</c:v>
                </c:pt>
                <c:pt idx="20">
                  <c:v>7991.71</c:v>
                </c:pt>
                <c:pt idx="21">
                  <c:v>8207.27</c:v>
                </c:pt>
                <c:pt idx="22">
                  <c:v>8388.31</c:v>
                </c:pt>
                <c:pt idx="23">
                  <c:v>8555.93</c:v>
                </c:pt>
                <c:pt idx="24">
                  <c:v>10044.82</c:v>
                </c:pt>
                <c:pt idx="25">
                  <c:v>10171.799999999999</c:v>
                </c:pt>
                <c:pt idx="26">
                  <c:v>10219.379999999999</c:v>
                </c:pt>
                <c:pt idx="27">
                  <c:v>10916.62</c:v>
                </c:pt>
                <c:pt idx="28">
                  <c:v>10965.53</c:v>
                </c:pt>
                <c:pt idx="29">
                  <c:v>11015.45</c:v>
                </c:pt>
                <c:pt idx="30">
                  <c:v>11262.73</c:v>
                </c:pt>
                <c:pt idx="31">
                  <c:v>11737.49</c:v>
                </c:pt>
                <c:pt idx="32">
                  <c:v>12066.82</c:v>
                </c:pt>
                <c:pt idx="33">
                  <c:v>12105.31</c:v>
                </c:pt>
                <c:pt idx="34">
                  <c:v>14900.74</c:v>
                </c:pt>
              </c:numCache>
            </c:numRef>
          </c:val>
          <c:extLst>
            <c:ext xmlns:c16="http://schemas.microsoft.com/office/drawing/2014/chart" uri="{C3380CC4-5D6E-409C-BE32-E72D297353CC}">
              <c16:uniqueId val="{00000007-5BF0-4689-BE70-628902A904C5}"/>
            </c:ext>
          </c:extLst>
        </c:ser>
        <c:dLbls>
          <c:showLegendKey val="0"/>
          <c:showVal val="0"/>
          <c:showCatName val="0"/>
          <c:showSerName val="0"/>
          <c:showPercent val="0"/>
          <c:showBubbleSize val="0"/>
        </c:dLbls>
        <c:gapWidth val="182"/>
        <c:axId val="334309488"/>
        <c:axId val="334308176"/>
      </c:barChart>
      <c:catAx>
        <c:axId val="334309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l-GR"/>
          </a:p>
        </c:txPr>
        <c:crossAx val="334308176"/>
        <c:crosses val="autoZero"/>
        <c:auto val="1"/>
        <c:lblAlgn val="ctr"/>
        <c:lblOffset val="100"/>
        <c:noMultiLvlLbl val="0"/>
      </c:catAx>
      <c:valAx>
        <c:axId val="33430817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4309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503C-466C-BF5D-7DABBBB39308}"/>
                </c:ext>
              </c:extLst>
            </c:dLbl>
            <c:dLbl>
              <c:idx val="2"/>
              <c:delete val="1"/>
              <c:extLst>
                <c:ext xmlns:c15="http://schemas.microsoft.com/office/drawing/2012/chart" uri="{CE6537A1-D6FC-4f65-9D91-7224C49458BB}"/>
                <c:ext xmlns:c16="http://schemas.microsoft.com/office/drawing/2014/chart" uri="{C3380CC4-5D6E-409C-BE32-E72D297353CC}">
                  <c16:uniqueId val="{00000001-503C-466C-BF5D-7DABBBB39308}"/>
                </c:ext>
              </c:extLst>
            </c:dLbl>
            <c:dLbl>
              <c:idx val="3"/>
              <c:delete val="1"/>
              <c:extLst>
                <c:ext xmlns:c15="http://schemas.microsoft.com/office/drawing/2012/chart" uri="{CE6537A1-D6FC-4f65-9D91-7224C49458BB}"/>
                <c:ext xmlns:c16="http://schemas.microsoft.com/office/drawing/2014/chart" uri="{C3380CC4-5D6E-409C-BE32-E72D297353CC}">
                  <c16:uniqueId val="{00000002-503C-466C-BF5D-7DABBBB39308}"/>
                </c:ext>
              </c:extLst>
            </c:dLbl>
            <c:dLbl>
              <c:idx val="4"/>
              <c:delete val="1"/>
              <c:extLst>
                <c:ext xmlns:c15="http://schemas.microsoft.com/office/drawing/2012/chart" uri="{CE6537A1-D6FC-4f65-9D91-7224C49458BB}"/>
                <c:ext xmlns:c16="http://schemas.microsoft.com/office/drawing/2014/chart" uri="{C3380CC4-5D6E-409C-BE32-E72D297353CC}">
                  <c16:uniqueId val="{00000003-503C-466C-BF5D-7DABBBB39308}"/>
                </c:ext>
              </c:extLst>
            </c:dLbl>
            <c:dLbl>
              <c:idx val="5"/>
              <c:delete val="1"/>
              <c:extLst>
                <c:ext xmlns:c15="http://schemas.microsoft.com/office/drawing/2012/chart" uri="{CE6537A1-D6FC-4f65-9D91-7224C49458BB}"/>
                <c:ext xmlns:c16="http://schemas.microsoft.com/office/drawing/2014/chart" uri="{C3380CC4-5D6E-409C-BE32-E72D297353CC}">
                  <c16:uniqueId val="{00000004-503C-466C-BF5D-7DABBBB39308}"/>
                </c:ext>
              </c:extLst>
            </c:dLbl>
            <c:dLbl>
              <c:idx val="7"/>
              <c:delete val="1"/>
              <c:extLst>
                <c:ext xmlns:c15="http://schemas.microsoft.com/office/drawing/2012/chart" uri="{CE6537A1-D6FC-4f65-9D91-7224C49458BB}"/>
                <c:ext xmlns:c16="http://schemas.microsoft.com/office/drawing/2014/chart" uri="{C3380CC4-5D6E-409C-BE32-E72D297353CC}">
                  <c16:uniqueId val="{00000005-503C-466C-BF5D-7DABBBB39308}"/>
                </c:ext>
              </c:extLst>
            </c:dLbl>
            <c:dLbl>
              <c:idx val="8"/>
              <c:delete val="1"/>
              <c:extLst>
                <c:ext xmlns:c15="http://schemas.microsoft.com/office/drawing/2012/chart" uri="{CE6537A1-D6FC-4f65-9D91-7224C49458BB}"/>
                <c:ext xmlns:c16="http://schemas.microsoft.com/office/drawing/2014/chart" uri="{C3380CC4-5D6E-409C-BE32-E72D297353CC}">
                  <c16:uniqueId val="{00000006-503C-466C-BF5D-7DABBBB39308}"/>
                </c:ext>
              </c:extLst>
            </c:dLbl>
            <c:dLbl>
              <c:idx val="9"/>
              <c:delete val="1"/>
              <c:extLst>
                <c:ext xmlns:c15="http://schemas.microsoft.com/office/drawing/2012/chart" uri="{CE6537A1-D6FC-4f65-9D91-7224C49458BB}"/>
                <c:ext xmlns:c16="http://schemas.microsoft.com/office/drawing/2014/chart" uri="{C3380CC4-5D6E-409C-BE32-E72D297353CC}">
                  <c16:uniqueId val="{00000007-503C-466C-BF5D-7DABBBB39308}"/>
                </c:ext>
              </c:extLst>
            </c:dLbl>
            <c:dLbl>
              <c:idx val="10"/>
              <c:delete val="1"/>
              <c:extLst>
                <c:ext xmlns:c15="http://schemas.microsoft.com/office/drawing/2012/chart" uri="{CE6537A1-D6FC-4f65-9D91-7224C49458BB}"/>
                <c:ext xmlns:c16="http://schemas.microsoft.com/office/drawing/2014/chart" uri="{C3380CC4-5D6E-409C-BE32-E72D297353CC}">
                  <c16:uniqueId val="{00000008-503C-466C-BF5D-7DABBBB39308}"/>
                </c:ext>
              </c:extLst>
            </c:dLbl>
            <c:dLbl>
              <c:idx val="12"/>
              <c:delete val="1"/>
              <c:extLst>
                <c:ext xmlns:c15="http://schemas.microsoft.com/office/drawing/2012/chart" uri="{CE6537A1-D6FC-4f65-9D91-7224C49458BB}"/>
                <c:ext xmlns:c16="http://schemas.microsoft.com/office/drawing/2014/chart" uri="{C3380CC4-5D6E-409C-BE32-E72D297353CC}">
                  <c16:uniqueId val="{00000009-503C-466C-BF5D-7DABBBB39308}"/>
                </c:ext>
              </c:extLst>
            </c:dLbl>
            <c:dLbl>
              <c:idx val="13"/>
              <c:delete val="1"/>
              <c:extLst>
                <c:ext xmlns:c15="http://schemas.microsoft.com/office/drawing/2012/chart" uri="{CE6537A1-D6FC-4f65-9D91-7224C49458BB}"/>
                <c:ext xmlns:c16="http://schemas.microsoft.com/office/drawing/2014/chart" uri="{C3380CC4-5D6E-409C-BE32-E72D297353CC}">
                  <c16:uniqueId val="{0000000A-503C-466C-BF5D-7DABBBB39308}"/>
                </c:ext>
              </c:extLst>
            </c:dLbl>
            <c:dLbl>
              <c:idx val="14"/>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extLst>
                <c:ext xmlns:c16="http://schemas.microsoft.com/office/drawing/2014/chart" uri="{C3380CC4-5D6E-409C-BE32-E72D297353CC}">
                  <c16:uniqueId val="{0000000B-503C-466C-BF5D-7DABBBB39308}"/>
                </c:ext>
              </c:extLst>
            </c:dLbl>
            <c:dLbl>
              <c:idx val="16"/>
              <c:delete val="1"/>
              <c:extLst>
                <c:ext xmlns:c15="http://schemas.microsoft.com/office/drawing/2012/chart" uri="{CE6537A1-D6FC-4f65-9D91-7224C49458BB}"/>
                <c:ext xmlns:c16="http://schemas.microsoft.com/office/drawing/2014/chart" uri="{C3380CC4-5D6E-409C-BE32-E72D297353CC}">
                  <c16:uniqueId val="{0000000C-503C-466C-BF5D-7DABBBB39308}"/>
                </c:ext>
              </c:extLst>
            </c:dLbl>
            <c:dLbl>
              <c:idx val="18"/>
              <c:delete val="1"/>
              <c:extLst>
                <c:ext xmlns:c15="http://schemas.microsoft.com/office/drawing/2012/chart" uri="{CE6537A1-D6FC-4f65-9D91-7224C49458BB}"/>
                <c:ext xmlns:c16="http://schemas.microsoft.com/office/drawing/2014/chart" uri="{C3380CC4-5D6E-409C-BE32-E72D297353CC}">
                  <c16:uniqueId val="{0000000D-503C-466C-BF5D-7DABBBB39308}"/>
                </c:ext>
              </c:extLst>
            </c:dLbl>
            <c:dLbl>
              <c:idx val="19"/>
              <c:delete val="1"/>
              <c:extLst>
                <c:ext xmlns:c15="http://schemas.microsoft.com/office/drawing/2012/chart" uri="{CE6537A1-D6FC-4f65-9D91-7224C49458BB}"/>
                <c:ext xmlns:c16="http://schemas.microsoft.com/office/drawing/2014/chart" uri="{C3380CC4-5D6E-409C-BE32-E72D297353CC}">
                  <c16:uniqueId val="{0000000E-503C-466C-BF5D-7DABBBB39308}"/>
                </c:ext>
              </c:extLst>
            </c:dLbl>
            <c:dLbl>
              <c:idx val="20"/>
              <c:delete val="1"/>
              <c:extLst>
                <c:ext xmlns:c15="http://schemas.microsoft.com/office/drawing/2012/chart" uri="{CE6537A1-D6FC-4f65-9D91-7224C49458BB}"/>
                <c:ext xmlns:c16="http://schemas.microsoft.com/office/drawing/2014/chart" uri="{C3380CC4-5D6E-409C-BE32-E72D297353CC}">
                  <c16:uniqueId val="{0000000F-503C-466C-BF5D-7DABBBB39308}"/>
                </c:ext>
              </c:extLst>
            </c:dLbl>
            <c:dLbl>
              <c:idx val="21"/>
              <c:delete val="1"/>
              <c:extLst>
                <c:ext xmlns:c15="http://schemas.microsoft.com/office/drawing/2012/chart" uri="{CE6537A1-D6FC-4f65-9D91-7224C49458BB}"/>
                <c:ext xmlns:c16="http://schemas.microsoft.com/office/drawing/2014/chart" uri="{C3380CC4-5D6E-409C-BE32-E72D297353CC}">
                  <c16:uniqueId val="{00000010-503C-466C-BF5D-7DABBBB39308}"/>
                </c:ext>
              </c:extLst>
            </c:dLbl>
            <c:dLbl>
              <c:idx val="22"/>
              <c:delete val="1"/>
              <c:extLst>
                <c:ext xmlns:c15="http://schemas.microsoft.com/office/drawing/2012/chart" uri="{CE6537A1-D6FC-4f65-9D91-7224C49458BB}"/>
                <c:ext xmlns:c16="http://schemas.microsoft.com/office/drawing/2014/chart" uri="{C3380CC4-5D6E-409C-BE32-E72D297353CC}">
                  <c16:uniqueId val="{00000011-503C-466C-BF5D-7DABBBB39308}"/>
                </c:ext>
              </c:extLst>
            </c:dLbl>
            <c:dLbl>
              <c:idx val="23"/>
              <c:delete val="1"/>
              <c:extLst>
                <c:ext xmlns:c15="http://schemas.microsoft.com/office/drawing/2012/chart" uri="{CE6537A1-D6FC-4f65-9D91-7224C49458BB}"/>
                <c:ext xmlns:c16="http://schemas.microsoft.com/office/drawing/2014/chart" uri="{C3380CC4-5D6E-409C-BE32-E72D297353CC}">
                  <c16:uniqueId val="{00000012-503C-466C-BF5D-7DABBBB39308}"/>
                </c:ext>
              </c:extLst>
            </c:dLbl>
            <c:dLbl>
              <c:idx val="24"/>
              <c:delete val="1"/>
              <c:extLst>
                <c:ext xmlns:c15="http://schemas.microsoft.com/office/drawing/2012/chart" uri="{CE6537A1-D6FC-4f65-9D91-7224C49458BB}"/>
                <c:ext xmlns:c16="http://schemas.microsoft.com/office/drawing/2014/chart" uri="{C3380CC4-5D6E-409C-BE32-E72D297353CC}">
                  <c16:uniqueId val="{00000013-503C-466C-BF5D-7DABBBB39308}"/>
                </c:ext>
              </c:extLst>
            </c:dLbl>
            <c:dLbl>
              <c:idx val="25"/>
              <c:delete val="1"/>
              <c:extLst>
                <c:ext xmlns:c15="http://schemas.microsoft.com/office/drawing/2012/chart" uri="{CE6537A1-D6FC-4f65-9D91-7224C49458BB}"/>
                <c:ext xmlns:c16="http://schemas.microsoft.com/office/drawing/2014/chart" uri="{C3380CC4-5D6E-409C-BE32-E72D297353CC}">
                  <c16:uniqueId val="{00000014-503C-466C-BF5D-7DABBBB39308}"/>
                </c:ext>
              </c:extLst>
            </c:dLbl>
            <c:dLbl>
              <c:idx val="26"/>
              <c:delete val="1"/>
              <c:extLst>
                <c:ext xmlns:c15="http://schemas.microsoft.com/office/drawing/2012/chart" uri="{CE6537A1-D6FC-4f65-9D91-7224C49458BB}"/>
                <c:ext xmlns:c16="http://schemas.microsoft.com/office/drawing/2014/chart" uri="{C3380CC4-5D6E-409C-BE32-E72D297353CC}">
                  <c16:uniqueId val="{00000015-503C-466C-BF5D-7DABBBB39308}"/>
                </c:ext>
              </c:extLst>
            </c:dLbl>
            <c:dLbl>
              <c:idx val="27"/>
              <c:delete val="1"/>
              <c:extLst>
                <c:ext xmlns:c15="http://schemas.microsoft.com/office/drawing/2012/chart" uri="{CE6537A1-D6FC-4f65-9D91-7224C49458BB}"/>
                <c:ext xmlns:c16="http://schemas.microsoft.com/office/drawing/2014/chart" uri="{C3380CC4-5D6E-409C-BE32-E72D297353CC}">
                  <c16:uniqueId val="{00000016-503C-466C-BF5D-7DABBBB39308}"/>
                </c:ext>
              </c:extLst>
            </c:dLbl>
            <c:dLbl>
              <c:idx val="28"/>
              <c:delete val="1"/>
              <c:extLst>
                <c:ext xmlns:c15="http://schemas.microsoft.com/office/drawing/2012/chart" uri="{CE6537A1-D6FC-4f65-9D91-7224C49458BB}"/>
                <c:ext xmlns:c16="http://schemas.microsoft.com/office/drawing/2014/chart" uri="{C3380CC4-5D6E-409C-BE32-E72D297353CC}">
                  <c16:uniqueId val="{00000017-503C-466C-BF5D-7DABBBB39308}"/>
                </c:ext>
              </c:extLst>
            </c:dLbl>
            <c:dLbl>
              <c:idx val="29"/>
              <c:delete val="1"/>
              <c:extLst>
                <c:ext xmlns:c15="http://schemas.microsoft.com/office/drawing/2012/chart" uri="{CE6537A1-D6FC-4f65-9D91-7224C49458BB}"/>
                <c:ext xmlns:c16="http://schemas.microsoft.com/office/drawing/2014/chart" uri="{C3380CC4-5D6E-409C-BE32-E72D297353CC}">
                  <c16:uniqueId val="{00000018-503C-466C-BF5D-7DABBBB39308}"/>
                </c:ext>
              </c:extLst>
            </c:dLbl>
            <c:dLbl>
              <c:idx val="30"/>
              <c:delete val="1"/>
              <c:extLst>
                <c:ext xmlns:c15="http://schemas.microsoft.com/office/drawing/2012/chart" uri="{CE6537A1-D6FC-4f65-9D91-7224C49458BB}"/>
                <c:ext xmlns:c16="http://schemas.microsoft.com/office/drawing/2014/chart" uri="{C3380CC4-5D6E-409C-BE32-E72D297353CC}">
                  <c16:uniqueId val="{00000019-503C-466C-BF5D-7DABBBB39308}"/>
                </c:ext>
              </c:extLst>
            </c:dLbl>
            <c:dLbl>
              <c:idx val="31"/>
              <c:delete val="1"/>
              <c:extLst>
                <c:ext xmlns:c15="http://schemas.microsoft.com/office/drawing/2012/chart" uri="{CE6537A1-D6FC-4f65-9D91-7224C49458BB}"/>
                <c:ext xmlns:c16="http://schemas.microsoft.com/office/drawing/2014/chart" uri="{C3380CC4-5D6E-409C-BE32-E72D297353CC}">
                  <c16:uniqueId val="{0000001A-503C-466C-BF5D-7DABBBB39308}"/>
                </c:ext>
              </c:extLst>
            </c:dLbl>
            <c:dLbl>
              <c:idx val="32"/>
              <c:delete val="1"/>
              <c:extLst>
                <c:ext xmlns:c15="http://schemas.microsoft.com/office/drawing/2012/chart" uri="{CE6537A1-D6FC-4f65-9D91-7224C49458BB}"/>
                <c:ext xmlns:c16="http://schemas.microsoft.com/office/drawing/2014/chart" uri="{C3380CC4-5D6E-409C-BE32-E72D297353CC}">
                  <c16:uniqueId val="{0000001B-503C-466C-BF5D-7DABBBB39308}"/>
                </c:ext>
              </c:extLst>
            </c:dLbl>
            <c:dLbl>
              <c:idx val="33"/>
              <c:delete val="1"/>
              <c:extLst>
                <c:ext xmlns:c15="http://schemas.microsoft.com/office/drawing/2012/chart" uri="{CE6537A1-D6FC-4f65-9D91-7224C49458BB}"/>
                <c:ext xmlns:c16="http://schemas.microsoft.com/office/drawing/2014/chart" uri="{C3380CC4-5D6E-409C-BE32-E72D297353CC}">
                  <c16:uniqueId val="{0000001C-503C-466C-BF5D-7DABBBB39308}"/>
                </c:ext>
              </c:extLst>
            </c:dLbl>
            <c:dLbl>
              <c:idx val="34"/>
              <c:delete val="1"/>
              <c:extLst>
                <c:ext xmlns:c15="http://schemas.microsoft.com/office/drawing/2012/chart" uri="{CE6537A1-D6FC-4f65-9D91-7224C49458BB}"/>
                <c:ext xmlns:c16="http://schemas.microsoft.com/office/drawing/2014/chart" uri="{C3380CC4-5D6E-409C-BE32-E72D297353CC}">
                  <c16:uniqueId val="{0000001D-503C-466C-BF5D-7DABBBB3930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3'!$A$2:$A$37</c:f>
              <c:strCache>
                <c:ptCount val="36"/>
                <c:pt idx="0">
                  <c:v>Γαλλία</c:v>
                </c:pt>
                <c:pt idx="1">
                  <c:v>Δανία</c:v>
                </c:pt>
                <c:pt idx="2">
                  <c:v>Φιλανδία</c:v>
                </c:pt>
                <c:pt idx="3">
                  <c:v>Αυστρία </c:v>
                </c:pt>
                <c:pt idx="4">
                  <c:v>Γερμανία</c:v>
                </c:pt>
                <c:pt idx="5">
                  <c:v>Σουηδία </c:v>
                </c:pt>
                <c:pt idx="6">
                  <c:v>Ιταλία</c:v>
                </c:pt>
                <c:pt idx="7">
                  <c:v>Νορβηγία</c:v>
                </c:pt>
                <c:pt idx="8">
                  <c:v>Ολλανδία</c:v>
                </c:pt>
                <c:pt idx="9">
                  <c:v>Βέλγιο</c:v>
                </c:pt>
                <c:pt idx="10">
                  <c:v>E.E.(28)</c:v>
                </c:pt>
                <c:pt idx="11">
                  <c:v>Αγγλία</c:v>
                </c:pt>
                <c:pt idx="12">
                  <c:v>Ελβετία</c:v>
                </c:pt>
                <c:pt idx="13">
                  <c:v>Ελλάδα</c:v>
                </c:pt>
                <c:pt idx="14">
                  <c:v>Πορτογαλία</c:v>
                </c:pt>
                <c:pt idx="15">
                  <c:v>Ισλανδία</c:v>
                </c:pt>
                <c:pt idx="16">
                  <c:v>Ισπανία</c:v>
                </c:pt>
                <c:pt idx="17">
                  <c:v>Σλοβενία</c:v>
                </c:pt>
                <c:pt idx="18">
                  <c:v>Λουξεμβόυργο</c:v>
                </c:pt>
                <c:pt idx="19">
                  <c:v>Κροατία</c:v>
                </c:pt>
                <c:pt idx="20">
                  <c:v>Πολωνία</c:v>
                </c:pt>
                <c:pt idx="21">
                  <c:v>Σερβία</c:v>
                </c:pt>
                <c:pt idx="22">
                  <c:v>Κύπρος</c:v>
                </c:pt>
                <c:pt idx="23">
                  <c:v>Ουγγαρία</c:v>
                </c:pt>
                <c:pt idx="24">
                  <c:v>Τσεχία</c:v>
                </c:pt>
                <c:pt idx="25">
                  <c:v>Βοζνία-Εζεργοβίνη</c:v>
                </c:pt>
                <c:pt idx="26">
                  <c:v>Σλοβακία</c:v>
                </c:pt>
                <c:pt idx="27">
                  <c:v>Βουλγαρία</c:v>
                </c:pt>
                <c:pt idx="28">
                  <c:v>Μάλτα</c:v>
                </c:pt>
                <c:pt idx="29">
                  <c:v>Εσθονία</c:v>
                </c:pt>
                <c:pt idx="30">
                  <c:v>Λετονία</c:v>
                </c:pt>
                <c:pt idx="31">
                  <c:v>Λιθουανία</c:v>
                </c:pt>
                <c:pt idx="32">
                  <c:v>Ιρλανδία</c:v>
                </c:pt>
                <c:pt idx="33">
                  <c:v>Βόρεια Μακεδονία</c:v>
                </c:pt>
                <c:pt idx="34">
                  <c:v>Ρουμανία</c:v>
                </c:pt>
                <c:pt idx="35">
                  <c:v>Τουρκία</c:v>
                </c:pt>
              </c:strCache>
            </c:strRef>
          </c:cat>
          <c:val>
            <c:numRef>
              <c:f>'ΓΡΑΦΗΜΑ 3'!$B$2:$B$37</c:f>
              <c:numCache>
                <c:formatCode>#,##0.0</c:formatCode>
                <c:ptCount val="36"/>
                <c:pt idx="0">
                  <c:v>31.7</c:v>
                </c:pt>
                <c:pt idx="1">
                  <c:v>30.8</c:v>
                </c:pt>
                <c:pt idx="2">
                  <c:v>30.1</c:v>
                </c:pt>
                <c:pt idx="3">
                  <c:v>28.6</c:v>
                </c:pt>
                <c:pt idx="4">
                  <c:v>28.5</c:v>
                </c:pt>
                <c:pt idx="5">
                  <c:v>28.2</c:v>
                </c:pt>
                <c:pt idx="6">
                  <c:v>28</c:v>
                </c:pt>
                <c:pt idx="7">
                  <c:v>27.9</c:v>
                </c:pt>
                <c:pt idx="8">
                  <c:v>27.6</c:v>
                </c:pt>
                <c:pt idx="9">
                  <c:v>27.2</c:v>
                </c:pt>
                <c:pt idx="10">
                  <c:v>26.8</c:v>
                </c:pt>
                <c:pt idx="11">
                  <c:v>26.1</c:v>
                </c:pt>
                <c:pt idx="12">
                  <c:v>26.1</c:v>
                </c:pt>
                <c:pt idx="13">
                  <c:v>24.9</c:v>
                </c:pt>
                <c:pt idx="14">
                  <c:v>23.6</c:v>
                </c:pt>
                <c:pt idx="15">
                  <c:v>23.2</c:v>
                </c:pt>
                <c:pt idx="16">
                  <c:v>23</c:v>
                </c:pt>
                <c:pt idx="17">
                  <c:v>22.3</c:v>
                </c:pt>
                <c:pt idx="18">
                  <c:v>21.5</c:v>
                </c:pt>
                <c:pt idx="19">
                  <c:v>20.5</c:v>
                </c:pt>
                <c:pt idx="20">
                  <c:v>19.600000000000001</c:v>
                </c:pt>
                <c:pt idx="21">
                  <c:v>19</c:v>
                </c:pt>
                <c:pt idx="22">
                  <c:v>18.100000000000001</c:v>
                </c:pt>
                <c:pt idx="23">
                  <c:v>18.100000000000001</c:v>
                </c:pt>
                <c:pt idx="24">
                  <c:v>18</c:v>
                </c:pt>
                <c:pt idx="25">
                  <c:v>17.8</c:v>
                </c:pt>
                <c:pt idx="26">
                  <c:v>17.7</c:v>
                </c:pt>
                <c:pt idx="27">
                  <c:v>16.399999999999999</c:v>
                </c:pt>
                <c:pt idx="28">
                  <c:v>15.9</c:v>
                </c:pt>
                <c:pt idx="29">
                  <c:v>15.8</c:v>
                </c:pt>
                <c:pt idx="30">
                  <c:v>14.6</c:v>
                </c:pt>
                <c:pt idx="31">
                  <c:v>14.4</c:v>
                </c:pt>
                <c:pt idx="32">
                  <c:v>14.3</c:v>
                </c:pt>
                <c:pt idx="33">
                  <c:v>14.3</c:v>
                </c:pt>
                <c:pt idx="34">
                  <c:v>14.1</c:v>
                </c:pt>
                <c:pt idx="35">
                  <c:v>12.1</c:v>
                </c:pt>
              </c:numCache>
            </c:numRef>
          </c:val>
          <c:extLst>
            <c:ext xmlns:c16="http://schemas.microsoft.com/office/drawing/2014/chart" uri="{C3380CC4-5D6E-409C-BE32-E72D297353CC}">
              <c16:uniqueId val="{0000001E-503C-466C-BF5D-7DABBBB39308}"/>
            </c:ext>
          </c:extLst>
        </c:ser>
        <c:dLbls>
          <c:showLegendKey val="0"/>
          <c:showVal val="0"/>
          <c:showCatName val="0"/>
          <c:showSerName val="0"/>
          <c:showPercent val="0"/>
          <c:showBubbleSize val="0"/>
        </c:dLbls>
        <c:gapWidth val="182"/>
        <c:axId val="754396960"/>
        <c:axId val="754408112"/>
      </c:barChart>
      <c:catAx>
        <c:axId val="754396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754408112"/>
        <c:crosses val="autoZero"/>
        <c:auto val="1"/>
        <c:lblAlgn val="ctr"/>
        <c:lblOffset val="100"/>
        <c:noMultiLvlLbl val="0"/>
      </c:catAx>
      <c:valAx>
        <c:axId val="7544081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754396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'ΑΝΑΠΗΡΙΑ ΔΙΑΧΡΟΝΙΚΑ'!$A$6</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'ΑΝΑΠΗΡΙΑ ΔΙΑΧΡΟΝΙΚΑ'!$B$5:$K$5</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'ΑΝΑΠΗΡΙΑ ΔΙΑΧΡΟΝΙΚΑ'!$B$6:$K$6</c:f>
              <c:numCache>
                <c:formatCode>General</c:formatCode>
                <c:ptCount val="10"/>
              </c:numCache>
            </c:numRef>
          </c:val>
          <c:smooth val="0"/>
          <c:extLst>
            <c:ext xmlns:c16="http://schemas.microsoft.com/office/drawing/2014/chart" uri="{C3380CC4-5D6E-409C-BE32-E72D297353CC}">
              <c16:uniqueId val="{00000000-AC4E-4A84-8C44-D1B717D96214}"/>
            </c:ext>
          </c:extLst>
        </c:ser>
        <c:ser>
          <c:idx val="1"/>
          <c:order val="1"/>
          <c:tx>
            <c:strRef>
              <c:f>'ΑΝΑΠΗΡΙΑ ΔΙΑΧΡΟΝΙΚΑ'!$A$7</c:f>
              <c:strCache>
                <c:ptCount val="1"/>
                <c:pt idx="0">
                  <c:v>Αναπηρία</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3.8051750380517502E-2"/>
                  <c:y val="-3.4642032332563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4E-4A84-8C44-D1B717D96214}"/>
                </c:ext>
              </c:extLst>
            </c:dLbl>
            <c:dLbl>
              <c:idx val="2"/>
              <c:layout>
                <c:manualLayout>
                  <c:x val="-4.0588533739218668E-2"/>
                  <c:y val="-5.0038491147036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4E-4A84-8C44-D1B717D96214}"/>
                </c:ext>
              </c:extLst>
            </c:dLbl>
            <c:dLbl>
              <c:idx val="3"/>
              <c:layout>
                <c:manualLayout>
                  <c:x val="-2.0294266869609334E-2"/>
                  <c:y val="-2.3094688221709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4E-4A84-8C44-D1B717D96214}"/>
                </c:ext>
              </c:extLst>
            </c:dLbl>
            <c:dLbl>
              <c:idx val="4"/>
              <c:layout>
                <c:manualLayout>
                  <c:x val="-7.3566717402333837E-2"/>
                  <c:y val="5.7736720554272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4E-4A84-8C44-D1B717D96214}"/>
                </c:ext>
              </c:extLst>
            </c:dLbl>
            <c:dLbl>
              <c:idx val="5"/>
              <c:layout>
                <c:manualLayout>
                  <c:x val="-5.0735667174023336E-2"/>
                  <c:y val="-3.4642032332563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4E-4A84-8C44-D1B717D96214}"/>
                </c:ext>
              </c:extLst>
            </c:dLbl>
            <c:dLbl>
              <c:idx val="6"/>
              <c:layout>
                <c:manualLayout>
                  <c:x val="-6.0882800608828003E-2"/>
                  <c:y val="5.3887605850654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4E-4A84-8C44-D1B717D96214}"/>
                </c:ext>
              </c:extLst>
            </c:dLbl>
            <c:dLbl>
              <c:idx val="7"/>
              <c:layout>
                <c:manualLayout>
                  <c:x val="-4.8198883815322169E-2"/>
                  <c:y val="-3.079291762894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4E-4A84-8C44-D1B717D96214}"/>
                </c:ext>
              </c:extLst>
            </c:dLbl>
            <c:dLbl>
              <c:idx val="8"/>
              <c:layout>
                <c:manualLayout>
                  <c:x val="-4.8198883815322079E-2"/>
                  <c:y val="5.3887605850654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4E-4A84-8C44-D1B717D96214}"/>
                </c:ext>
              </c:extLst>
            </c:dLbl>
            <c:dLbl>
              <c:idx val="9"/>
              <c:layout>
                <c:manualLayout>
                  <c:x val="-1.8602863061947022E-16"/>
                  <c:y val="-2.3094688221709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4E-4A84-8C44-D1B717D9621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'ΑΝΑΠΗΡΙΑ ΔΙΑΧΡΟΝΙΚΑ'!$B$5:$K$5</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'ΑΝΑΠΗΡΙΑ ΔΙΑΧΡΟΝΙΚΑ'!$B$7:$K$7</c:f>
              <c:numCache>
                <c:formatCode>#,##0</c:formatCode>
                <c:ptCount val="10"/>
                <c:pt idx="0">
                  <c:v>3334</c:v>
                </c:pt>
                <c:pt idx="1">
                  <c:v>3576</c:v>
                </c:pt>
                <c:pt idx="2">
                  <c:v>3673</c:v>
                </c:pt>
                <c:pt idx="3">
                  <c:v>3615</c:v>
                </c:pt>
                <c:pt idx="4">
                  <c:v>3361</c:v>
                </c:pt>
                <c:pt idx="5">
                  <c:v>2979</c:v>
                </c:pt>
                <c:pt idx="6">
                  <c:v>2938</c:v>
                </c:pt>
                <c:pt idx="7">
                  <c:v>2921</c:v>
                </c:pt>
                <c:pt idx="8">
                  <c:v>2691</c:v>
                </c:pt>
                <c:pt idx="9">
                  <c:v>2658</c:v>
                </c:pt>
              </c:numCache>
            </c:numRef>
          </c:val>
          <c:smooth val="0"/>
          <c:extLst>
            <c:ext xmlns:c16="http://schemas.microsoft.com/office/drawing/2014/chart" uri="{C3380CC4-5D6E-409C-BE32-E72D297353CC}">
              <c16:uniqueId val="{0000000A-AC4E-4A84-8C44-D1B717D96214}"/>
            </c:ext>
          </c:extLst>
        </c:ser>
        <c:ser>
          <c:idx val="2"/>
          <c:order val="2"/>
          <c:tx>
            <c:strRef>
              <c:f>'ΑΝΑΠΗΡΙΑ ΔΙΑΧΡΟΝΙΚΑ'!$A$8</c:f>
              <c:strCache>
                <c:ptCount val="1"/>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'ΑΝΑΠΗΡΙΑ ΔΙΑΧΡΟΝΙΚΑ'!$B$5:$K$5</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'ΑΝΑΠΗΡΙΑ ΔΙΑΧΡΟΝΙΚΑ'!$B$8:$K$8</c:f>
              <c:numCache>
                <c:formatCode>General</c:formatCode>
                <c:ptCount val="10"/>
              </c:numCache>
            </c:numRef>
          </c:val>
          <c:smooth val="0"/>
          <c:extLst>
            <c:ext xmlns:c16="http://schemas.microsoft.com/office/drawing/2014/chart" uri="{C3380CC4-5D6E-409C-BE32-E72D297353CC}">
              <c16:uniqueId val="{0000000B-AC4E-4A84-8C44-D1B717D96214}"/>
            </c:ext>
          </c:extLst>
        </c:ser>
        <c:ser>
          <c:idx val="3"/>
          <c:order val="3"/>
          <c:tx>
            <c:strRef>
              <c:f>'ΑΝΑΠΗΡΙΑ ΔΙΑΧΡΟΝΙΚΑ'!$A$9</c:f>
              <c:strCache>
                <c:ptCount val="1"/>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'ΑΝΑΠΗΡΙΑ ΔΙΑΧΡΟΝΙΚΑ'!$B$5:$K$5</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'ΑΝΑΠΗΡΙΑ ΔΙΑΧΡΟΝΙΚΑ'!$B$9:$K$9</c:f>
              <c:numCache>
                <c:formatCode>General</c:formatCode>
                <c:ptCount val="10"/>
              </c:numCache>
            </c:numRef>
          </c:val>
          <c:smooth val="0"/>
          <c:extLst>
            <c:ext xmlns:c16="http://schemas.microsoft.com/office/drawing/2014/chart" uri="{C3380CC4-5D6E-409C-BE32-E72D297353CC}">
              <c16:uniqueId val="{0000000C-AC4E-4A84-8C44-D1B717D96214}"/>
            </c:ext>
          </c:extLst>
        </c:ser>
        <c:dLbls>
          <c:showLegendKey val="0"/>
          <c:showVal val="0"/>
          <c:showCatName val="0"/>
          <c:showSerName val="0"/>
          <c:showPercent val="0"/>
          <c:showBubbleSize val="0"/>
        </c:dLbls>
        <c:marker val="1"/>
        <c:smooth val="0"/>
        <c:axId val="511924176"/>
        <c:axId val="511923520"/>
      </c:lineChart>
      <c:catAx>
        <c:axId val="51192417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11923520"/>
        <c:crosses val="autoZero"/>
        <c:auto val="1"/>
        <c:lblAlgn val="ctr"/>
        <c:lblOffset val="100"/>
        <c:noMultiLvlLbl val="0"/>
      </c:catAx>
      <c:valAx>
        <c:axId val="511923520"/>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11924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Φύλλο2!$A$2</c:f>
              <c:strCache>
                <c:ptCount val="1"/>
                <c:pt idx="0">
                  <c:v>Συντάξεις αναπηρίας </c:v>
                </c:pt>
              </c:strCache>
            </c:strRef>
          </c:tx>
          <c:spPr>
            <a:ln w="28575" cap="rnd">
              <a:solidFill>
                <a:schemeClr val="accent1"/>
              </a:solidFill>
              <a:round/>
            </a:ln>
            <a:effectLst/>
          </c:spPr>
          <c:marker>
            <c:symbol val="none"/>
          </c:marker>
          <c:dLbls>
            <c:dLbl>
              <c:idx val="0"/>
              <c:layout>
                <c:manualLayout>
                  <c:x val="-8.3196496989600452E-2"/>
                  <c:y val="-1.7601760176017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82-46F2-B11F-0CEF15DB6389}"/>
                </c:ext>
              </c:extLst>
            </c:dLbl>
            <c:dLbl>
              <c:idx val="1"/>
              <c:layout>
                <c:manualLayout>
                  <c:x val="-4.81663929939792E-2"/>
                  <c:y val="6.1606160616061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82-46F2-B11F-0CEF15DB6389}"/>
                </c:ext>
              </c:extLst>
            </c:dLbl>
            <c:dLbl>
              <c:idx val="2"/>
              <c:layout>
                <c:manualLayout>
                  <c:x val="-4.81663929939792E-2"/>
                  <c:y val="6.6006600660065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82-46F2-B11F-0CEF15DB6389}"/>
                </c:ext>
              </c:extLst>
            </c:dLbl>
            <c:dLbl>
              <c:idx val="3"/>
              <c:layout>
                <c:manualLayout>
                  <c:x val="-5.4734537493158181E-2"/>
                  <c:y val="5.2805280528052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82-46F2-B11F-0CEF15DB6389}"/>
                </c:ext>
              </c:extLst>
            </c:dLbl>
            <c:dLbl>
              <c:idx val="4"/>
              <c:layout>
                <c:manualLayout>
                  <c:x val="-4.5977011494252873E-2"/>
                  <c:y val="6.1606160616061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82-46F2-B11F-0CEF15DB6389}"/>
                </c:ext>
              </c:extLst>
            </c:dLbl>
            <c:dLbl>
              <c:idx val="5"/>
              <c:layout>
                <c:manualLayout>
                  <c:x val="-3.9408866995073975E-2"/>
                  <c:y val="-5.7205720572057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82-46F2-B11F-0CEF15DB6389}"/>
                </c:ext>
              </c:extLst>
            </c:dLbl>
            <c:dLbl>
              <c:idx val="6"/>
              <c:layout>
                <c:manualLayout>
                  <c:x val="-4.3787629994526546E-2"/>
                  <c:y val="4.8404840484048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82-46F2-B11F-0CEF15DB6389}"/>
                </c:ext>
              </c:extLst>
            </c:dLbl>
            <c:dLbl>
              <c:idx val="7"/>
              <c:layout>
                <c:manualLayout>
                  <c:x val="-3.9408866995074052E-2"/>
                  <c:y val="-6.1606160616061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782-46F2-B11F-0CEF15DB6389}"/>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Φύλλο2!$B$1:$I$1</c:f>
              <c:numCache>
                <c:formatCode>####</c:formatCode>
                <c:ptCount val="8"/>
                <c:pt idx="0">
                  <c:v>2010</c:v>
                </c:pt>
                <c:pt idx="1">
                  <c:v>2011</c:v>
                </c:pt>
                <c:pt idx="2">
                  <c:v>2012</c:v>
                </c:pt>
                <c:pt idx="3">
                  <c:v>2013</c:v>
                </c:pt>
                <c:pt idx="4">
                  <c:v>2014</c:v>
                </c:pt>
                <c:pt idx="5">
                  <c:v>2015</c:v>
                </c:pt>
                <c:pt idx="6">
                  <c:v>2016</c:v>
                </c:pt>
                <c:pt idx="7">
                  <c:v>2017</c:v>
                </c:pt>
              </c:numCache>
            </c:numRef>
          </c:cat>
          <c:val>
            <c:numRef>
              <c:f>Φύλλο2!$B$2:$I$2</c:f>
              <c:numCache>
                <c:formatCode>#,##0</c:formatCode>
                <c:ptCount val="8"/>
                <c:pt idx="0">
                  <c:v>2694</c:v>
                </c:pt>
                <c:pt idx="1">
                  <c:v>2693</c:v>
                </c:pt>
                <c:pt idx="2">
                  <c:v>2439</c:v>
                </c:pt>
                <c:pt idx="3">
                  <c:v>2156</c:v>
                </c:pt>
                <c:pt idx="4">
                  <c:v>2105</c:v>
                </c:pt>
                <c:pt idx="5">
                  <c:v>2140</c:v>
                </c:pt>
                <c:pt idx="6">
                  <c:v>1930</c:v>
                </c:pt>
                <c:pt idx="7">
                  <c:v>1937</c:v>
                </c:pt>
              </c:numCache>
            </c:numRef>
          </c:val>
          <c:smooth val="0"/>
          <c:extLst>
            <c:ext xmlns:c16="http://schemas.microsoft.com/office/drawing/2014/chart" uri="{C3380CC4-5D6E-409C-BE32-E72D297353CC}">
              <c16:uniqueId val="{00000000-76CD-4038-8B80-CD547FE4C49D}"/>
            </c:ext>
          </c:extLst>
        </c:ser>
        <c:ser>
          <c:idx val="1"/>
          <c:order val="1"/>
          <c:tx>
            <c:strRef>
              <c:f>Φύλλο2!$A$3</c:f>
              <c:strCache>
                <c:ptCount val="1"/>
                <c:pt idx="0">
                  <c:v>Προνοιακά επιδόματα</c:v>
                </c:pt>
              </c:strCache>
            </c:strRef>
          </c:tx>
          <c:spPr>
            <a:ln w="28575" cap="rnd">
              <a:solidFill>
                <a:schemeClr val="accent2"/>
              </a:solidFill>
              <a:round/>
            </a:ln>
            <a:effectLst/>
          </c:spPr>
          <c:marker>
            <c:symbol val="none"/>
          </c:marker>
          <c:dLbls>
            <c:dLbl>
              <c:idx val="0"/>
              <c:layout>
                <c:manualLayout>
                  <c:x val="-6.3492063492063502E-2"/>
                  <c:y val="-1.3201320132013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82-46F2-B11F-0CEF15DB6389}"/>
                </c:ext>
              </c:extLst>
            </c:dLbl>
            <c:dLbl>
              <c:idx val="1"/>
              <c:layout>
                <c:manualLayout>
                  <c:x val="-4.1598248494800261E-2"/>
                  <c:y val="4.8404840484048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82-46F2-B11F-0CEF15DB6389}"/>
                </c:ext>
              </c:extLst>
            </c:dLbl>
            <c:dLbl>
              <c:idx val="2"/>
              <c:layout>
                <c:manualLayout>
                  <c:x val="-3.5030103995621238E-2"/>
                  <c:y val="4.8404840484048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82-46F2-B11F-0CEF15DB6389}"/>
                </c:ext>
              </c:extLst>
            </c:dLbl>
            <c:dLbl>
              <c:idx val="3"/>
              <c:layout>
                <c:manualLayout>
                  <c:x val="-3.0651340996168581E-2"/>
                  <c:y val="4.8404840484048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82-46F2-B11F-0CEF15DB6389}"/>
                </c:ext>
              </c:extLst>
            </c:dLbl>
            <c:dLbl>
              <c:idx val="4"/>
              <c:layout>
                <c:manualLayout>
                  <c:x val="-3.7219485495347565E-2"/>
                  <c:y val="-6.1606160616061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82-46F2-B11F-0CEF15DB6389}"/>
                </c:ext>
              </c:extLst>
            </c:dLbl>
            <c:dLbl>
              <c:idx val="5"/>
              <c:layout>
                <c:manualLayout>
                  <c:x val="-3.2840722495894911E-2"/>
                  <c:y val="5.2805280528052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782-46F2-B11F-0CEF15DB6389}"/>
                </c:ext>
              </c:extLst>
            </c:dLbl>
            <c:dLbl>
              <c:idx val="6"/>
              <c:layout>
                <c:manualLayout>
                  <c:x val="-3.5030103995621238E-2"/>
                  <c:y val="-6.1606160616061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782-46F2-B11F-0CEF15DB6389}"/>
                </c:ext>
              </c:extLst>
            </c:dLbl>
            <c:dLbl>
              <c:idx val="7"/>
              <c:layout>
                <c:manualLayout>
                  <c:x val="-2.8461959496442254E-2"/>
                  <c:y val="-7.0407040704070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782-46F2-B11F-0CEF15DB6389}"/>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Φύλλο2!$B$1:$I$1</c:f>
              <c:numCache>
                <c:formatCode>####</c:formatCode>
                <c:ptCount val="8"/>
                <c:pt idx="0">
                  <c:v>2010</c:v>
                </c:pt>
                <c:pt idx="1">
                  <c:v>2011</c:v>
                </c:pt>
                <c:pt idx="2">
                  <c:v>2012</c:v>
                </c:pt>
                <c:pt idx="3">
                  <c:v>2013</c:v>
                </c:pt>
                <c:pt idx="4">
                  <c:v>2014</c:v>
                </c:pt>
                <c:pt idx="5">
                  <c:v>2015</c:v>
                </c:pt>
                <c:pt idx="6">
                  <c:v>2016</c:v>
                </c:pt>
                <c:pt idx="7">
                  <c:v>2017</c:v>
                </c:pt>
              </c:numCache>
            </c:numRef>
          </c:cat>
          <c:val>
            <c:numRef>
              <c:f>Φύλλο2!$B$3:$I$3</c:f>
              <c:numCache>
                <c:formatCode>General</c:formatCode>
                <c:ptCount val="8"/>
                <c:pt idx="0">
                  <c:v>768</c:v>
                </c:pt>
                <c:pt idx="1">
                  <c:v>755</c:v>
                </c:pt>
                <c:pt idx="2">
                  <c:v>752</c:v>
                </c:pt>
                <c:pt idx="3">
                  <c:v>674</c:v>
                </c:pt>
                <c:pt idx="4">
                  <c:v>719</c:v>
                </c:pt>
                <c:pt idx="5">
                  <c:v>673</c:v>
                </c:pt>
                <c:pt idx="6">
                  <c:v>669</c:v>
                </c:pt>
                <c:pt idx="7">
                  <c:v>671</c:v>
                </c:pt>
              </c:numCache>
            </c:numRef>
          </c:val>
          <c:smooth val="0"/>
          <c:extLst>
            <c:ext xmlns:c16="http://schemas.microsoft.com/office/drawing/2014/chart" uri="{C3380CC4-5D6E-409C-BE32-E72D297353CC}">
              <c16:uniqueId val="{00000001-76CD-4038-8B80-CD547FE4C49D}"/>
            </c:ext>
          </c:extLst>
        </c:ser>
        <c:dLbls>
          <c:showLegendKey val="0"/>
          <c:showVal val="0"/>
          <c:showCatName val="0"/>
          <c:showSerName val="0"/>
          <c:showPercent val="0"/>
          <c:showBubbleSize val="0"/>
        </c:dLbls>
        <c:smooth val="0"/>
        <c:axId val="401975032"/>
        <c:axId val="172224432"/>
      </c:lineChart>
      <c:catAx>
        <c:axId val="401975032"/>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2224432"/>
        <c:crosses val="autoZero"/>
        <c:auto val="1"/>
        <c:lblAlgn val="ctr"/>
        <c:lblOffset val="100"/>
        <c:noMultiLvlLbl val="0"/>
      </c:catAx>
      <c:valAx>
        <c:axId val="17222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0197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0DD8-4CB1-BEDB-9F3E033B8BD8}"/>
                </c:ext>
              </c:extLst>
            </c:dLbl>
            <c:dLbl>
              <c:idx val="2"/>
              <c:delete val="1"/>
              <c:extLst>
                <c:ext xmlns:c15="http://schemas.microsoft.com/office/drawing/2012/chart" uri="{CE6537A1-D6FC-4f65-9D91-7224C49458BB}"/>
                <c:ext xmlns:c16="http://schemas.microsoft.com/office/drawing/2014/chart" uri="{C3380CC4-5D6E-409C-BE32-E72D297353CC}">
                  <c16:uniqueId val="{00000001-0DD8-4CB1-BEDB-9F3E033B8BD8}"/>
                </c:ext>
              </c:extLst>
            </c:dLbl>
            <c:dLbl>
              <c:idx val="3"/>
              <c:delete val="1"/>
              <c:extLst>
                <c:ext xmlns:c15="http://schemas.microsoft.com/office/drawing/2012/chart" uri="{CE6537A1-D6FC-4f65-9D91-7224C49458BB}"/>
                <c:ext xmlns:c16="http://schemas.microsoft.com/office/drawing/2014/chart" uri="{C3380CC4-5D6E-409C-BE32-E72D297353CC}">
                  <c16:uniqueId val="{00000002-0DD8-4CB1-BEDB-9F3E033B8BD8}"/>
                </c:ext>
              </c:extLst>
            </c:dLbl>
            <c:dLbl>
              <c:idx val="4"/>
              <c:delete val="1"/>
              <c:extLst>
                <c:ext xmlns:c15="http://schemas.microsoft.com/office/drawing/2012/chart" uri="{CE6537A1-D6FC-4f65-9D91-7224C49458BB}"/>
                <c:ext xmlns:c16="http://schemas.microsoft.com/office/drawing/2014/chart" uri="{C3380CC4-5D6E-409C-BE32-E72D297353CC}">
                  <c16:uniqueId val="{00000003-0DD8-4CB1-BEDB-9F3E033B8BD8}"/>
                </c:ext>
              </c:extLst>
            </c:dLbl>
            <c:dLbl>
              <c:idx val="7"/>
              <c:delete val="1"/>
              <c:extLst>
                <c:ext xmlns:c15="http://schemas.microsoft.com/office/drawing/2012/chart" uri="{CE6537A1-D6FC-4f65-9D91-7224C49458BB}"/>
                <c:ext xmlns:c16="http://schemas.microsoft.com/office/drawing/2014/chart" uri="{C3380CC4-5D6E-409C-BE32-E72D297353CC}">
                  <c16:uniqueId val="{00000004-0DD8-4CB1-BEDB-9F3E033B8BD8}"/>
                </c:ext>
              </c:extLst>
            </c:dLbl>
            <c:dLbl>
              <c:idx val="8"/>
              <c:delete val="1"/>
              <c:extLst>
                <c:ext xmlns:c15="http://schemas.microsoft.com/office/drawing/2012/chart" uri="{CE6537A1-D6FC-4f65-9D91-7224C49458BB}"/>
                <c:ext xmlns:c16="http://schemas.microsoft.com/office/drawing/2014/chart" uri="{C3380CC4-5D6E-409C-BE32-E72D297353CC}">
                  <c16:uniqueId val="{00000005-0DD8-4CB1-BEDB-9F3E033B8BD8}"/>
                </c:ext>
              </c:extLst>
            </c:dLbl>
            <c:dLbl>
              <c:idx val="9"/>
              <c:delete val="1"/>
              <c:extLst>
                <c:ext xmlns:c15="http://schemas.microsoft.com/office/drawing/2012/chart" uri="{CE6537A1-D6FC-4f65-9D91-7224C49458BB}"/>
                <c:ext xmlns:c16="http://schemas.microsoft.com/office/drawing/2014/chart" uri="{C3380CC4-5D6E-409C-BE32-E72D297353CC}">
                  <c16:uniqueId val="{00000006-0DD8-4CB1-BEDB-9F3E033B8BD8}"/>
                </c:ext>
              </c:extLst>
            </c:dLbl>
            <c:dLbl>
              <c:idx val="10"/>
              <c:delete val="1"/>
              <c:extLst>
                <c:ext xmlns:c15="http://schemas.microsoft.com/office/drawing/2012/chart" uri="{CE6537A1-D6FC-4f65-9D91-7224C49458BB}"/>
                <c:ext xmlns:c16="http://schemas.microsoft.com/office/drawing/2014/chart" uri="{C3380CC4-5D6E-409C-BE32-E72D297353CC}">
                  <c16:uniqueId val="{00000007-0DD8-4CB1-BEDB-9F3E033B8BD8}"/>
                </c:ext>
              </c:extLst>
            </c:dLbl>
            <c:dLbl>
              <c:idx val="11"/>
              <c:delete val="1"/>
              <c:extLst>
                <c:ext xmlns:c15="http://schemas.microsoft.com/office/drawing/2012/chart" uri="{CE6537A1-D6FC-4f65-9D91-7224C49458BB}"/>
                <c:ext xmlns:c16="http://schemas.microsoft.com/office/drawing/2014/chart" uri="{C3380CC4-5D6E-409C-BE32-E72D297353CC}">
                  <c16:uniqueId val="{00000008-0DD8-4CB1-BEDB-9F3E033B8BD8}"/>
                </c:ext>
              </c:extLst>
            </c:dLbl>
            <c:dLbl>
              <c:idx val="12"/>
              <c:delete val="1"/>
              <c:extLst>
                <c:ext xmlns:c15="http://schemas.microsoft.com/office/drawing/2012/chart" uri="{CE6537A1-D6FC-4f65-9D91-7224C49458BB}"/>
                <c:ext xmlns:c16="http://schemas.microsoft.com/office/drawing/2014/chart" uri="{C3380CC4-5D6E-409C-BE32-E72D297353CC}">
                  <c16:uniqueId val="{00000009-0DD8-4CB1-BEDB-9F3E033B8BD8}"/>
                </c:ext>
              </c:extLst>
            </c:dLbl>
            <c:dLbl>
              <c:idx val="13"/>
              <c:delete val="1"/>
              <c:extLst>
                <c:ext xmlns:c15="http://schemas.microsoft.com/office/drawing/2012/chart" uri="{CE6537A1-D6FC-4f65-9D91-7224C49458BB}"/>
                <c:ext xmlns:c16="http://schemas.microsoft.com/office/drawing/2014/chart" uri="{C3380CC4-5D6E-409C-BE32-E72D297353CC}">
                  <c16:uniqueId val="{0000000A-0DD8-4CB1-BEDB-9F3E033B8BD8}"/>
                </c:ext>
              </c:extLst>
            </c:dLbl>
            <c:dLbl>
              <c:idx val="16"/>
              <c:delete val="1"/>
              <c:extLst>
                <c:ext xmlns:c15="http://schemas.microsoft.com/office/drawing/2012/chart" uri="{CE6537A1-D6FC-4f65-9D91-7224C49458BB}"/>
                <c:ext xmlns:c16="http://schemas.microsoft.com/office/drawing/2014/chart" uri="{C3380CC4-5D6E-409C-BE32-E72D297353CC}">
                  <c16:uniqueId val="{0000000B-0DD8-4CB1-BEDB-9F3E033B8BD8}"/>
                </c:ext>
              </c:extLst>
            </c:dLbl>
            <c:dLbl>
              <c:idx val="17"/>
              <c:delete val="1"/>
              <c:extLst>
                <c:ext xmlns:c15="http://schemas.microsoft.com/office/drawing/2012/chart" uri="{CE6537A1-D6FC-4f65-9D91-7224C49458BB}"/>
                <c:ext xmlns:c16="http://schemas.microsoft.com/office/drawing/2014/chart" uri="{C3380CC4-5D6E-409C-BE32-E72D297353CC}">
                  <c16:uniqueId val="{0000000C-0DD8-4CB1-BEDB-9F3E033B8BD8}"/>
                </c:ext>
              </c:extLst>
            </c:dLbl>
            <c:dLbl>
              <c:idx val="19"/>
              <c:delete val="1"/>
              <c:extLst>
                <c:ext xmlns:c15="http://schemas.microsoft.com/office/drawing/2012/chart" uri="{CE6537A1-D6FC-4f65-9D91-7224C49458BB}"/>
                <c:ext xmlns:c16="http://schemas.microsoft.com/office/drawing/2014/chart" uri="{C3380CC4-5D6E-409C-BE32-E72D297353CC}">
                  <c16:uniqueId val="{0000000D-0DD8-4CB1-BEDB-9F3E033B8BD8}"/>
                </c:ext>
              </c:extLst>
            </c:dLbl>
            <c:dLbl>
              <c:idx val="20"/>
              <c:delete val="1"/>
              <c:extLst>
                <c:ext xmlns:c15="http://schemas.microsoft.com/office/drawing/2012/chart" uri="{CE6537A1-D6FC-4f65-9D91-7224C49458BB}"/>
                <c:ext xmlns:c16="http://schemas.microsoft.com/office/drawing/2014/chart" uri="{C3380CC4-5D6E-409C-BE32-E72D297353CC}">
                  <c16:uniqueId val="{0000000E-0DD8-4CB1-BEDB-9F3E033B8BD8}"/>
                </c:ext>
              </c:extLst>
            </c:dLbl>
            <c:dLbl>
              <c:idx val="21"/>
              <c:delete val="1"/>
              <c:extLst>
                <c:ext xmlns:c15="http://schemas.microsoft.com/office/drawing/2012/chart" uri="{CE6537A1-D6FC-4f65-9D91-7224C49458BB}"/>
                <c:ext xmlns:c16="http://schemas.microsoft.com/office/drawing/2014/chart" uri="{C3380CC4-5D6E-409C-BE32-E72D297353CC}">
                  <c16:uniqueId val="{0000000F-0DD8-4CB1-BEDB-9F3E033B8BD8}"/>
                </c:ext>
              </c:extLst>
            </c:dLbl>
            <c:dLbl>
              <c:idx val="22"/>
              <c:delete val="1"/>
              <c:extLst>
                <c:ext xmlns:c15="http://schemas.microsoft.com/office/drawing/2012/chart" uri="{CE6537A1-D6FC-4f65-9D91-7224C49458BB}"/>
                <c:ext xmlns:c16="http://schemas.microsoft.com/office/drawing/2014/chart" uri="{C3380CC4-5D6E-409C-BE32-E72D297353CC}">
                  <c16:uniqueId val="{00000010-0DD8-4CB1-BEDB-9F3E033B8BD8}"/>
                </c:ext>
              </c:extLst>
            </c:dLbl>
            <c:dLbl>
              <c:idx val="23"/>
              <c:delete val="1"/>
              <c:extLst>
                <c:ext xmlns:c15="http://schemas.microsoft.com/office/drawing/2012/chart" uri="{CE6537A1-D6FC-4f65-9D91-7224C49458BB}"/>
                <c:ext xmlns:c16="http://schemas.microsoft.com/office/drawing/2014/chart" uri="{C3380CC4-5D6E-409C-BE32-E72D297353CC}">
                  <c16:uniqueId val="{00000011-0DD8-4CB1-BEDB-9F3E033B8BD8}"/>
                </c:ext>
              </c:extLst>
            </c:dLbl>
            <c:dLbl>
              <c:idx val="24"/>
              <c:delete val="1"/>
              <c:extLst>
                <c:ext xmlns:c15="http://schemas.microsoft.com/office/drawing/2012/chart" uri="{CE6537A1-D6FC-4f65-9D91-7224C49458BB}"/>
                <c:ext xmlns:c16="http://schemas.microsoft.com/office/drawing/2014/chart" uri="{C3380CC4-5D6E-409C-BE32-E72D297353CC}">
                  <c16:uniqueId val="{00000012-0DD8-4CB1-BEDB-9F3E033B8BD8}"/>
                </c:ext>
              </c:extLst>
            </c:dLbl>
            <c:dLbl>
              <c:idx val="25"/>
              <c:delete val="1"/>
              <c:extLst>
                <c:ext xmlns:c15="http://schemas.microsoft.com/office/drawing/2012/chart" uri="{CE6537A1-D6FC-4f65-9D91-7224C49458BB}"/>
                <c:ext xmlns:c16="http://schemas.microsoft.com/office/drawing/2014/chart" uri="{C3380CC4-5D6E-409C-BE32-E72D297353CC}">
                  <c16:uniqueId val="{00000013-0DD8-4CB1-BEDB-9F3E033B8BD8}"/>
                </c:ext>
              </c:extLst>
            </c:dLbl>
            <c:dLbl>
              <c:idx val="26"/>
              <c:delete val="1"/>
              <c:extLst>
                <c:ext xmlns:c15="http://schemas.microsoft.com/office/drawing/2012/chart" uri="{CE6537A1-D6FC-4f65-9D91-7224C49458BB}"/>
                <c:ext xmlns:c16="http://schemas.microsoft.com/office/drawing/2014/chart" uri="{C3380CC4-5D6E-409C-BE32-E72D297353CC}">
                  <c16:uniqueId val="{00000014-0DD8-4CB1-BEDB-9F3E033B8BD8}"/>
                </c:ext>
              </c:extLst>
            </c:dLbl>
            <c:dLbl>
              <c:idx val="27"/>
              <c:delete val="1"/>
              <c:extLst>
                <c:ext xmlns:c15="http://schemas.microsoft.com/office/drawing/2012/chart" uri="{CE6537A1-D6FC-4f65-9D91-7224C49458BB}"/>
                <c:ext xmlns:c16="http://schemas.microsoft.com/office/drawing/2014/chart" uri="{C3380CC4-5D6E-409C-BE32-E72D297353CC}">
                  <c16:uniqueId val="{00000015-0DD8-4CB1-BEDB-9F3E033B8BD8}"/>
                </c:ext>
              </c:extLst>
            </c:dLbl>
            <c:dLbl>
              <c:idx val="28"/>
              <c:delete val="1"/>
              <c:extLst>
                <c:ext xmlns:c15="http://schemas.microsoft.com/office/drawing/2012/chart" uri="{CE6537A1-D6FC-4f65-9D91-7224C49458BB}"/>
                <c:ext xmlns:c16="http://schemas.microsoft.com/office/drawing/2014/chart" uri="{C3380CC4-5D6E-409C-BE32-E72D297353CC}">
                  <c16:uniqueId val="{00000016-0DD8-4CB1-BEDB-9F3E033B8BD8}"/>
                </c:ext>
              </c:extLst>
            </c:dLbl>
            <c:dLbl>
              <c:idx val="29"/>
              <c:delete val="1"/>
              <c:extLst>
                <c:ext xmlns:c15="http://schemas.microsoft.com/office/drawing/2012/chart" uri="{CE6537A1-D6FC-4f65-9D91-7224C49458BB}"/>
                <c:ext xmlns:c16="http://schemas.microsoft.com/office/drawing/2014/chart" uri="{C3380CC4-5D6E-409C-BE32-E72D297353CC}">
                  <c16:uniqueId val="{00000017-0DD8-4CB1-BEDB-9F3E033B8BD8}"/>
                </c:ext>
              </c:extLst>
            </c:dLbl>
            <c:dLbl>
              <c:idx val="30"/>
              <c:delete val="1"/>
              <c:extLst>
                <c:ext xmlns:c15="http://schemas.microsoft.com/office/drawing/2012/chart" uri="{CE6537A1-D6FC-4f65-9D91-7224C49458BB}"/>
                <c:ext xmlns:c16="http://schemas.microsoft.com/office/drawing/2014/chart" uri="{C3380CC4-5D6E-409C-BE32-E72D297353CC}">
                  <c16:uniqueId val="{00000018-0DD8-4CB1-BEDB-9F3E033B8BD8}"/>
                </c:ext>
              </c:extLst>
            </c:dLbl>
            <c:dLbl>
              <c:idx val="31"/>
              <c:delete val="1"/>
              <c:extLst>
                <c:ext xmlns:c15="http://schemas.microsoft.com/office/drawing/2012/chart" uri="{CE6537A1-D6FC-4f65-9D91-7224C49458BB}"/>
                <c:ext xmlns:c16="http://schemas.microsoft.com/office/drawing/2014/chart" uri="{C3380CC4-5D6E-409C-BE32-E72D297353CC}">
                  <c16:uniqueId val="{00000019-0DD8-4CB1-BEDB-9F3E033B8BD8}"/>
                </c:ext>
              </c:extLst>
            </c:dLbl>
            <c:dLbl>
              <c:idx val="32"/>
              <c:delete val="1"/>
              <c:extLst>
                <c:ext xmlns:c15="http://schemas.microsoft.com/office/drawing/2012/chart" uri="{CE6537A1-D6FC-4f65-9D91-7224C49458BB}"/>
                <c:ext xmlns:c16="http://schemas.microsoft.com/office/drawing/2014/chart" uri="{C3380CC4-5D6E-409C-BE32-E72D297353CC}">
                  <c16:uniqueId val="{0000001A-0DD8-4CB1-BEDB-9F3E033B8BD8}"/>
                </c:ext>
              </c:extLst>
            </c:dLbl>
            <c:dLbl>
              <c:idx val="33"/>
              <c:delete val="1"/>
              <c:extLst>
                <c:ext xmlns:c15="http://schemas.microsoft.com/office/drawing/2012/chart" uri="{CE6537A1-D6FC-4f65-9D91-7224C49458BB}"/>
                <c:ext xmlns:c16="http://schemas.microsoft.com/office/drawing/2014/chart" uri="{C3380CC4-5D6E-409C-BE32-E72D297353CC}">
                  <c16:uniqueId val="{0000001B-0DD8-4CB1-BEDB-9F3E033B8BD8}"/>
                </c:ext>
              </c:extLst>
            </c:dLbl>
            <c:dLbl>
              <c:idx val="34"/>
              <c:delete val="1"/>
              <c:extLst>
                <c:ext xmlns:c15="http://schemas.microsoft.com/office/drawing/2012/chart" uri="{CE6537A1-D6FC-4f65-9D91-7224C49458BB}"/>
                <c:ext xmlns:c16="http://schemas.microsoft.com/office/drawing/2014/chart" uri="{C3380CC4-5D6E-409C-BE32-E72D297353CC}">
                  <c16:uniqueId val="{0000001C-0DD8-4CB1-BEDB-9F3E033B8BD8}"/>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6'!$A$4:$A$39</c:f>
              <c:strCache>
                <c:ptCount val="36"/>
                <c:pt idx="0">
                  <c:v>Μάλτα</c:v>
                </c:pt>
                <c:pt idx="1">
                  <c:v>Τουρκία</c:v>
                </c:pt>
                <c:pt idx="2">
                  <c:v>Κύπρος</c:v>
                </c:pt>
                <c:pt idx="3">
                  <c:v>Σλοβενία</c:v>
                </c:pt>
                <c:pt idx="4">
                  <c:v>Ιρλανδία</c:v>
                </c:pt>
                <c:pt idx="5">
                  <c:v>Ιταλία</c:v>
                </c:pt>
                <c:pt idx="6">
                  <c:v>Ελλάδα</c:v>
                </c:pt>
                <c:pt idx="7">
                  <c:v>Ουγγαρία</c:v>
                </c:pt>
                <c:pt idx="8">
                  <c:v>Σερβία</c:v>
                </c:pt>
                <c:pt idx="9">
                  <c:v>Αυστρία </c:v>
                </c:pt>
                <c:pt idx="10">
                  <c:v>Τσεχία</c:v>
                </c:pt>
                <c:pt idx="11">
                  <c:v>Γαλλία</c:v>
                </c:pt>
                <c:pt idx="12">
                  <c:v>Ρουμανία</c:v>
                </c:pt>
                <c:pt idx="13">
                  <c:v>Αγγλία</c:v>
                </c:pt>
                <c:pt idx="14">
                  <c:v>Πορτογαλία</c:v>
                </c:pt>
                <c:pt idx="15">
                  <c:v>Ισπανία</c:v>
                </c:pt>
                <c:pt idx="16">
                  <c:v>Πολωνία</c:v>
                </c:pt>
                <c:pt idx="17">
                  <c:v>Βουλγαρία</c:v>
                </c:pt>
                <c:pt idx="18">
                  <c:v>E.E.(28)</c:v>
                </c:pt>
                <c:pt idx="19">
                  <c:v>Ελβετία</c:v>
                </c:pt>
                <c:pt idx="20">
                  <c:v>Γερμανία</c:v>
                </c:pt>
                <c:pt idx="21">
                  <c:v>Βέλγιο</c:v>
                </c:pt>
                <c:pt idx="22">
                  <c:v>Σλοβακία</c:v>
                </c:pt>
                <c:pt idx="23">
                  <c:v>Λετονία</c:v>
                </c:pt>
                <c:pt idx="24">
                  <c:v>Ολλανδία</c:v>
                </c:pt>
                <c:pt idx="25">
                  <c:v>Λιθουανία</c:v>
                </c:pt>
                <c:pt idx="26">
                  <c:v>Φιλανδία</c:v>
                </c:pt>
                <c:pt idx="27">
                  <c:v>Βόρεια Μακεδονία</c:v>
                </c:pt>
                <c:pt idx="28">
                  <c:v>Κροατία</c:v>
                </c:pt>
                <c:pt idx="29">
                  <c:v>Λουξεμβόυργο</c:v>
                </c:pt>
                <c:pt idx="30">
                  <c:v>Σουηδία </c:v>
                </c:pt>
                <c:pt idx="31">
                  <c:v>Εσθονία</c:v>
                </c:pt>
                <c:pt idx="32">
                  <c:v>Βοζνία-Εζεργοβίνη</c:v>
                </c:pt>
                <c:pt idx="33">
                  <c:v>Νορβηγία</c:v>
                </c:pt>
                <c:pt idx="34">
                  <c:v>Δανία</c:v>
                </c:pt>
                <c:pt idx="35">
                  <c:v>Ισλανδία</c:v>
                </c:pt>
              </c:strCache>
            </c:strRef>
          </c:cat>
          <c:val>
            <c:numRef>
              <c:f>'ΓΡΑΦΗΜΑ 6'!$B$4:$B$39</c:f>
              <c:numCache>
                <c:formatCode>General</c:formatCode>
                <c:ptCount val="36"/>
                <c:pt idx="0">
                  <c:v>3.48</c:v>
                </c:pt>
                <c:pt idx="1">
                  <c:v>3.55</c:v>
                </c:pt>
                <c:pt idx="2">
                  <c:v>4.4400000000000004</c:v>
                </c:pt>
                <c:pt idx="3">
                  <c:v>4.79</c:v>
                </c:pt>
                <c:pt idx="4">
                  <c:v>5.58</c:v>
                </c:pt>
                <c:pt idx="5">
                  <c:v>5.79</c:v>
                </c:pt>
                <c:pt idx="6">
                  <c:v>5.92</c:v>
                </c:pt>
                <c:pt idx="7">
                  <c:v>5.96</c:v>
                </c:pt>
                <c:pt idx="8">
                  <c:v>6.14</c:v>
                </c:pt>
                <c:pt idx="9">
                  <c:v>6.2</c:v>
                </c:pt>
                <c:pt idx="10">
                  <c:v>6.38</c:v>
                </c:pt>
                <c:pt idx="11">
                  <c:v>6.46</c:v>
                </c:pt>
                <c:pt idx="12">
                  <c:v>6.54</c:v>
                </c:pt>
                <c:pt idx="13">
                  <c:v>6.68</c:v>
                </c:pt>
                <c:pt idx="14">
                  <c:v>7.11</c:v>
                </c:pt>
                <c:pt idx="15">
                  <c:v>7.15</c:v>
                </c:pt>
                <c:pt idx="16">
                  <c:v>7.3</c:v>
                </c:pt>
                <c:pt idx="17">
                  <c:v>7.45</c:v>
                </c:pt>
                <c:pt idx="18">
                  <c:v>7.57</c:v>
                </c:pt>
                <c:pt idx="19">
                  <c:v>8.07</c:v>
                </c:pt>
                <c:pt idx="20">
                  <c:v>8.51</c:v>
                </c:pt>
                <c:pt idx="21">
                  <c:v>8.66</c:v>
                </c:pt>
                <c:pt idx="22">
                  <c:v>8.7899999999999991</c:v>
                </c:pt>
                <c:pt idx="23">
                  <c:v>9.0500000000000007</c:v>
                </c:pt>
                <c:pt idx="24">
                  <c:v>9.17</c:v>
                </c:pt>
                <c:pt idx="25">
                  <c:v>9.31</c:v>
                </c:pt>
                <c:pt idx="26">
                  <c:v>9.5500000000000007</c:v>
                </c:pt>
                <c:pt idx="27">
                  <c:v>9.9700000000000006</c:v>
                </c:pt>
                <c:pt idx="28">
                  <c:v>10.7</c:v>
                </c:pt>
                <c:pt idx="29">
                  <c:v>10.75</c:v>
                </c:pt>
                <c:pt idx="30">
                  <c:v>10.88</c:v>
                </c:pt>
                <c:pt idx="31">
                  <c:v>11.64</c:v>
                </c:pt>
                <c:pt idx="32">
                  <c:v>15.69</c:v>
                </c:pt>
                <c:pt idx="33">
                  <c:v>16.25</c:v>
                </c:pt>
                <c:pt idx="34">
                  <c:v>16.36</c:v>
                </c:pt>
                <c:pt idx="35">
                  <c:v>16.399999999999999</c:v>
                </c:pt>
              </c:numCache>
            </c:numRef>
          </c:val>
          <c:extLst>
            <c:ext xmlns:c16="http://schemas.microsoft.com/office/drawing/2014/chart" uri="{C3380CC4-5D6E-409C-BE32-E72D297353CC}">
              <c16:uniqueId val="{0000001D-0DD8-4CB1-BEDB-9F3E033B8BD8}"/>
            </c:ext>
          </c:extLst>
        </c:ser>
        <c:dLbls>
          <c:showLegendKey val="0"/>
          <c:showVal val="0"/>
          <c:showCatName val="0"/>
          <c:showSerName val="0"/>
          <c:showPercent val="0"/>
          <c:showBubbleSize val="0"/>
        </c:dLbls>
        <c:gapWidth val="182"/>
        <c:axId val="518767984"/>
        <c:axId val="518776840"/>
      </c:barChart>
      <c:catAx>
        <c:axId val="51876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18776840"/>
        <c:crosses val="autoZero"/>
        <c:auto val="1"/>
        <c:lblAlgn val="ctr"/>
        <c:lblOffset val="100"/>
        <c:noMultiLvlLbl val="0"/>
      </c:catAx>
      <c:valAx>
        <c:axId val="518776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18767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B3E6-4481-96B2-D9883278DE0F}"/>
                </c:ext>
              </c:extLst>
            </c:dLbl>
            <c:dLbl>
              <c:idx val="2"/>
              <c:delete val="1"/>
              <c:extLst>
                <c:ext xmlns:c15="http://schemas.microsoft.com/office/drawing/2012/chart" uri="{CE6537A1-D6FC-4f65-9D91-7224C49458BB}"/>
                <c:ext xmlns:c16="http://schemas.microsoft.com/office/drawing/2014/chart" uri="{C3380CC4-5D6E-409C-BE32-E72D297353CC}">
                  <c16:uniqueId val="{00000001-B3E6-4481-96B2-D9883278DE0F}"/>
                </c:ext>
              </c:extLst>
            </c:dLbl>
            <c:dLbl>
              <c:idx val="3"/>
              <c:delete val="1"/>
              <c:extLst>
                <c:ext xmlns:c15="http://schemas.microsoft.com/office/drawing/2012/chart" uri="{CE6537A1-D6FC-4f65-9D91-7224C49458BB}"/>
                <c:ext xmlns:c16="http://schemas.microsoft.com/office/drawing/2014/chart" uri="{C3380CC4-5D6E-409C-BE32-E72D297353CC}">
                  <c16:uniqueId val="{00000002-B3E6-4481-96B2-D9883278DE0F}"/>
                </c:ext>
              </c:extLst>
            </c:dLbl>
            <c:dLbl>
              <c:idx val="4"/>
              <c:delete val="1"/>
              <c:extLst>
                <c:ext xmlns:c15="http://schemas.microsoft.com/office/drawing/2012/chart" uri="{CE6537A1-D6FC-4f65-9D91-7224C49458BB}"/>
                <c:ext xmlns:c16="http://schemas.microsoft.com/office/drawing/2014/chart" uri="{C3380CC4-5D6E-409C-BE32-E72D297353CC}">
                  <c16:uniqueId val="{00000003-B3E6-4481-96B2-D9883278DE0F}"/>
                </c:ext>
              </c:extLst>
            </c:dLbl>
            <c:dLbl>
              <c:idx val="5"/>
              <c:delete val="1"/>
              <c:extLst>
                <c:ext xmlns:c15="http://schemas.microsoft.com/office/drawing/2012/chart" uri="{CE6537A1-D6FC-4f65-9D91-7224C49458BB}"/>
                <c:ext xmlns:c16="http://schemas.microsoft.com/office/drawing/2014/chart" uri="{C3380CC4-5D6E-409C-BE32-E72D297353CC}">
                  <c16:uniqueId val="{00000004-B3E6-4481-96B2-D9883278DE0F}"/>
                </c:ext>
              </c:extLst>
            </c:dLbl>
            <c:dLbl>
              <c:idx val="6"/>
              <c:delete val="1"/>
              <c:extLst>
                <c:ext xmlns:c15="http://schemas.microsoft.com/office/drawing/2012/chart" uri="{CE6537A1-D6FC-4f65-9D91-7224C49458BB}"/>
                <c:ext xmlns:c16="http://schemas.microsoft.com/office/drawing/2014/chart" uri="{C3380CC4-5D6E-409C-BE32-E72D297353CC}">
                  <c16:uniqueId val="{00000005-B3E6-4481-96B2-D9883278DE0F}"/>
                </c:ext>
              </c:extLst>
            </c:dLbl>
            <c:dLbl>
              <c:idx val="7"/>
              <c:delete val="1"/>
              <c:extLst>
                <c:ext xmlns:c15="http://schemas.microsoft.com/office/drawing/2012/chart" uri="{CE6537A1-D6FC-4f65-9D91-7224C49458BB}"/>
                <c:ext xmlns:c16="http://schemas.microsoft.com/office/drawing/2014/chart" uri="{C3380CC4-5D6E-409C-BE32-E72D297353CC}">
                  <c16:uniqueId val="{00000006-B3E6-4481-96B2-D9883278DE0F}"/>
                </c:ext>
              </c:extLst>
            </c:dLbl>
            <c:dLbl>
              <c:idx val="8"/>
              <c:delete val="1"/>
              <c:extLst>
                <c:ext xmlns:c15="http://schemas.microsoft.com/office/drawing/2012/chart" uri="{CE6537A1-D6FC-4f65-9D91-7224C49458BB}"/>
                <c:ext xmlns:c16="http://schemas.microsoft.com/office/drawing/2014/chart" uri="{C3380CC4-5D6E-409C-BE32-E72D297353CC}">
                  <c16:uniqueId val="{00000007-B3E6-4481-96B2-D9883278DE0F}"/>
                </c:ext>
              </c:extLst>
            </c:dLbl>
            <c:dLbl>
              <c:idx val="9"/>
              <c:delete val="1"/>
              <c:extLst>
                <c:ext xmlns:c15="http://schemas.microsoft.com/office/drawing/2012/chart" uri="{CE6537A1-D6FC-4f65-9D91-7224C49458BB}"/>
                <c:ext xmlns:c16="http://schemas.microsoft.com/office/drawing/2014/chart" uri="{C3380CC4-5D6E-409C-BE32-E72D297353CC}">
                  <c16:uniqueId val="{00000008-B3E6-4481-96B2-D9883278DE0F}"/>
                </c:ext>
              </c:extLst>
            </c:dLbl>
            <c:dLbl>
              <c:idx val="10"/>
              <c:delete val="1"/>
              <c:extLst>
                <c:ext xmlns:c15="http://schemas.microsoft.com/office/drawing/2012/chart" uri="{CE6537A1-D6FC-4f65-9D91-7224C49458BB}"/>
                <c:ext xmlns:c16="http://schemas.microsoft.com/office/drawing/2014/chart" uri="{C3380CC4-5D6E-409C-BE32-E72D297353CC}">
                  <c16:uniqueId val="{00000009-B3E6-4481-96B2-D9883278DE0F}"/>
                </c:ext>
              </c:extLst>
            </c:dLbl>
            <c:dLbl>
              <c:idx val="12"/>
              <c:delete val="1"/>
              <c:extLst>
                <c:ext xmlns:c15="http://schemas.microsoft.com/office/drawing/2012/chart" uri="{CE6537A1-D6FC-4f65-9D91-7224C49458BB}"/>
                <c:ext xmlns:c16="http://schemas.microsoft.com/office/drawing/2014/chart" uri="{C3380CC4-5D6E-409C-BE32-E72D297353CC}">
                  <c16:uniqueId val="{0000000A-B3E6-4481-96B2-D9883278DE0F}"/>
                </c:ext>
              </c:extLst>
            </c:dLbl>
            <c:dLbl>
              <c:idx val="13"/>
              <c:delete val="1"/>
              <c:extLst>
                <c:ext xmlns:c15="http://schemas.microsoft.com/office/drawing/2012/chart" uri="{CE6537A1-D6FC-4f65-9D91-7224C49458BB}"/>
                <c:ext xmlns:c16="http://schemas.microsoft.com/office/drawing/2014/chart" uri="{C3380CC4-5D6E-409C-BE32-E72D297353CC}">
                  <c16:uniqueId val="{0000000B-B3E6-4481-96B2-D9883278DE0F}"/>
                </c:ext>
              </c:extLst>
            </c:dLbl>
            <c:dLbl>
              <c:idx val="14"/>
              <c:delete val="1"/>
              <c:extLst>
                <c:ext xmlns:c15="http://schemas.microsoft.com/office/drawing/2012/chart" uri="{CE6537A1-D6FC-4f65-9D91-7224C49458BB}"/>
                <c:ext xmlns:c16="http://schemas.microsoft.com/office/drawing/2014/chart" uri="{C3380CC4-5D6E-409C-BE32-E72D297353CC}">
                  <c16:uniqueId val="{0000000C-B3E6-4481-96B2-D9883278DE0F}"/>
                </c:ext>
              </c:extLst>
            </c:dLbl>
            <c:dLbl>
              <c:idx val="15"/>
              <c:delete val="1"/>
              <c:extLst>
                <c:ext xmlns:c15="http://schemas.microsoft.com/office/drawing/2012/chart" uri="{CE6537A1-D6FC-4f65-9D91-7224C49458BB}"/>
                <c:ext xmlns:c16="http://schemas.microsoft.com/office/drawing/2014/chart" uri="{C3380CC4-5D6E-409C-BE32-E72D297353CC}">
                  <c16:uniqueId val="{0000000D-B3E6-4481-96B2-D9883278DE0F}"/>
                </c:ext>
              </c:extLst>
            </c:dLbl>
            <c:dLbl>
              <c:idx val="16"/>
              <c:delete val="1"/>
              <c:extLst>
                <c:ext xmlns:c15="http://schemas.microsoft.com/office/drawing/2012/chart" uri="{CE6537A1-D6FC-4f65-9D91-7224C49458BB}"/>
                <c:ext xmlns:c16="http://schemas.microsoft.com/office/drawing/2014/chart" uri="{C3380CC4-5D6E-409C-BE32-E72D297353CC}">
                  <c16:uniqueId val="{0000000E-B3E6-4481-96B2-D9883278DE0F}"/>
                </c:ext>
              </c:extLst>
            </c:dLbl>
            <c:dLbl>
              <c:idx val="17"/>
              <c:delete val="1"/>
              <c:extLst>
                <c:ext xmlns:c15="http://schemas.microsoft.com/office/drawing/2012/chart" uri="{CE6537A1-D6FC-4f65-9D91-7224C49458BB}"/>
                <c:ext xmlns:c16="http://schemas.microsoft.com/office/drawing/2014/chart" uri="{C3380CC4-5D6E-409C-BE32-E72D297353CC}">
                  <c16:uniqueId val="{0000000F-B3E6-4481-96B2-D9883278DE0F}"/>
                </c:ext>
              </c:extLst>
            </c:dLbl>
            <c:dLbl>
              <c:idx val="18"/>
              <c:delete val="1"/>
              <c:extLst>
                <c:ext xmlns:c15="http://schemas.microsoft.com/office/drawing/2012/chart" uri="{CE6537A1-D6FC-4f65-9D91-7224C49458BB}"/>
                <c:ext xmlns:c16="http://schemas.microsoft.com/office/drawing/2014/chart" uri="{C3380CC4-5D6E-409C-BE32-E72D297353CC}">
                  <c16:uniqueId val="{00000010-B3E6-4481-96B2-D9883278DE0F}"/>
                </c:ext>
              </c:extLst>
            </c:dLbl>
            <c:dLbl>
              <c:idx val="20"/>
              <c:delete val="1"/>
              <c:extLst>
                <c:ext xmlns:c15="http://schemas.microsoft.com/office/drawing/2012/chart" uri="{CE6537A1-D6FC-4f65-9D91-7224C49458BB}"/>
                <c:ext xmlns:c16="http://schemas.microsoft.com/office/drawing/2014/chart" uri="{C3380CC4-5D6E-409C-BE32-E72D297353CC}">
                  <c16:uniqueId val="{00000011-B3E6-4481-96B2-D9883278DE0F}"/>
                </c:ext>
              </c:extLst>
            </c:dLbl>
            <c:dLbl>
              <c:idx val="22"/>
              <c:delete val="1"/>
              <c:extLst>
                <c:ext xmlns:c15="http://schemas.microsoft.com/office/drawing/2012/chart" uri="{CE6537A1-D6FC-4f65-9D91-7224C49458BB}"/>
                <c:ext xmlns:c16="http://schemas.microsoft.com/office/drawing/2014/chart" uri="{C3380CC4-5D6E-409C-BE32-E72D297353CC}">
                  <c16:uniqueId val="{00000012-B3E6-4481-96B2-D9883278DE0F}"/>
                </c:ext>
              </c:extLst>
            </c:dLbl>
            <c:dLbl>
              <c:idx val="24"/>
              <c:delete val="1"/>
              <c:extLst>
                <c:ext xmlns:c15="http://schemas.microsoft.com/office/drawing/2012/chart" uri="{CE6537A1-D6FC-4f65-9D91-7224C49458BB}"/>
                <c:ext xmlns:c16="http://schemas.microsoft.com/office/drawing/2014/chart" uri="{C3380CC4-5D6E-409C-BE32-E72D297353CC}">
                  <c16:uniqueId val="{00000013-B3E6-4481-96B2-D9883278DE0F}"/>
                </c:ext>
              </c:extLst>
            </c:dLbl>
            <c:dLbl>
              <c:idx val="25"/>
              <c:delete val="1"/>
              <c:extLst>
                <c:ext xmlns:c15="http://schemas.microsoft.com/office/drawing/2012/chart" uri="{CE6537A1-D6FC-4f65-9D91-7224C49458BB}"/>
                <c:ext xmlns:c16="http://schemas.microsoft.com/office/drawing/2014/chart" uri="{C3380CC4-5D6E-409C-BE32-E72D297353CC}">
                  <c16:uniqueId val="{00000014-B3E6-4481-96B2-D9883278DE0F}"/>
                </c:ext>
              </c:extLst>
            </c:dLbl>
            <c:dLbl>
              <c:idx val="26"/>
              <c:delete val="1"/>
              <c:extLst>
                <c:ext xmlns:c15="http://schemas.microsoft.com/office/drawing/2012/chart" uri="{CE6537A1-D6FC-4f65-9D91-7224C49458BB}"/>
                <c:ext xmlns:c16="http://schemas.microsoft.com/office/drawing/2014/chart" uri="{C3380CC4-5D6E-409C-BE32-E72D297353CC}">
                  <c16:uniqueId val="{00000015-B3E6-4481-96B2-D9883278DE0F}"/>
                </c:ext>
              </c:extLst>
            </c:dLbl>
            <c:dLbl>
              <c:idx val="27"/>
              <c:delete val="1"/>
              <c:extLst>
                <c:ext xmlns:c15="http://schemas.microsoft.com/office/drawing/2012/chart" uri="{CE6537A1-D6FC-4f65-9D91-7224C49458BB}"/>
                <c:ext xmlns:c16="http://schemas.microsoft.com/office/drawing/2014/chart" uri="{C3380CC4-5D6E-409C-BE32-E72D297353CC}">
                  <c16:uniqueId val="{00000016-B3E6-4481-96B2-D9883278DE0F}"/>
                </c:ext>
              </c:extLst>
            </c:dLbl>
            <c:dLbl>
              <c:idx val="28"/>
              <c:delete val="1"/>
              <c:extLst>
                <c:ext xmlns:c15="http://schemas.microsoft.com/office/drawing/2012/chart" uri="{CE6537A1-D6FC-4f65-9D91-7224C49458BB}"/>
                <c:ext xmlns:c16="http://schemas.microsoft.com/office/drawing/2014/chart" uri="{C3380CC4-5D6E-409C-BE32-E72D297353CC}">
                  <c16:uniqueId val="{00000017-B3E6-4481-96B2-D9883278DE0F}"/>
                </c:ext>
              </c:extLst>
            </c:dLbl>
            <c:dLbl>
              <c:idx val="29"/>
              <c:delete val="1"/>
              <c:extLst>
                <c:ext xmlns:c15="http://schemas.microsoft.com/office/drawing/2012/chart" uri="{CE6537A1-D6FC-4f65-9D91-7224C49458BB}"/>
                <c:ext xmlns:c16="http://schemas.microsoft.com/office/drawing/2014/chart" uri="{C3380CC4-5D6E-409C-BE32-E72D297353CC}">
                  <c16:uniqueId val="{00000018-B3E6-4481-96B2-D9883278DE0F}"/>
                </c:ext>
              </c:extLst>
            </c:dLbl>
            <c:dLbl>
              <c:idx val="30"/>
              <c:delete val="1"/>
              <c:extLst>
                <c:ext xmlns:c15="http://schemas.microsoft.com/office/drawing/2012/chart" uri="{CE6537A1-D6FC-4f65-9D91-7224C49458BB}"/>
                <c:ext xmlns:c16="http://schemas.microsoft.com/office/drawing/2014/chart" uri="{C3380CC4-5D6E-409C-BE32-E72D297353CC}">
                  <c16:uniqueId val="{00000019-B3E6-4481-96B2-D9883278DE0F}"/>
                </c:ext>
              </c:extLst>
            </c:dLbl>
            <c:dLbl>
              <c:idx val="31"/>
              <c:delete val="1"/>
              <c:extLst>
                <c:ext xmlns:c15="http://schemas.microsoft.com/office/drawing/2012/chart" uri="{CE6537A1-D6FC-4f65-9D91-7224C49458BB}"/>
                <c:ext xmlns:c16="http://schemas.microsoft.com/office/drawing/2014/chart" uri="{C3380CC4-5D6E-409C-BE32-E72D297353CC}">
                  <c16:uniqueId val="{0000001A-B3E6-4481-96B2-D9883278DE0F}"/>
                </c:ext>
              </c:extLst>
            </c:dLbl>
            <c:dLbl>
              <c:idx val="32"/>
              <c:delete val="1"/>
              <c:extLst>
                <c:ext xmlns:c15="http://schemas.microsoft.com/office/drawing/2012/chart" uri="{CE6537A1-D6FC-4f65-9D91-7224C49458BB}"/>
                <c:ext xmlns:c16="http://schemas.microsoft.com/office/drawing/2014/chart" uri="{C3380CC4-5D6E-409C-BE32-E72D297353CC}">
                  <c16:uniqueId val="{0000001B-B3E6-4481-96B2-D9883278DE0F}"/>
                </c:ext>
              </c:extLst>
            </c:dLbl>
            <c:dLbl>
              <c:idx val="33"/>
              <c:delete val="1"/>
              <c:extLst>
                <c:ext xmlns:c15="http://schemas.microsoft.com/office/drawing/2012/chart" uri="{CE6537A1-D6FC-4f65-9D91-7224C49458BB}"/>
                <c:ext xmlns:c16="http://schemas.microsoft.com/office/drawing/2014/chart" uri="{C3380CC4-5D6E-409C-BE32-E72D297353CC}">
                  <c16:uniqueId val="{0000001C-B3E6-4481-96B2-D9883278DE0F}"/>
                </c:ext>
              </c:extLst>
            </c:dLbl>
            <c:dLbl>
              <c:idx val="34"/>
              <c:delete val="1"/>
              <c:extLst>
                <c:ext xmlns:c15="http://schemas.microsoft.com/office/drawing/2012/chart" uri="{CE6537A1-D6FC-4f65-9D91-7224C49458BB}"/>
                <c:ext xmlns:c16="http://schemas.microsoft.com/office/drawing/2014/chart" uri="{C3380CC4-5D6E-409C-BE32-E72D297353CC}">
                  <c16:uniqueId val="{0000001D-B3E6-4481-96B2-D9883278DE0F}"/>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7'!$A$1:$A$36</c:f>
              <c:strCache>
                <c:ptCount val="36"/>
                <c:pt idx="0">
                  <c:v>Τουρκία</c:v>
                </c:pt>
                <c:pt idx="1">
                  <c:v>Σερβία</c:v>
                </c:pt>
                <c:pt idx="2">
                  <c:v>Βόρεια Μακεδονία</c:v>
                </c:pt>
                <c:pt idx="3">
                  <c:v>Μάλτα</c:v>
                </c:pt>
                <c:pt idx="4">
                  <c:v>Ρουμανία</c:v>
                </c:pt>
                <c:pt idx="5">
                  <c:v>Βουλγαρία</c:v>
                </c:pt>
                <c:pt idx="6">
                  <c:v>Κύπρος</c:v>
                </c:pt>
                <c:pt idx="7">
                  <c:v>Ουγγαρία</c:v>
                </c:pt>
                <c:pt idx="8">
                  <c:v>Βοζνία-Εζεργοβίνη</c:v>
                </c:pt>
                <c:pt idx="9">
                  <c:v>Λετονία</c:v>
                </c:pt>
                <c:pt idx="10">
                  <c:v>Σλοβενία</c:v>
                </c:pt>
                <c:pt idx="11">
                  <c:v>Ελλάδα</c:v>
                </c:pt>
                <c:pt idx="12">
                  <c:v>Πολωνία</c:v>
                </c:pt>
                <c:pt idx="13">
                  <c:v>Τσεχία</c:v>
                </c:pt>
                <c:pt idx="14">
                  <c:v>Λιθουανία</c:v>
                </c:pt>
                <c:pt idx="15">
                  <c:v>Σλοβακία</c:v>
                </c:pt>
                <c:pt idx="16">
                  <c:v>Πορτογαλία</c:v>
                </c:pt>
                <c:pt idx="17">
                  <c:v>Ιρλανδία</c:v>
                </c:pt>
                <c:pt idx="18">
                  <c:v>Κροατία</c:v>
                </c:pt>
                <c:pt idx="19">
                  <c:v>Ισπανία</c:v>
                </c:pt>
                <c:pt idx="20">
                  <c:v>Εσθονία</c:v>
                </c:pt>
                <c:pt idx="21">
                  <c:v>Ιταλία</c:v>
                </c:pt>
                <c:pt idx="22">
                  <c:v>Αγγλία</c:v>
                </c:pt>
                <c:pt idx="23">
                  <c:v>Ε.Ε.-28</c:v>
                </c:pt>
                <c:pt idx="24">
                  <c:v>Γαλλία</c:v>
                </c:pt>
                <c:pt idx="25">
                  <c:v>Αυστρία</c:v>
                </c:pt>
                <c:pt idx="26">
                  <c:v>Βέλγιο </c:v>
                </c:pt>
                <c:pt idx="27">
                  <c:v>Ελβετία</c:v>
                </c:pt>
                <c:pt idx="28">
                  <c:v>Γερμανία</c:v>
                </c:pt>
                <c:pt idx="29">
                  <c:v>Ολλανδία</c:v>
                </c:pt>
                <c:pt idx="30">
                  <c:v>Φιλανδία</c:v>
                </c:pt>
                <c:pt idx="31">
                  <c:v>Σουηδία</c:v>
                </c:pt>
                <c:pt idx="32">
                  <c:v>Ισλανδία</c:v>
                </c:pt>
                <c:pt idx="33">
                  <c:v>Λουξεμβούργο</c:v>
                </c:pt>
                <c:pt idx="34">
                  <c:v>Δανία</c:v>
                </c:pt>
                <c:pt idx="35">
                  <c:v>Νορβηγία</c:v>
                </c:pt>
              </c:strCache>
            </c:strRef>
          </c:cat>
          <c:val>
            <c:numRef>
              <c:f>'ΓΡΑΦΗΜΑ 7'!$B$1:$B$36</c:f>
              <c:numCache>
                <c:formatCode>General</c:formatCode>
                <c:ptCount val="36"/>
                <c:pt idx="0">
                  <c:v>88.65</c:v>
                </c:pt>
                <c:pt idx="1">
                  <c:v>141.18</c:v>
                </c:pt>
                <c:pt idx="2">
                  <c:v>159.83000000000001</c:v>
                </c:pt>
                <c:pt idx="3">
                  <c:v>163.65</c:v>
                </c:pt>
                <c:pt idx="4">
                  <c:v>183.95</c:v>
                </c:pt>
                <c:pt idx="5">
                  <c:v>200.06</c:v>
                </c:pt>
                <c:pt idx="6">
                  <c:v>205.47</c:v>
                </c:pt>
                <c:pt idx="7">
                  <c:v>232.61</c:v>
                </c:pt>
                <c:pt idx="8">
                  <c:v>265.89999999999998</c:v>
                </c:pt>
                <c:pt idx="9">
                  <c:v>267.60000000000002</c:v>
                </c:pt>
                <c:pt idx="10">
                  <c:v>268.37</c:v>
                </c:pt>
                <c:pt idx="11">
                  <c:v>297.75</c:v>
                </c:pt>
                <c:pt idx="12">
                  <c:v>329.27</c:v>
                </c:pt>
                <c:pt idx="13">
                  <c:v>332.89</c:v>
                </c:pt>
                <c:pt idx="14">
                  <c:v>334.05</c:v>
                </c:pt>
                <c:pt idx="15">
                  <c:v>369.79</c:v>
                </c:pt>
                <c:pt idx="16">
                  <c:v>381.73</c:v>
                </c:pt>
                <c:pt idx="17">
                  <c:v>382.01</c:v>
                </c:pt>
                <c:pt idx="18">
                  <c:v>413.32</c:v>
                </c:pt>
                <c:pt idx="19">
                  <c:v>438.03</c:v>
                </c:pt>
                <c:pt idx="20">
                  <c:v>447.88</c:v>
                </c:pt>
                <c:pt idx="21">
                  <c:v>458.03</c:v>
                </c:pt>
                <c:pt idx="22">
                  <c:v>530.36</c:v>
                </c:pt>
                <c:pt idx="23">
                  <c:v>610.54</c:v>
                </c:pt>
                <c:pt idx="24">
                  <c:v>656.35</c:v>
                </c:pt>
                <c:pt idx="25">
                  <c:v>662.15</c:v>
                </c:pt>
                <c:pt idx="26">
                  <c:v>821.96</c:v>
                </c:pt>
                <c:pt idx="27">
                  <c:v>898</c:v>
                </c:pt>
                <c:pt idx="28">
                  <c:v>918.14</c:v>
                </c:pt>
                <c:pt idx="29">
                  <c:v>950.27</c:v>
                </c:pt>
                <c:pt idx="30">
                  <c:v>954.59</c:v>
                </c:pt>
                <c:pt idx="31">
                  <c:v>1090.19</c:v>
                </c:pt>
                <c:pt idx="32">
                  <c:v>1394.24</c:v>
                </c:pt>
                <c:pt idx="33">
                  <c:v>1575.68</c:v>
                </c:pt>
                <c:pt idx="34">
                  <c:v>1838.81</c:v>
                </c:pt>
                <c:pt idx="35">
                  <c:v>1931.63</c:v>
                </c:pt>
              </c:numCache>
            </c:numRef>
          </c:val>
          <c:extLst>
            <c:ext xmlns:c16="http://schemas.microsoft.com/office/drawing/2014/chart" uri="{C3380CC4-5D6E-409C-BE32-E72D297353CC}">
              <c16:uniqueId val="{0000001E-B3E6-4481-96B2-D9883278DE0F}"/>
            </c:ext>
          </c:extLst>
        </c:ser>
        <c:dLbls>
          <c:showLegendKey val="0"/>
          <c:showVal val="0"/>
          <c:showCatName val="0"/>
          <c:showSerName val="0"/>
          <c:showPercent val="0"/>
          <c:showBubbleSize val="0"/>
        </c:dLbls>
        <c:gapWidth val="182"/>
        <c:axId val="760862392"/>
        <c:axId val="760862720"/>
      </c:barChart>
      <c:catAx>
        <c:axId val="760862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760862720"/>
        <c:crosses val="autoZero"/>
        <c:auto val="1"/>
        <c:lblAlgn val="ctr"/>
        <c:lblOffset val="100"/>
        <c:noMultiLvlLbl val="0"/>
      </c:catAx>
      <c:valAx>
        <c:axId val="760862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760862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ΠΛΗΘΟΣ ΔΙΚΑΙΟΥΧΩΝ ΣΥΝΤΑΞΗΣ ΑΝΑΠΗΡΙΑΣ</a:t>
            </a:r>
          </a:p>
        </c:rich>
      </c:tx>
      <c:layout>
        <c:manualLayout>
          <c:xMode val="edge"/>
          <c:yMode val="edge"/>
          <c:x val="0.2171178915135608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8'!$B$6:$K$6</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'ΓΡΑΦΗΜΑ 8'!$B$7:$K$7</c:f>
              <c:numCache>
                <c:formatCode>#,##0</c:formatCode>
                <c:ptCount val="10"/>
                <c:pt idx="0">
                  <c:v>144985</c:v>
                </c:pt>
                <c:pt idx="1">
                  <c:v>147230</c:v>
                </c:pt>
                <c:pt idx="2">
                  <c:v>143920</c:v>
                </c:pt>
                <c:pt idx="3">
                  <c:v>138093</c:v>
                </c:pt>
                <c:pt idx="4">
                  <c:v>114633</c:v>
                </c:pt>
                <c:pt idx="5">
                  <c:v>114376</c:v>
                </c:pt>
                <c:pt idx="6">
                  <c:v>127279</c:v>
                </c:pt>
                <c:pt idx="7">
                  <c:v>132562</c:v>
                </c:pt>
                <c:pt idx="8">
                  <c:v>126797</c:v>
                </c:pt>
                <c:pt idx="9">
                  <c:v>122178</c:v>
                </c:pt>
              </c:numCache>
            </c:numRef>
          </c:val>
          <c:extLst>
            <c:ext xmlns:c16="http://schemas.microsoft.com/office/drawing/2014/chart" uri="{C3380CC4-5D6E-409C-BE32-E72D297353CC}">
              <c16:uniqueId val="{00000000-3AFD-4C18-8971-0589C5423930}"/>
            </c:ext>
          </c:extLst>
        </c:ser>
        <c:dLbls>
          <c:showLegendKey val="0"/>
          <c:showVal val="0"/>
          <c:showCatName val="0"/>
          <c:showSerName val="0"/>
          <c:showPercent val="0"/>
          <c:showBubbleSize val="0"/>
        </c:dLbls>
        <c:gapWidth val="219"/>
        <c:overlap val="-27"/>
        <c:axId val="760812208"/>
        <c:axId val="760816144"/>
      </c:barChart>
      <c:catAx>
        <c:axId val="76081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760816144"/>
        <c:crosses val="autoZero"/>
        <c:auto val="1"/>
        <c:lblAlgn val="ctr"/>
        <c:lblOffset val="100"/>
        <c:noMultiLvlLbl val="0"/>
      </c:catAx>
      <c:valAx>
        <c:axId val="7608161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760812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FE54-115C-4372-B62C-B27A9BA5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5279</Words>
  <Characters>28511</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5ο ΔΕΛΤΙΟ ΣΤΑΤΙΣΤΙΚΗΣ ΠΛΗΡΟΦΟΡΗΣΗΣ</vt:lpstr>
    </vt:vector>
  </TitlesOfParts>
  <Company>Εθνική Συνομοσπονδία Ατόμων με Αναπηρία (Ε.Σ.Α.μεΑ.)</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cp:keywords/>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tkatsani</cp:lastModifiedBy>
  <cp:revision>3</cp:revision>
  <cp:lastPrinted>2020-10-12T12:00:00Z</cp:lastPrinted>
  <dcterms:created xsi:type="dcterms:W3CDTF">2020-10-23T11:48:00Z</dcterms:created>
  <dcterms:modified xsi:type="dcterms:W3CDTF">2020-10-26T07:57:00Z</dcterms:modified>
  <cp:contentStatus/>
</cp:coreProperties>
</file>