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C28B" w14:textId="77777777" w:rsidR="00DE0303" w:rsidRDefault="00DE0303" w:rsidP="005C287C">
      <w:pPr>
        <w:spacing w:before="240"/>
        <w:ind w:left="426" w:right="-1"/>
        <w:jc w:val="right"/>
        <w:rPr>
          <w:b/>
          <w:lang w:val="el-GR"/>
        </w:rPr>
      </w:pPr>
    </w:p>
    <w:p w14:paraId="190B3BD2" w14:textId="72637AC1" w:rsidR="00B14FB2" w:rsidRPr="00D86375" w:rsidRDefault="00B14FB2" w:rsidP="005C287C">
      <w:pPr>
        <w:spacing w:before="240"/>
        <w:ind w:left="426" w:right="-1"/>
        <w:jc w:val="right"/>
        <w:rPr>
          <w:b/>
          <w:lang w:val="el-GR"/>
        </w:rPr>
      </w:pPr>
      <w:r w:rsidRPr="00CB77DA">
        <w:rPr>
          <w:b/>
          <w:lang w:val="el-GR"/>
        </w:rPr>
        <w:t xml:space="preserve">Αθήνα: </w:t>
      </w:r>
      <w:r w:rsidR="00D41FC7" w:rsidRPr="00D41FC7">
        <w:rPr>
          <w:b/>
          <w:lang w:val="el-GR"/>
        </w:rPr>
        <w:t>23</w:t>
      </w:r>
      <w:r w:rsidR="00D415F4">
        <w:rPr>
          <w:b/>
          <w:lang w:val="el-GR"/>
        </w:rPr>
        <w:t>/</w:t>
      </w:r>
      <w:r w:rsidR="0094782B">
        <w:rPr>
          <w:b/>
          <w:lang w:val="el-GR"/>
        </w:rPr>
        <w:t>12</w:t>
      </w:r>
      <w:r w:rsidRPr="006C7DBD">
        <w:rPr>
          <w:b/>
          <w:lang w:val="el-GR"/>
        </w:rPr>
        <w:t>/</w:t>
      </w:r>
      <w:r w:rsidR="00D415F4">
        <w:rPr>
          <w:b/>
          <w:lang w:val="el-GR"/>
        </w:rPr>
        <w:t>2020</w:t>
      </w:r>
    </w:p>
    <w:p w14:paraId="5F029B4A" w14:textId="77777777" w:rsidR="00481697" w:rsidRPr="00D05BA9" w:rsidRDefault="0094782B" w:rsidP="00C2665F">
      <w:pPr>
        <w:pStyle w:val="a5"/>
        <w:jc w:val="center"/>
        <w:rPr>
          <w:sz w:val="30"/>
          <w:szCs w:val="30"/>
          <w:lang w:val="el-GR"/>
        </w:rPr>
      </w:pPr>
      <w:r>
        <w:rPr>
          <w:b/>
          <w:bCs/>
          <w:sz w:val="30"/>
          <w:szCs w:val="30"/>
          <w:lang w:val="el-GR"/>
        </w:rPr>
        <w:t>8</w:t>
      </w:r>
      <w:r w:rsidR="00B14FB2" w:rsidRPr="00D05BA9">
        <w:rPr>
          <w:b/>
          <w:bCs/>
          <w:sz w:val="30"/>
          <w:szCs w:val="30"/>
          <w:vertAlign w:val="superscript"/>
          <w:lang w:val="el-GR"/>
        </w:rPr>
        <w:t>ο</w:t>
      </w:r>
      <w:r w:rsidR="00B14FB2" w:rsidRPr="00D05BA9">
        <w:rPr>
          <w:b/>
          <w:bCs/>
          <w:sz w:val="30"/>
          <w:szCs w:val="30"/>
          <w:lang w:val="el-GR"/>
        </w:rPr>
        <w:t xml:space="preserve"> ΔΕΛΤΙΟ ΣΤΑΤΙΣΤΙΚΗΣ ΠΛΗΡΟΦΟΡΗΣΗΣ: </w:t>
      </w:r>
      <w:r w:rsidR="00B14FB2" w:rsidRPr="00D05BA9">
        <w:rPr>
          <w:b/>
          <w:bCs/>
          <w:sz w:val="30"/>
          <w:szCs w:val="30"/>
          <w:lang w:val="el-GR"/>
        </w:rPr>
        <w:br/>
        <w:t>«</w:t>
      </w:r>
      <w:r>
        <w:rPr>
          <w:b/>
          <w:bCs/>
          <w:sz w:val="30"/>
          <w:szCs w:val="30"/>
          <w:lang w:val="el-GR"/>
        </w:rPr>
        <w:t>ΦΤΩΧΕΙΑ ΚΑΙ ΚΟΙΝΩΝΙΚΟΣ ΑΠΟΚΛΕΙΣΜΟΣ ΣΤΑ ΑΤΟΜΑ ΜΕ ΑΝΑΠΗΡΙΑ</w:t>
      </w:r>
      <w:r w:rsidR="00D415F4">
        <w:rPr>
          <w:b/>
          <w:bCs/>
          <w:sz w:val="30"/>
          <w:szCs w:val="30"/>
          <w:lang w:val="el-GR"/>
        </w:rPr>
        <w:t>»</w:t>
      </w:r>
    </w:p>
    <w:p w14:paraId="020C41F9"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lang w:val="el-GR"/>
        </w:rPr>
      </w:pPr>
      <w:r w:rsidRPr="00CB77DA">
        <w:rPr>
          <w:b/>
          <w:lang w:val="el-GR"/>
        </w:rPr>
        <w:t>ΠΑΡΑΤΗΡΗΤΗΡΙΟ ΘΕΜΑΤΩΝ ΑΝΑΠΗΡΙΑΣ</w:t>
      </w:r>
    </w:p>
    <w:p w14:paraId="2B4BAA00"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Το Παρατηρητήριο Θεμάτων Αναπηρίας της Εθνικής Συνομοσπονδίας Ατόμων με Αναπηρία (Ε.Σ.</w:t>
      </w:r>
      <w:r>
        <w:rPr>
          <w:lang w:val="el-GR"/>
        </w:rPr>
        <w:t>Α.μεΑ.), εφεξής «Παρατηρητήριο»</w:t>
      </w:r>
      <w:r w:rsidRPr="00CB77DA">
        <w:rPr>
          <w:lang w:val="el-GR"/>
        </w:rPr>
        <w:t xml:space="preserve">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w:t>
      </w:r>
      <w:r w:rsidR="00343769">
        <w:rPr>
          <w:lang w:val="el-GR"/>
        </w:rPr>
        <w:t>ιεθνείς πηγές, το Παρατηρητήριο</w:t>
      </w:r>
      <w:r w:rsidR="00343769" w:rsidRPr="00343769">
        <w:rPr>
          <w:lang w:val="el-GR"/>
        </w:rPr>
        <w:t xml:space="preserve"> </w:t>
      </w:r>
      <w:r w:rsidRPr="00CB77DA">
        <w:rPr>
          <w:lang w:val="el-GR"/>
        </w:rPr>
        <w:t xml:space="preserve">συμβάλλει </w:t>
      </w:r>
      <w:r w:rsidRPr="0059663C">
        <w:rPr>
          <w:lang w:val="el-GR"/>
        </w:rPr>
        <w:t>στη</w:t>
      </w:r>
      <w:r w:rsidR="00D66724" w:rsidRPr="0059663C">
        <w:rPr>
          <w:lang w:val="el-GR"/>
        </w:rPr>
        <w:t>ν</w:t>
      </w:r>
      <w:r w:rsidRPr="0059663C">
        <w:rPr>
          <w:lang w:val="el-GR"/>
        </w:rPr>
        <w:t xml:space="preserve"> παρακολούθηση, στη</w:t>
      </w:r>
      <w:r w:rsidR="00631302" w:rsidRPr="0059663C">
        <w:rPr>
          <w:lang w:val="el-GR"/>
        </w:rPr>
        <w:t>ν</w:t>
      </w:r>
      <w:r w:rsidRPr="0059663C">
        <w:rPr>
          <w:lang w:val="el-GR"/>
        </w:rPr>
        <w:t xml:space="preserve"> προστασία και στη</w:t>
      </w:r>
      <w:r w:rsidR="00631302" w:rsidRPr="0059663C">
        <w:rPr>
          <w:lang w:val="el-GR"/>
        </w:rPr>
        <w:t>ν</w:t>
      </w:r>
      <w:r w:rsidRPr="0059663C">
        <w:rPr>
          <w:lang w:val="el-GR"/>
        </w:rPr>
        <w:t xml:space="preserve"> προώθηση </w:t>
      </w:r>
      <w:r w:rsidRPr="00CB77DA">
        <w:rPr>
          <w:lang w:val="el-GR"/>
        </w:rPr>
        <w:t>των δικαιωμάτων των ατόμων με αναπηρία, χρόνιες παθήσεις και των οικογενειών τους.</w:t>
      </w:r>
    </w:p>
    <w:p w14:paraId="10C592DA" w14:textId="77777777" w:rsidR="00B14FB2" w:rsidRPr="00CB77DA" w:rsidRDefault="00F30C85"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Pr>
          <w:lang w:val="el-GR"/>
        </w:rPr>
        <w:t>Βασικός πυλώνας στη</w:t>
      </w:r>
      <w:r w:rsidR="00B14FB2" w:rsidRPr="00CB77DA">
        <w:rPr>
          <w:lang w:val="el-GR"/>
        </w:rPr>
        <w:t xml:space="preserve"> δραστηριότητα του Παρατηρητηρίου</w:t>
      </w:r>
      <w:r w:rsidR="00B14FB2" w:rsidRPr="00BC3FEE">
        <w:rPr>
          <w:lang w:val="el-GR"/>
        </w:rPr>
        <w:t xml:space="preserve">, </w:t>
      </w:r>
      <w:r w:rsidR="00B14FB2" w:rsidRPr="00CB77DA">
        <w:rPr>
          <w:lang w:val="el-GR"/>
        </w:rPr>
        <w:t>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069F7F4E"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Επιπρόσθετα, το «Παρατηρητήριο», καλείται να διαδραματίσει σημαντικό ρόλο στην ανάπτυξη των εθνικών στατιστικών γι</w:t>
      </w:r>
      <w:r w:rsidR="002A09DB">
        <w:rPr>
          <w:lang w:val="el-GR"/>
        </w:rPr>
        <w:t>α την αναπηρία. Με το</w:t>
      </w:r>
      <w:r w:rsidR="00C83319">
        <w:rPr>
          <w:lang w:val="el-GR"/>
        </w:rPr>
        <w:t>ν</w:t>
      </w:r>
      <w:r w:rsidR="002A09DB">
        <w:rPr>
          <w:lang w:val="el-GR"/>
        </w:rPr>
        <w:t xml:space="preserve"> </w:t>
      </w:r>
      <w:r w:rsidRPr="00CB77DA">
        <w:rPr>
          <w:lang w:val="el-GR"/>
        </w:rPr>
        <w:t>νόμο ν.4488/2017, το Παρατηρητήριο της Ε</w:t>
      </w:r>
      <w:r w:rsidRPr="004D54A3">
        <w:rPr>
          <w:lang w:val="el-GR"/>
        </w:rPr>
        <w:t>.</w:t>
      </w:r>
      <w:r w:rsidRPr="00CB77DA">
        <w:rPr>
          <w:lang w:val="el-GR"/>
        </w:rPr>
        <w:t>Σ</w:t>
      </w:r>
      <w:r w:rsidRPr="004D54A3">
        <w:rPr>
          <w:lang w:val="el-GR"/>
        </w:rPr>
        <w:t>.</w:t>
      </w:r>
      <w:r w:rsidRPr="00CB77DA">
        <w:rPr>
          <w:lang w:val="el-GR"/>
        </w:rPr>
        <w:t>Α</w:t>
      </w:r>
      <w:r w:rsidRPr="004D54A3">
        <w:rPr>
          <w:lang w:val="el-GR"/>
        </w:rPr>
        <w:t>.</w:t>
      </w:r>
      <w:r w:rsidRPr="00CB77DA">
        <w:rPr>
          <w:lang w:val="el-GR"/>
        </w:rPr>
        <w:t>μεΑ</w:t>
      </w:r>
      <w:r w:rsidRPr="004D54A3">
        <w:rPr>
          <w:lang w:val="el-GR"/>
        </w:rPr>
        <w:t>.</w:t>
      </w:r>
      <w:r w:rsidRPr="00CB77DA">
        <w:rPr>
          <w:lang w:val="el-GR"/>
        </w:rPr>
        <w:t xml:space="preserve">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w:t>
      </w:r>
      <w:r w:rsidR="004118D1">
        <w:rPr>
          <w:lang w:val="el-GR"/>
        </w:rPr>
        <w:t xml:space="preserve"> </w:t>
      </w:r>
      <w:r w:rsidRPr="00CB77DA">
        <w:rPr>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Pr>
          <w:lang w:val="el-GR"/>
        </w:rPr>
        <w:t xml:space="preserve">διαβούλευση με το Παρατηρητήριο Θεμάτων Αναπηρίας </w:t>
      </w:r>
      <w:r w:rsidRPr="00CB77DA">
        <w:rPr>
          <w:lang w:val="el-GR"/>
        </w:rPr>
        <w:t>της Εθνικής Συνομοσπονδίας Ατόμων με Αναπηρία (Ε.Σ.Α.μεΑ.).</w:t>
      </w:r>
    </w:p>
    <w:p w14:paraId="2FE3791A" w14:textId="77777777"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Στο πλαίσιο υλοποίησης της Δράσης 1.2</w:t>
      </w:r>
      <w:r w:rsidRPr="002B5DC1">
        <w:rPr>
          <w:lang w:val="el-GR"/>
        </w:rPr>
        <w:t xml:space="preserve"> (</w:t>
      </w:r>
      <w:r>
        <w:rPr>
          <w:lang w:val="el-GR"/>
        </w:rPr>
        <w:t>Π.Ε.2)</w:t>
      </w:r>
      <w:r w:rsidRPr="00CB77DA">
        <w:rPr>
          <w:lang w:val="el-GR"/>
        </w:rPr>
        <w:t xml:space="preserve"> του Υποέργου 1 της Πράξης «Παρατηρητήριο Θεμάτων Αναπηρίας» που υλοποιεί η Ε</w:t>
      </w:r>
      <w:r w:rsidRPr="000720E7">
        <w:rPr>
          <w:lang w:val="el-GR"/>
        </w:rPr>
        <w:t>.</w:t>
      </w:r>
      <w:r w:rsidRPr="00CB77DA">
        <w:rPr>
          <w:lang w:val="el-GR"/>
        </w:rPr>
        <w:t>Σ</w:t>
      </w:r>
      <w:r w:rsidRPr="000720E7">
        <w:rPr>
          <w:lang w:val="el-GR"/>
        </w:rPr>
        <w:t>.</w:t>
      </w:r>
      <w:r w:rsidRPr="00CB77DA">
        <w:rPr>
          <w:lang w:val="el-GR"/>
        </w:rPr>
        <w:t>Α</w:t>
      </w:r>
      <w:r w:rsidRPr="000720E7">
        <w:rPr>
          <w:lang w:val="el-GR"/>
        </w:rPr>
        <w:t>.</w:t>
      </w:r>
      <w:r w:rsidRPr="00CB77DA">
        <w:rPr>
          <w:lang w:val="el-GR"/>
        </w:rPr>
        <w:t>μεΑ</w:t>
      </w:r>
      <w:r w:rsidRPr="000720E7">
        <w:rPr>
          <w:lang w:val="el-GR"/>
        </w:rPr>
        <w:t>.</w:t>
      </w:r>
      <w:r w:rsidRPr="00CB77DA">
        <w:rPr>
          <w:lang w:val="el-GR"/>
        </w:rPr>
        <w:t xml:space="preserve">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w:t>
      </w:r>
      <w:r w:rsidRPr="00A56862">
        <w:rPr>
          <w:lang w:val="el-GR"/>
        </w:rPr>
        <w:t>μέσω της επεξεργασίας</w:t>
      </w:r>
      <w:r w:rsidRPr="00E94AF4">
        <w:rPr>
          <w:color w:val="FF0000"/>
          <w:lang w:val="el-GR"/>
        </w:rPr>
        <w:t xml:space="preserve"> </w:t>
      </w:r>
      <w:r w:rsidRPr="00CB77DA">
        <w:rPr>
          <w:lang w:val="el-GR"/>
        </w:rPr>
        <w:t xml:space="preserve">των διαθέσιμων </w:t>
      </w:r>
      <w:r w:rsidR="00A56862">
        <w:rPr>
          <w:lang w:val="el-GR"/>
        </w:rPr>
        <w:t xml:space="preserve">στατιστικών </w:t>
      </w:r>
      <w:r w:rsidRPr="00CB77DA">
        <w:rPr>
          <w:lang w:val="el-GR"/>
        </w:rPr>
        <w:t xml:space="preserve">στοιχείων. </w:t>
      </w:r>
    </w:p>
    <w:p w14:paraId="44A9A2E7" w14:textId="77777777" w:rsidR="00B14FB2"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CB77DA">
          <w:rPr>
            <w:rStyle w:val="-"/>
            <w:lang w:val="el-GR"/>
          </w:rPr>
          <w:t>www.paratiritirioanapirias.gr</w:t>
        </w:r>
      </w:hyperlink>
      <w:r w:rsidRPr="00CB77DA">
        <w:rPr>
          <w:lang w:val="el-GR"/>
        </w:rPr>
        <w:t>.</w:t>
      </w:r>
    </w:p>
    <w:p w14:paraId="3ADB4432" w14:textId="77777777" w:rsidR="00544395" w:rsidRDefault="00544395" w:rsidP="00B14FB2">
      <w:pPr>
        <w:ind w:right="-1"/>
        <w:rPr>
          <w:lang w:val="el-GR"/>
        </w:rPr>
      </w:pPr>
    </w:p>
    <w:p w14:paraId="7A46AFAF" w14:textId="799C3EC4" w:rsidR="00F4074C" w:rsidRDefault="00F4074C">
      <w:pPr>
        <w:rPr>
          <w:lang w:val="el-GR"/>
        </w:rPr>
      </w:pPr>
      <w:r>
        <w:rPr>
          <w:lang w:val="el-GR"/>
        </w:rPr>
        <w:br w:type="page"/>
      </w:r>
    </w:p>
    <w:p w14:paraId="7A20CC73" w14:textId="77777777" w:rsidR="00544395" w:rsidRPr="00750883" w:rsidRDefault="00544395" w:rsidP="00B14FB2">
      <w:pPr>
        <w:ind w:right="-1"/>
        <w:rPr>
          <w:lang w:val="el-GR"/>
        </w:rPr>
      </w:pP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14:paraId="04CED64C" w14:textId="77777777" w:rsidR="005C287C" w:rsidRPr="0068245B" w:rsidRDefault="005C287C" w:rsidP="005C287C">
          <w:pPr>
            <w:pStyle w:val="ac"/>
            <w:rPr>
              <w:rFonts w:asciiTheme="minorHAnsi" w:hAnsiTheme="minorHAnsi" w:cstheme="minorHAnsi"/>
              <w:color w:val="auto"/>
              <w:sz w:val="24"/>
              <w:szCs w:val="24"/>
              <w:lang w:val="el-GR"/>
            </w:rPr>
          </w:pPr>
          <w:r w:rsidRPr="0068245B">
            <w:rPr>
              <w:rFonts w:asciiTheme="minorHAnsi" w:hAnsiTheme="minorHAnsi" w:cstheme="minorHAnsi"/>
              <w:color w:val="auto"/>
              <w:sz w:val="24"/>
              <w:szCs w:val="24"/>
              <w:lang w:val="el-GR"/>
            </w:rPr>
            <w:t>Περιεχόμενα</w:t>
          </w:r>
        </w:p>
        <w:p w14:paraId="0DFFCFB2" w14:textId="10F0E185" w:rsidR="00D15EFF" w:rsidRDefault="0084626E">
          <w:pPr>
            <w:pStyle w:val="12"/>
            <w:tabs>
              <w:tab w:val="right" w:leader="dot" w:pos="9203"/>
            </w:tabs>
            <w:rPr>
              <w:rFonts w:eastAsiaTheme="minorEastAsia"/>
              <w:noProof/>
              <w:lang w:val="el-GR" w:eastAsia="el-GR"/>
            </w:rPr>
          </w:pPr>
          <w:r w:rsidRPr="0068245B">
            <w:rPr>
              <w:sz w:val="24"/>
              <w:szCs w:val="24"/>
            </w:rPr>
            <w:fldChar w:fldCharType="begin"/>
          </w:r>
          <w:r w:rsidR="005C287C" w:rsidRPr="0068245B">
            <w:rPr>
              <w:sz w:val="24"/>
              <w:szCs w:val="24"/>
            </w:rPr>
            <w:instrText xml:space="preserve"> TOC \o "1-3" \h \z \u </w:instrText>
          </w:r>
          <w:r w:rsidRPr="0068245B">
            <w:rPr>
              <w:sz w:val="24"/>
              <w:szCs w:val="24"/>
            </w:rPr>
            <w:fldChar w:fldCharType="separate"/>
          </w:r>
          <w:hyperlink w:anchor="_Toc59179436" w:history="1">
            <w:r w:rsidR="00D15EFF" w:rsidRPr="00766236">
              <w:rPr>
                <w:rStyle w:val="-"/>
                <w:rFonts w:cstheme="minorHAnsi"/>
                <w:b/>
                <w:noProof/>
                <w:lang w:val="el-GR"/>
              </w:rPr>
              <w:t>ΑΝΑΛΥΣΗ ΕΥΡΥΜΑΤΩΝ</w:t>
            </w:r>
            <w:r w:rsidR="00D15EFF">
              <w:rPr>
                <w:noProof/>
                <w:webHidden/>
              </w:rPr>
              <w:tab/>
            </w:r>
            <w:r>
              <w:rPr>
                <w:noProof/>
                <w:webHidden/>
              </w:rPr>
              <w:fldChar w:fldCharType="begin"/>
            </w:r>
            <w:r w:rsidR="00D15EFF">
              <w:rPr>
                <w:noProof/>
                <w:webHidden/>
              </w:rPr>
              <w:instrText xml:space="preserve"> PAGEREF _Toc59179436 \h </w:instrText>
            </w:r>
            <w:r>
              <w:rPr>
                <w:noProof/>
                <w:webHidden/>
              </w:rPr>
            </w:r>
            <w:r>
              <w:rPr>
                <w:noProof/>
                <w:webHidden/>
              </w:rPr>
              <w:fldChar w:fldCharType="separate"/>
            </w:r>
            <w:r w:rsidR="00DA4DF6">
              <w:rPr>
                <w:noProof/>
                <w:webHidden/>
              </w:rPr>
              <w:t>8</w:t>
            </w:r>
            <w:r>
              <w:rPr>
                <w:noProof/>
                <w:webHidden/>
              </w:rPr>
              <w:fldChar w:fldCharType="end"/>
            </w:r>
          </w:hyperlink>
        </w:p>
        <w:p w14:paraId="29CF87FA" w14:textId="4CF799D2" w:rsidR="00D15EFF" w:rsidRDefault="000326C8">
          <w:pPr>
            <w:pStyle w:val="12"/>
            <w:tabs>
              <w:tab w:val="left" w:pos="440"/>
              <w:tab w:val="right" w:leader="dot" w:pos="9203"/>
            </w:tabs>
            <w:rPr>
              <w:rFonts w:eastAsiaTheme="minorEastAsia"/>
              <w:noProof/>
              <w:lang w:val="el-GR" w:eastAsia="el-GR"/>
            </w:rPr>
          </w:pPr>
          <w:hyperlink w:anchor="_Toc59179437" w:history="1">
            <w:r w:rsidR="00D15EFF" w:rsidRPr="00766236">
              <w:rPr>
                <w:rStyle w:val="-"/>
                <w:b/>
                <w:noProof/>
                <w:lang w:val="el-GR"/>
              </w:rPr>
              <w:t>1.</w:t>
            </w:r>
            <w:r w:rsidR="00D15EFF">
              <w:rPr>
                <w:rFonts w:eastAsiaTheme="minorEastAsia"/>
                <w:noProof/>
                <w:lang w:val="el-GR" w:eastAsia="el-GR"/>
              </w:rPr>
              <w:tab/>
            </w:r>
            <w:r w:rsidR="00D15EFF" w:rsidRPr="00766236">
              <w:rPr>
                <w:rStyle w:val="-"/>
                <w:b/>
                <w:noProof/>
                <w:lang w:val="el-GR"/>
              </w:rPr>
              <w:t>Ο Σύνθετος Δείκτης: «Ποσοστό πληθυσμού σε κίνδυνο φτώχειας ή σε κοινωνικό αποκλεισμό»</w:t>
            </w:r>
            <w:r w:rsidR="00D15EFF">
              <w:rPr>
                <w:noProof/>
                <w:webHidden/>
              </w:rPr>
              <w:tab/>
            </w:r>
            <w:r w:rsidR="0084626E">
              <w:rPr>
                <w:noProof/>
                <w:webHidden/>
              </w:rPr>
              <w:fldChar w:fldCharType="begin"/>
            </w:r>
            <w:r w:rsidR="00D15EFF">
              <w:rPr>
                <w:noProof/>
                <w:webHidden/>
              </w:rPr>
              <w:instrText xml:space="preserve"> PAGEREF _Toc59179437 \h </w:instrText>
            </w:r>
            <w:r w:rsidR="0084626E">
              <w:rPr>
                <w:noProof/>
                <w:webHidden/>
              </w:rPr>
            </w:r>
            <w:r w:rsidR="0084626E">
              <w:rPr>
                <w:noProof/>
                <w:webHidden/>
              </w:rPr>
              <w:fldChar w:fldCharType="separate"/>
            </w:r>
            <w:r w:rsidR="00DA4DF6">
              <w:rPr>
                <w:noProof/>
                <w:webHidden/>
              </w:rPr>
              <w:t>8</w:t>
            </w:r>
            <w:r w:rsidR="0084626E">
              <w:rPr>
                <w:noProof/>
                <w:webHidden/>
              </w:rPr>
              <w:fldChar w:fldCharType="end"/>
            </w:r>
          </w:hyperlink>
        </w:p>
        <w:p w14:paraId="19A05106" w14:textId="6F99CFD2" w:rsidR="00D15EFF" w:rsidRPr="00F4074C" w:rsidRDefault="000326C8">
          <w:pPr>
            <w:pStyle w:val="12"/>
            <w:tabs>
              <w:tab w:val="right" w:leader="dot" w:pos="9203"/>
            </w:tabs>
            <w:rPr>
              <w:rFonts w:eastAsiaTheme="minorEastAsia"/>
              <w:noProof/>
              <w:lang w:val="el-GR" w:eastAsia="el-GR"/>
            </w:rPr>
          </w:pPr>
          <w:hyperlink w:anchor="_Toc59179438" w:history="1">
            <w:r w:rsidR="00D15EFF" w:rsidRPr="00F4074C">
              <w:rPr>
                <w:rStyle w:val="-"/>
                <w:noProof/>
                <w:lang w:val="el-GR"/>
              </w:rPr>
              <w:t>Γράφημα 1: Ποσοστό πληθυσμού (16+ ετών) σε κίνδυνο φτώχειας ή σε κοινωνικό αποκλεισμό και κατάσταση αναπηρίας το 2019</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_Toc59179438 \h </w:instrText>
            </w:r>
            <w:r w:rsidR="0084626E" w:rsidRPr="00F4074C">
              <w:rPr>
                <w:noProof/>
                <w:webHidden/>
              </w:rPr>
            </w:r>
            <w:r w:rsidR="0084626E" w:rsidRPr="00F4074C">
              <w:rPr>
                <w:noProof/>
                <w:webHidden/>
              </w:rPr>
              <w:fldChar w:fldCharType="separate"/>
            </w:r>
            <w:r w:rsidR="00DA4DF6">
              <w:rPr>
                <w:noProof/>
                <w:webHidden/>
              </w:rPr>
              <w:t>9</w:t>
            </w:r>
            <w:r w:rsidR="0084626E" w:rsidRPr="00F4074C">
              <w:rPr>
                <w:noProof/>
                <w:webHidden/>
              </w:rPr>
              <w:fldChar w:fldCharType="end"/>
            </w:r>
          </w:hyperlink>
        </w:p>
        <w:p w14:paraId="3651066E" w14:textId="326BB56C" w:rsidR="00D15EFF" w:rsidRPr="00F4074C" w:rsidRDefault="000326C8">
          <w:pPr>
            <w:pStyle w:val="12"/>
            <w:tabs>
              <w:tab w:val="right" w:leader="dot" w:pos="9203"/>
            </w:tabs>
            <w:rPr>
              <w:rFonts w:eastAsiaTheme="minorEastAsia"/>
              <w:noProof/>
              <w:lang w:val="el-GR" w:eastAsia="el-GR"/>
            </w:rPr>
          </w:pPr>
          <w:hyperlink w:anchor="_Toc59179439" w:history="1">
            <w:r w:rsidR="00D15EFF" w:rsidRPr="00F4074C">
              <w:rPr>
                <w:rStyle w:val="-"/>
                <w:noProof/>
                <w:lang w:val="el-GR"/>
              </w:rPr>
              <w:t>Γράφημα 2: Πληθυσμός σε κίνδυνο φτώχειας ή σε κοινωνικό αποκλεισμό ανά ομάδες ηλικιών και κατάσταση αναπηρίας (Σοβαρή αναπηρία/Χωρίς αναπηρία) το 2019</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_Toc59179439 \h </w:instrText>
            </w:r>
            <w:r w:rsidR="0084626E" w:rsidRPr="00F4074C">
              <w:rPr>
                <w:noProof/>
                <w:webHidden/>
              </w:rPr>
            </w:r>
            <w:r w:rsidR="0084626E" w:rsidRPr="00F4074C">
              <w:rPr>
                <w:noProof/>
                <w:webHidden/>
              </w:rPr>
              <w:fldChar w:fldCharType="separate"/>
            </w:r>
            <w:r w:rsidR="00DA4DF6">
              <w:rPr>
                <w:noProof/>
                <w:webHidden/>
              </w:rPr>
              <w:t>10</w:t>
            </w:r>
            <w:r w:rsidR="0084626E" w:rsidRPr="00F4074C">
              <w:rPr>
                <w:noProof/>
                <w:webHidden/>
              </w:rPr>
              <w:fldChar w:fldCharType="end"/>
            </w:r>
          </w:hyperlink>
        </w:p>
        <w:p w14:paraId="5D708D17" w14:textId="670AB044" w:rsidR="00D15EFF" w:rsidRPr="00F4074C" w:rsidRDefault="000326C8">
          <w:pPr>
            <w:pStyle w:val="12"/>
            <w:tabs>
              <w:tab w:val="right" w:leader="dot" w:pos="9203"/>
            </w:tabs>
            <w:rPr>
              <w:rFonts w:eastAsiaTheme="minorEastAsia"/>
              <w:noProof/>
              <w:lang w:val="el-GR" w:eastAsia="el-GR"/>
            </w:rPr>
          </w:pPr>
          <w:hyperlink w:anchor="_Toc59179440" w:history="1">
            <w:r w:rsidR="00D15EFF" w:rsidRPr="00F4074C">
              <w:rPr>
                <w:rStyle w:val="-"/>
                <w:noProof/>
                <w:lang w:val="el-GR"/>
              </w:rPr>
              <w:t>Γράφημα 3: Πληθυσμός (16-64 ετών) σε κίνδυνο φτώχειας ή σε κοινωνικό αποκλεισμό (Σοβαρή αναπηρία/χωρίς αναπηρία)</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_Toc59179440 \h </w:instrText>
            </w:r>
            <w:r w:rsidR="0084626E" w:rsidRPr="00F4074C">
              <w:rPr>
                <w:noProof/>
                <w:webHidden/>
              </w:rPr>
            </w:r>
            <w:r w:rsidR="0084626E" w:rsidRPr="00F4074C">
              <w:rPr>
                <w:noProof/>
                <w:webHidden/>
              </w:rPr>
              <w:fldChar w:fldCharType="separate"/>
            </w:r>
            <w:r w:rsidR="00DA4DF6">
              <w:rPr>
                <w:noProof/>
                <w:webHidden/>
              </w:rPr>
              <w:t>11</w:t>
            </w:r>
            <w:r w:rsidR="0084626E" w:rsidRPr="00F4074C">
              <w:rPr>
                <w:noProof/>
                <w:webHidden/>
              </w:rPr>
              <w:fldChar w:fldCharType="end"/>
            </w:r>
          </w:hyperlink>
        </w:p>
        <w:p w14:paraId="41E1911C" w14:textId="7CF98E01" w:rsidR="00D15EFF" w:rsidRPr="00F4074C" w:rsidRDefault="000326C8">
          <w:pPr>
            <w:pStyle w:val="12"/>
            <w:tabs>
              <w:tab w:val="right" w:leader="dot" w:pos="9203"/>
            </w:tabs>
            <w:rPr>
              <w:rFonts w:eastAsiaTheme="minorEastAsia"/>
              <w:noProof/>
              <w:lang w:val="el-GR" w:eastAsia="el-GR"/>
            </w:rPr>
          </w:pPr>
          <w:hyperlink w:anchor="_Toc59179441" w:history="1">
            <w:r w:rsidR="00D15EFF" w:rsidRPr="00F4074C">
              <w:rPr>
                <w:rStyle w:val="-"/>
                <w:noProof/>
                <w:lang w:val="el-GR"/>
              </w:rPr>
              <w:t>Γράφημα 4: Χάσμα (</w:t>
            </w:r>
            <w:r w:rsidR="00D15EFF" w:rsidRPr="00F4074C">
              <w:rPr>
                <w:rStyle w:val="-"/>
                <w:noProof/>
              </w:rPr>
              <w:t>gap</w:t>
            </w:r>
            <w:r w:rsidR="00D15EFF" w:rsidRPr="00F4074C">
              <w:rPr>
                <w:rStyle w:val="-"/>
                <w:noProof/>
                <w:lang w:val="el-GR"/>
              </w:rPr>
              <w:t>) κινδύνου Φτώχειας ή αποκλεισμού μεταξύ από με σοβαρή αναπηρία και χωρίς αναπηρία (%πληθυσμού με σοβαρή αναπηρία-%πληθυσμού χωρίς αναπηρία)</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_Toc59179441 \h </w:instrText>
            </w:r>
            <w:r w:rsidR="0084626E" w:rsidRPr="00F4074C">
              <w:rPr>
                <w:noProof/>
                <w:webHidden/>
              </w:rPr>
            </w:r>
            <w:r w:rsidR="0084626E" w:rsidRPr="00F4074C">
              <w:rPr>
                <w:noProof/>
                <w:webHidden/>
              </w:rPr>
              <w:fldChar w:fldCharType="separate"/>
            </w:r>
            <w:r w:rsidR="00DA4DF6">
              <w:rPr>
                <w:noProof/>
                <w:webHidden/>
              </w:rPr>
              <w:t>12</w:t>
            </w:r>
            <w:r w:rsidR="0084626E" w:rsidRPr="00F4074C">
              <w:rPr>
                <w:noProof/>
                <w:webHidden/>
              </w:rPr>
              <w:fldChar w:fldCharType="end"/>
            </w:r>
          </w:hyperlink>
        </w:p>
        <w:p w14:paraId="0588AC47" w14:textId="3225DA7E" w:rsidR="00D15EFF" w:rsidRDefault="000326C8">
          <w:pPr>
            <w:pStyle w:val="12"/>
            <w:tabs>
              <w:tab w:val="left" w:pos="440"/>
              <w:tab w:val="right" w:leader="dot" w:pos="9203"/>
            </w:tabs>
            <w:rPr>
              <w:rFonts w:eastAsiaTheme="minorEastAsia"/>
              <w:noProof/>
              <w:lang w:val="el-GR" w:eastAsia="el-GR"/>
            </w:rPr>
          </w:pPr>
          <w:hyperlink w:anchor="_Toc59179442" w:history="1">
            <w:r w:rsidR="00D15EFF" w:rsidRPr="00766236">
              <w:rPr>
                <w:rStyle w:val="-"/>
                <w:b/>
                <w:noProof/>
                <w:lang w:val="el-GR"/>
              </w:rPr>
              <w:t>2.</w:t>
            </w:r>
            <w:r w:rsidR="00D15EFF">
              <w:rPr>
                <w:rFonts w:eastAsiaTheme="minorEastAsia"/>
                <w:noProof/>
                <w:lang w:val="el-GR" w:eastAsia="el-GR"/>
              </w:rPr>
              <w:tab/>
            </w:r>
            <w:r w:rsidR="00D15EFF" w:rsidRPr="00766236">
              <w:rPr>
                <w:rStyle w:val="-"/>
                <w:b/>
                <w:noProof/>
                <w:lang w:val="el-GR"/>
              </w:rPr>
              <w:t>Πληθυσμός σε κίνδυνο φτώχειας</w:t>
            </w:r>
            <w:r w:rsidR="00D15EFF">
              <w:rPr>
                <w:noProof/>
                <w:webHidden/>
              </w:rPr>
              <w:tab/>
            </w:r>
            <w:r w:rsidR="0084626E">
              <w:rPr>
                <w:noProof/>
                <w:webHidden/>
              </w:rPr>
              <w:fldChar w:fldCharType="begin"/>
            </w:r>
            <w:r w:rsidR="00D15EFF">
              <w:rPr>
                <w:noProof/>
                <w:webHidden/>
              </w:rPr>
              <w:instrText xml:space="preserve"> PAGEREF _Toc59179442 \h </w:instrText>
            </w:r>
            <w:r w:rsidR="0084626E">
              <w:rPr>
                <w:noProof/>
                <w:webHidden/>
              </w:rPr>
            </w:r>
            <w:r w:rsidR="0084626E">
              <w:rPr>
                <w:noProof/>
                <w:webHidden/>
              </w:rPr>
              <w:fldChar w:fldCharType="separate"/>
            </w:r>
            <w:r w:rsidR="00DA4DF6">
              <w:rPr>
                <w:noProof/>
                <w:webHidden/>
              </w:rPr>
              <w:t>12</w:t>
            </w:r>
            <w:r w:rsidR="0084626E">
              <w:rPr>
                <w:noProof/>
                <w:webHidden/>
              </w:rPr>
              <w:fldChar w:fldCharType="end"/>
            </w:r>
          </w:hyperlink>
        </w:p>
        <w:p w14:paraId="6745CFBF" w14:textId="22739915" w:rsidR="00D15EFF" w:rsidRPr="00F4074C" w:rsidRDefault="000326C8">
          <w:pPr>
            <w:pStyle w:val="12"/>
            <w:tabs>
              <w:tab w:val="right" w:leader="dot" w:pos="9203"/>
            </w:tabs>
            <w:rPr>
              <w:rFonts w:eastAsiaTheme="minorEastAsia"/>
              <w:noProof/>
              <w:lang w:val="el-GR" w:eastAsia="el-GR"/>
            </w:rPr>
          </w:pPr>
          <w:hyperlink w:anchor="_Toc59179443" w:history="1">
            <w:r w:rsidR="00D15EFF" w:rsidRPr="00F4074C">
              <w:rPr>
                <w:rStyle w:val="-"/>
                <w:noProof/>
                <w:lang w:val="el-GR"/>
              </w:rPr>
              <w:t>Γράφημα 5: Κίνδυνος φτώχειας μετά τις κοινωνικές μεταβιβάσεις κατά ηλικιακή ομάδα και κατάσταση αναπηρίας (Σοβαρή &amp; μέτρια αναπηρία/χωρίς αναπηρία) το 2019</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_Toc59179443 \h </w:instrText>
            </w:r>
            <w:r w:rsidR="0084626E" w:rsidRPr="00F4074C">
              <w:rPr>
                <w:noProof/>
                <w:webHidden/>
              </w:rPr>
            </w:r>
            <w:r w:rsidR="0084626E" w:rsidRPr="00F4074C">
              <w:rPr>
                <w:noProof/>
                <w:webHidden/>
              </w:rPr>
              <w:fldChar w:fldCharType="separate"/>
            </w:r>
            <w:r w:rsidR="00DA4DF6">
              <w:rPr>
                <w:noProof/>
                <w:webHidden/>
              </w:rPr>
              <w:t>15</w:t>
            </w:r>
            <w:r w:rsidR="0084626E" w:rsidRPr="00F4074C">
              <w:rPr>
                <w:noProof/>
                <w:webHidden/>
              </w:rPr>
              <w:fldChar w:fldCharType="end"/>
            </w:r>
          </w:hyperlink>
        </w:p>
        <w:p w14:paraId="7C3FB5D0" w14:textId="56678BFA" w:rsidR="00D15EFF" w:rsidRPr="00F4074C" w:rsidRDefault="000326C8">
          <w:pPr>
            <w:pStyle w:val="12"/>
            <w:tabs>
              <w:tab w:val="right" w:leader="dot" w:pos="9203"/>
            </w:tabs>
            <w:rPr>
              <w:rFonts w:eastAsiaTheme="minorEastAsia"/>
              <w:noProof/>
              <w:lang w:val="el-GR" w:eastAsia="el-GR"/>
            </w:rPr>
          </w:pPr>
          <w:hyperlink w:anchor="_Toc59179444" w:history="1">
            <w:r w:rsidR="00D15EFF" w:rsidRPr="00F4074C">
              <w:rPr>
                <w:rStyle w:val="-"/>
                <w:noProof/>
                <w:lang w:val="el-GR"/>
              </w:rPr>
              <w:t>Γράφημα 6: Διαχρονική εξέλιξη του ποσοστού πληθυσμού (16-64 ετών) σε κίνδυνο φτώχειας και κατάσταση αναπηρίας (Σοβαρή αναπηρία/χωρίς αναπηρία)</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_Toc59179444 \h </w:instrText>
            </w:r>
            <w:r w:rsidR="0084626E" w:rsidRPr="00F4074C">
              <w:rPr>
                <w:noProof/>
                <w:webHidden/>
              </w:rPr>
            </w:r>
            <w:r w:rsidR="0084626E" w:rsidRPr="00F4074C">
              <w:rPr>
                <w:noProof/>
                <w:webHidden/>
              </w:rPr>
              <w:fldChar w:fldCharType="separate"/>
            </w:r>
            <w:r w:rsidR="00DA4DF6">
              <w:rPr>
                <w:noProof/>
                <w:webHidden/>
              </w:rPr>
              <w:t>16</w:t>
            </w:r>
            <w:r w:rsidR="0084626E" w:rsidRPr="00F4074C">
              <w:rPr>
                <w:noProof/>
                <w:webHidden/>
              </w:rPr>
              <w:fldChar w:fldCharType="end"/>
            </w:r>
          </w:hyperlink>
        </w:p>
        <w:p w14:paraId="332EEE31" w14:textId="7693A5E3" w:rsidR="00D15EFF" w:rsidRPr="00F4074C" w:rsidRDefault="000326C8">
          <w:pPr>
            <w:pStyle w:val="12"/>
            <w:tabs>
              <w:tab w:val="right" w:leader="dot" w:pos="9203"/>
            </w:tabs>
            <w:rPr>
              <w:rFonts w:eastAsiaTheme="minorEastAsia"/>
              <w:noProof/>
              <w:lang w:val="el-GR" w:eastAsia="el-GR"/>
            </w:rPr>
          </w:pPr>
          <w:hyperlink w:anchor="_Toc59179445" w:history="1">
            <w:r w:rsidR="00D15EFF" w:rsidRPr="00F4074C">
              <w:rPr>
                <w:rStyle w:val="-"/>
                <w:noProof/>
                <w:lang w:val="el-GR"/>
              </w:rPr>
              <w:t>Γράφημα 7: Κίνδυνος φτώχειας πριν τις κοινωνικές μεταβιβάσεις κατά ηλικιακή ομάδα και κατάσταση αναπηρίας το 2019</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_Toc59179445 \h </w:instrText>
            </w:r>
            <w:r w:rsidR="0084626E" w:rsidRPr="00F4074C">
              <w:rPr>
                <w:noProof/>
                <w:webHidden/>
              </w:rPr>
            </w:r>
            <w:r w:rsidR="0084626E" w:rsidRPr="00F4074C">
              <w:rPr>
                <w:noProof/>
                <w:webHidden/>
              </w:rPr>
              <w:fldChar w:fldCharType="separate"/>
            </w:r>
            <w:r w:rsidR="00DA4DF6">
              <w:rPr>
                <w:noProof/>
                <w:webHidden/>
              </w:rPr>
              <w:t>17</w:t>
            </w:r>
            <w:r w:rsidR="0084626E" w:rsidRPr="00F4074C">
              <w:rPr>
                <w:noProof/>
                <w:webHidden/>
              </w:rPr>
              <w:fldChar w:fldCharType="end"/>
            </w:r>
          </w:hyperlink>
        </w:p>
        <w:p w14:paraId="2A748A92" w14:textId="2796E0A7" w:rsidR="00D15EFF" w:rsidRDefault="000326C8">
          <w:pPr>
            <w:pStyle w:val="12"/>
            <w:tabs>
              <w:tab w:val="left" w:pos="440"/>
              <w:tab w:val="right" w:leader="dot" w:pos="9203"/>
            </w:tabs>
            <w:rPr>
              <w:rFonts w:eastAsiaTheme="minorEastAsia"/>
              <w:noProof/>
              <w:lang w:val="el-GR" w:eastAsia="el-GR"/>
            </w:rPr>
          </w:pPr>
          <w:hyperlink w:anchor="_Toc59179446" w:history="1">
            <w:r w:rsidR="00D15EFF" w:rsidRPr="00766236">
              <w:rPr>
                <w:rStyle w:val="-"/>
                <w:b/>
                <w:noProof/>
                <w:lang w:val="el-GR"/>
              </w:rPr>
              <w:t>3.</w:t>
            </w:r>
            <w:r w:rsidR="00D15EFF">
              <w:rPr>
                <w:rFonts w:eastAsiaTheme="minorEastAsia"/>
                <w:noProof/>
                <w:lang w:val="el-GR" w:eastAsia="el-GR"/>
              </w:rPr>
              <w:tab/>
            </w:r>
            <w:r w:rsidR="00D15EFF" w:rsidRPr="00766236">
              <w:rPr>
                <w:rStyle w:val="-"/>
                <w:b/>
                <w:noProof/>
                <w:lang w:val="el-GR"/>
              </w:rPr>
              <w:t>Πληθυσμός που διαβιεί σε νοικοκυριά με υλική στέρηση</w:t>
            </w:r>
            <w:r w:rsidR="00D15EFF">
              <w:rPr>
                <w:noProof/>
                <w:webHidden/>
              </w:rPr>
              <w:tab/>
            </w:r>
            <w:r w:rsidR="0084626E">
              <w:rPr>
                <w:noProof/>
                <w:webHidden/>
              </w:rPr>
              <w:fldChar w:fldCharType="begin"/>
            </w:r>
            <w:r w:rsidR="00D15EFF">
              <w:rPr>
                <w:noProof/>
                <w:webHidden/>
              </w:rPr>
              <w:instrText xml:space="preserve"> PAGEREF _Toc59179446 \h </w:instrText>
            </w:r>
            <w:r w:rsidR="0084626E">
              <w:rPr>
                <w:noProof/>
                <w:webHidden/>
              </w:rPr>
            </w:r>
            <w:r w:rsidR="0084626E">
              <w:rPr>
                <w:noProof/>
                <w:webHidden/>
              </w:rPr>
              <w:fldChar w:fldCharType="separate"/>
            </w:r>
            <w:r w:rsidR="00DA4DF6">
              <w:rPr>
                <w:noProof/>
                <w:webHidden/>
              </w:rPr>
              <w:t>18</w:t>
            </w:r>
            <w:r w:rsidR="0084626E">
              <w:rPr>
                <w:noProof/>
                <w:webHidden/>
              </w:rPr>
              <w:fldChar w:fldCharType="end"/>
            </w:r>
          </w:hyperlink>
        </w:p>
        <w:p w14:paraId="53F4C26D" w14:textId="2B5B220E" w:rsidR="00D15EFF" w:rsidRPr="00F4074C" w:rsidRDefault="000326C8">
          <w:pPr>
            <w:pStyle w:val="12"/>
            <w:tabs>
              <w:tab w:val="right" w:leader="dot" w:pos="9203"/>
            </w:tabs>
            <w:rPr>
              <w:rFonts w:eastAsiaTheme="minorEastAsia"/>
              <w:noProof/>
              <w:lang w:val="el-GR" w:eastAsia="el-GR"/>
            </w:rPr>
          </w:pPr>
          <w:hyperlink w:anchor="_Toc59179447" w:history="1">
            <w:r w:rsidR="00D15EFF" w:rsidRPr="00F4074C">
              <w:rPr>
                <w:rStyle w:val="-"/>
                <w:noProof/>
                <w:lang w:val="el-GR"/>
              </w:rPr>
              <w:t>Γράφημα 8: Πληθυσμός 16 ετών και άνω που αντιμετωπίζει υλικές στερήσεις και κατάσταση αναπηρίας</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_Toc59179447 \h </w:instrText>
            </w:r>
            <w:r w:rsidR="0084626E" w:rsidRPr="00F4074C">
              <w:rPr>
                <w:noProof/>
                <w:webHidden/>
              </w:rPr>
            </w:r>
            <w:r w:rsidR="0084626E" w:rsidRPr="00F4074C">
              <w:rPr>
                <w:noProof/>
                <w:webHidden/>
              </w:rPr>
              <w:fldChar w:fldCharType="separate"/>
            </w:r>
            <w:r w:rsidR="00DA4DF6">
              <w:rPr>
                <w:noProof/>
                <w:webHidden/>
              </w:rPr>
              <w:t>19</w:t>
            </w:r>
            <w:r w:rsidR="0084626E" w:rsidRPr="00F4074C">
              <w:rPr>
                <w:noProof/>
                <w:webHidden/>
              </w:rPr>
              <w:fldChar w:fldCharType="end"/>
            </w:r>
          </w:hyperlink>
        </w:p>
        <w:p w14:paraId="6FD3C30F" w14:textId="533E4ACD" w:rsidR="00D15EFF" w:rsidRDefault="000326C8">
          <w:pPr>
            <w:pStyle w:val="12"/>
            <w:tabs>
              <w:tab w:val="right" w:leader="dot" w:pos="9203"/>
            </w:tabs>
            <w:rPr>
              <w:rFonts w:eastAsiaTheme="minorEastAsia"/>
              <w:noProof/>
              <w:lang w:val="el-GR" w:eastAsia="el-GR"/>
            </w:rPr>
          </w:pPr>
          <w:hyperlink w:anchor="_Toc59179448" w:history="1">
            <w:r w:rsidR="00D15EFF" w:rsidRPr="00F4074C">
              <w:rPr>
                <w:rStyle w:val="-"/>
                <w:noProof/>
                <w:lang w:val="el-GR"/>
              </w:rPr>
              <w:t>Γράφημα 9: Διαχρονική εξέλιξη ποσοστού πληθυσμού (16-64 ετών) σε υλική στέρηση και κατάσταση αναπηρίας</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_Toc59179448 \h </w:instrText>
            </w:r>
            <w:r w:rsidR="0084626E" w:rsidRPr="00F4074C">
              <w:rPr>
                <w:noProof/>
                <w:webHidden/>
              </w:rPr>
            </w:r>
            <w:r w:rsidR="0084626E" w:rsidRPr="00F4074C">
              <w:rPr>
                <w:noProof/>
                <w:webHidden/>
              </w:rPr>
              <w:fldChar w:fldCharType="separate"/>
            </w:r>
            <w:r w:rsidR="00DA4DF6">
              <w:rPr>
                <w:noProof/>
                <w:webHidden/>
              </w:rPr>
              <w:t>20</w:t>
            </w:r>
            <w:r w:rsidR="0084626E" w:rsidRPr="00F4074C">
              <w:rPr>
                <w:noProof/>
                <w:webHidden/>
              </w:rPr>
              <w:fldChar w:fldCharType="end"/>
            </w:r>
          </w:hyperlink>
        </w:p>
        <w:p w14:paraId="29EF1322" w14:textId="0236BAD0" w:rsidR="00D15EFF" w:rsidRDefault="000326C8">
          <w:pPr>
            <w:pStyle w:val="12"/>
            <w:tabs>
              <w:tab w:val="left" w:pos="440"/>
              <w:tab w:val="right" w:leader="dot" w:pos="9203"/>
            </w:tabs>
            <w:rPr>
              <w:rFonts w:eastAsiaTheme="minorEastAsia"/>
              <w:noProof/>
              <w:lang w:val="el-GR" w:eastAsia="el-GR"/>
            </w:rPr>
          </w:pPr>
          <w:hyperlink w:anchor="_Toc59179449" w:history="1">
            <w:r w:rsidR="00D15EFF" w:rsidRPr="00766236">
              <w:rPr>
                <w:rStyle w:val="-"/>
                <w:b/>
                <w:noProof/>
                <w:lang w:val="el-GR"/>
              </w:rPr>
              <w:t>4.</w:t>
            </w:r>
            <w:r w:rsidR="00D15EFF">
              <w:rPr>
                <w:rFonts w:eastAsiaTheme="minorEastAsia"/>
                <w:noProof/>
                <w:lang w:val="el-GR" w:eastAsia="el-GR"/>
              </w:rPr>
              <w:tab/>
            </w:r>
            <w:r w:rsidR="00D15EFF" w:rsidRPr="00766236">
              <w:rPr>
                <w:rStyle w:val="-"/>
                <w:b/>
                <w:noProof/>
                <w:lang w:val="el-GR"/>
              </w:rPr>
              <w:t>Πληθυσμός  που διαβιεί σε νοικοκυριά με χαμηλή ένταση εργασίας</w:t>
            </w:r>
            <w:r w:rsidR="00D15EFF">
              <w:rPr>
                <w:noProof/>
                <w:webHidden/>
              </w:rPr>
              <w:tab/>
            </w:r>
            <w:r w:rsidR="0084626E">
              <w:rPr>
                <w:noProof/>
                <w:webHidden/>
              </w:rPr>
              <w:fldChar w:fldCharType="begin"/>
            </w:r>
            <w:r w:rsidR="00D15EFF">
              <w:rPr>
                <w:noProof/>
                <w:webHidden/>
              </w:rPr>
              <w:instrText xml:space="preserve"> PAGEREF _Toc59179449 \h </w:instrText>
            </w:r>
            <w:r w:rsidR="0084626E">
              <w:rPr>
                <w:noProof/>
                <w:webHidden/>
              </w:rPr>
            </w:r>
            <w:r w:rsidR="0084626E">
              <w:rPr>
                <w:noProof/>
                <w:webHidden/>
              </w:rPr>
              <w:fldChar w:fldCharType="separate"/>
            </w:r>
            <w:r w:rsidR="00DA4DF6">
              <w:rPr>
                <w:noProof/>
                <w:webHidden/>
              </w:rPr>
              <w:t>21</w:t>
            </w:r>
            <w:r w:rsidR="0084626E">
              <w:rPr>
                <w:noProof/>
                <w:webHidden/>
              </w:rPr>
              <w:fldChar w:fldCharType="end"/>
            </w:r>
          </w:hyperlink>
        </w:p>
        <w:p w14:paraId="53BDBC6B" w14:textId="680BF6AD" w:rsidR="00D15EFF" w:rsidRPr="00F4074C" w:rsidRDefault="000326C8">
          <w:pPr>
            <w:pStyle w:val="12"/>
            <w:tabs>
              <w:tab w:val="right" w:leader="dot" w:pos="9203"/>
            </w:tabs>
            <w:rPr>
              <w:rFonts w:eastAsiaTheme="minorEastAsia"/>
              <w:noProof/>
              <w:lang w:val="el-GR" w:eastAsia="el-GR"/>
            </w:rPr>
          </w:pPr>
          <w:hyperlink w:anchor="_Toc59179450" w:history="1">
            <w:r w:rsidR="00D15EFF" w:rsidRPr="00F4074C">
              <w:rPr>
                <w:rStyle w:val="-"/>
                <w:noProof/>
                <w:lang w:val="el-GR"/>
              </w:rPr>
              <w:t>Γράφημα 10:  Διαχρονική εξέλιξη ποσοστού πληθυσμού (16-59 ετών) που διαβιεί σε νοικοκυριά με χαμηλή ένταση εργασίας</w:t>
            </w:r>
            <w:r w:rsidR="00D15EFF" w:rsidRPr="00F4074C">
              <w:rPr>
                <w:noProof/>
                <w:webHidden/>
              </w:rPr>
              <w:tab/>
            </w:r>
            <w:r w:rsidR="0084626E" w:rsidRPr="00F4074C">
              <w:rPr>
                <w:noProof/>
                <w:webHidden/>
              </w:rPr>
              <w:fldChar w:fldCharType="begin"/>
            </w:r>
            <w:r w:rsidR="00D15EFF" w:rsidRPr="00F4074C">
              <w:rPr>
                <w:noProof/>
                <w:webHidden/>
              </w:rPr>
              <w:instrText xml:space="preserve"> PAGEREF _Toc59179450 \h </w:instrText>
            </w:r>
            <w:r w:rsidR="0084626E" w:rsidRPr="00F4074C">
              <w:rPr>
                <w:noProof/>
                <w:webHidden/>
              </w:rPr>
            </w:r>
            <w:r w:rsidR="0084626E" w:rsidRPr="00F4074C">
              <w:rPr>
                <w:noProof/>
                <w:webHidden/>
              </w:rPr>
              <w:fldChar w:fldCharType="separate"/>
            </w:r>
            <w:r w:rsidR="00DA4DF6">
              <w:rPr>
                <w:noProof/>
                <w:webHidden/>
              </w:rPr>
              <w:t>21</w:t>
            </w:r>
            <w:r w:rsidR="0084626E" w:rsidRPr="00F4074C">
              <w:rPr>
                <w:noProof/>
                <w:webHidden/>
              </w:rPr>
              <w:fldChar w:fldCharType="end"/>
            </w:r>
          </w:hyperlink>
        </w:p>
        <w:p w14:paraId="30F23023" w14:textId="7820C204" w:rsidR="005C287C" w:rsidRDefault="0084626E" w:rsidP="005C287C">
          <w:pPr>
            <w:pStyle w:val="12"/>
            <w:tabs>
              <w:tab w:val="right" w:leader="dot" w:pos="9016"/>
            </w:tabs>
            <w:rPr>
              <w:b/>
              <w:bCs/>
              <w:lang w:val="el-GR"/>
            </w:rPr>
          </w:pPr>
          <w:r w:rsidRPr="0068245B">
            <w:rPr>
              <w:bCs/>
              <w:sz w:val="24"/>
              <w:szCs w:val="24"/>
              <w:lang w:val="el-GR"/>
            </w:rPr>
            <w:fldChar w:fldCharType="end"/>
          </w:r>
        </w:p>
      </w:sdtContent>
    </w:sdt>
    <w:tbl>
      <w:tblPr>
        <w:tblStyle w:val="ab"/>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6699"/>
      </w:tblGrid>
      <w:tr w:rsidR="00F4074C" w:rsidRPr="00F4074C" w14:paraId="38A0966C" w14:textId="77777777" w:rsidTr="00311D4A">
        <w:trPr>
          <w:jc w:val="center"/>
        </w:trPr>
        <w:tc>
          <w:tcPr>
            <w:tcW w:w="1948" w:type="dxa"/>
            <w:shd w:val="clear" w:color="auto" w:fill="F2F2F2" w:themeFill="background1" w:themeFillShade="F2"/>
          </w:tcPr>
          <w:p w14:paraId="4CA2670E" w14:textId="77777777" w:rsidR="00F4074C" w:rsidRDefault="00F4074C" w:rsidP="00311D4A">
            <w:pPr>
              <w:spacing w:before="60" w:after="60"/>
              <w:jc w:val="right"/>
              <w:rPr>
                <w:sz w:val="24"/>
                <w:szCs w:val="24"/>
                <w:lang w:val="el-GR"/>
              </w:rPr>
            </w:pPr>
            <w:r>
              <w:rPr>
                <w:noProof/>
                <w:sz w:val="24"/>
                <w:szCs w:val="24"/>
                <w:lang w:val="el-GR" w:eastAsia="el-GR"/>
              </w:rPr>
              <w:drawing>
                <wp:inline distT="0" distB="0" distL="0" distR="0" wp14:anchorId="03B78F18" wp14:editId="33F947BD">
                  <wp:extent cx="914400" cy="914400"/>
                  <wp:effectExtent l="0" t="0" r="0" b="0"/>
                  <wp:docPr id="3" name="Εικόνα 3"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99" w:type="dxa"/>
            <w:shd w:val="clear" w:color="auto" w:fill="F2F2F2" w:themeFill="background1" w:themeFillShade="F2"/>
            <w:vAlign w:val="bottom"/>
          </w:tcPr>
          <w:p w14:paraId="0D585A2F" w14:textId="77777777" w:rsidR="00F4074C" w:rsidRPr="003F7C4B" w:rsidRDefault="00F4074C" w:rsidP="00311D4A">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lang w:val="en-GB"/>
              </w:rPr>
              <w:t>Microsoft</w:t>
            </w:r>
            <w:r w:rsidRPr="000D2D4C">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14:paraId="1188653D" w14:textId="77777777" w:rsidR="00F4074C" w:rsidRPr="003F7C4B" w:rsidRDefault="00F4074C" w:rsidP="00311D4A">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sidRPr="000D2D4C">
              <w:rPr>
                <w:i/>
                <w:sz w:val="20"/>
                <w:szCs w:val="20"/>
                <w:lang w:val="el-GR"/>
              </w:rPr>
              <w:t xml:space="preserve"> </w:t>
            </w:r>
            <w:r w:rsidRPr="00CE232E">
              <w:rPr>
                <w:i/>
                <w:sz w:val="20"/>
                <w:szCs w:val="20"/>
                <w:lang w:val="en-GB"/>
              </w:rPr>
              <w:t>Accessibility</w:t>
            </w:r>
            <w:r w:rsidRPr="000D2D4C">
              <w:rPr>
                <w:i/>
                <w:sz w:val="20"/>
                <w:szCs w:val="20"/>
                <w:lang w:val="el-GR"/>
              </w:rPr>
              <w:t xml:space="preserve"> </w:t>
            </w:r>
            <w:r w:rsidRPr="00CE232E">
              <w:rPr>
                <w:i/>
                <w:sz w:val="20"/>
                <w:szCs w:val="20"/>
                <w:lang w:val="en-GB"/>
              </w:rPr>
              <w:t>Checker</w:t>
            </w:r>
            <w:r w:rsidRPr="00CE232E">
              <w:rPr>
                <w:sz w:val="20"/>
                <w:szCs w:val="20"/>
                <w:lang w:val="el-GR"/>
              </w:rPr>
              <w:t xml:space="preserve"> </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5D29D2B8" w14:textId="3F8BFFC6" w:rsidR="005C287C" w:rsidRPr="00CB77DA" w:rsidRDefault="005C287C" w:rsidP="005C287C">
      <w:pPr>
        <w:rPr>
          <w:rFonts w:eastAsiaTheme="majorEastAsia" w:cstheme="minorHAnsi"/>
          <w:b/>
          <w:sz w:val="32"/>
          <w:szCs w:val="32"/>
          <w:lang w:val="el-GR"/>
        </w:rPr>
      </w:pPr>
      <w:r w:rsidRPr="00CB77DA">
        <w:rPr>
          <w:rFonts w:cstheme="minorHAnsi"/>
          <w:b/>
          <w:lang w:val="el-GR"/>
        </w:rPr>
        <w:br w:type="page"/>
      </w:r>
    </w:p>
    <w:p w14:paraId="2885BAF5" w14:textId="77777777" w:rsidR="005C287C" w:rsidRPr="00745309" w:rsidRDefault="00745309" w:rsidP="00D86E20">
      <w:pPr>
        <w:pStyle w:val="a5"/>
        <w:ind w:left="142"/>
        <w:rPr>
          <w:b/>
          <w:sz w:val="28"/>
          <w:szCs w:val="28"/>
          <w:lang w:val="el-GR"/>
        </w:rPr>
      </w:pPr>
      <w:r w:rsidRPr="00BD0FA7">
        <w:rPr>
          <w:b/>
          <w:sz w:val="28"/>
          <w:szCs w:val="28"/>
          <w:lang w:val="el-GR"/>
        </w:rPr>
        <w:lastRenderedPageBreak/>
        <w:t>ΕΙΣΑΓΩΓ</w:t>
      </w:r>
      <w:r>
        <w:rPr>
          <w:b/>
          <w:sz w:val="28"/>
          <w:szCs w:val="28"/>
          <w:lang w:val="el-GR"/>
        </w:rPr>
        <w:t>Η</w:t>
      </w:r>
    </w:p>
    <w:p w14:paraId="2D6201E0" w14:textId="77777777" w:rsidR="009A5083" w:rsidRDefault="009A5083" w:rsidP="00B12F1A">
      <w:pPr>
        <w:pStyle w:val="a9"/>
        <w:ind w:left="142"/>
        <w:jc w:val="both"/>
        <w:rPr>
          <w:rStyle w:val="tlid-translation"/>
          <w:sz w:val="24"/>
          <w:szCs w:val="24"/>
          <w:lang w:val="el-GR"/>
        </w:rPr>
      </w:pPr>
    </w:p>
    <w:p w14:paraId="23EEC30C" w14:textId="77777777" w:rsidR="003A006D" w:rsidRPr="00B12F1A" w:rsidRDefault="0016570D" w:rsidP="00B12F1A">
      <w:pPr>
        <w:pStyle w:val="a9"/>
        <w:ind w:left="142"/>
        <w:jc w:val="both"/>
        <w:rPr>
          <w:rStyle w:val="tlid-translation"/>
          <w:sz w:val="24"/>
          <w:szCs w:val="24"/>
          <w:lang w:val="el-GR"/>
        </w:rPr>
      </w:pPr>
      <w:r>
        <w:rPr>
          <w:rStyle w:val="tlid-translation"/>
          <w:sz w:val="24"/>
          <w:szCs w:val="24"/>
          <w:lang w:val="el-GR"/>
        </w:rPr>
        <w:t>Αντικείμενο του παρόντος</w:t>
      </w:r>
      <w:r w:rsidR="00B12F1A">
        <w:rPr>
          <w:rStyle w:val="tlid-translation"/>
          <w:sz w:val="24"/>
          <w:szCs w:val="24"/>
          <w:lang w:val="el-GR"/>
        </w:rPr>
        <w:t xml:space="preserve"> </w:t>
      </w:r>
      <w:r w:rsidR="003A006D" w:rsidRPr="00B12F1A">
        <w:rPr>
          <w:rStyle w:val="tlid-translation"/>
          <w:sz w:val="24"/>
          <w:szCs w:val="24"/>
          <w:lang w:val="el-GR"/>
        </w:rPr>
        <w:t xml:space="preserve">είναι η φτώχεια και ο κοινωνικός αποκλεισμός στα άτομα με αναπηρία. Την τελευταία δεκαετία τα άτομα με αναπηρία ή/και χρόνιες παθήσεις και οι οικογένειές τους βίωσαν αντικειμενικά με τον πιο σκληρό τρόπο την οικονομική κρίση. Οι οριζόντιες περικοπές που σημειώθηκαν στους μισθούς και τις συντάξεις ως αποτέλεσμα των μνημονίων, ήταν ιδιαίτερα επώδυνες για τα άτομα με αναπηρία ή/ και χρόνιες παθήσεις, λαμβάνοντας υπόψη και το πρόσθετο κόστος διαβίωσης που αντιμετωπίζουν λόγω της αναπηρίας. </w:t>
      </w:r>
    </w:p>
    <w:p w14:paraId="19BD6094" w14:textId="77777777" w:rsidR="00AC4FFC" w:rsidRDefault="00AC4FFC" w:rsidP="003A006D">
      <w:pPr>
        <w:pStyle w:val="a9"/>
        <w:ind w:left="142"/>
        <w:jc w:val="both"/>
        <w:rPr>
          <w:rStyle w:val="tlid-translation"/>
          <w:sz w:val="24"/>
          <w:szCs w:val="24"/>
          <w:lang w:val="el-GR"/>
        </w:rPr>
      </w:pPr>
    </w:p>
    <w:p w14:paraId="112ED09B" w14:textId="77777777" w:rsidR="003A006D" w:rsidRPr="003A006D" w:rsidRDefault="003A006D" w:rsidP="003A006D">
      <w:pPr>
        <w:pStyle w:val="a9"/>
        <w:ind w:left="142"/>
        <w:jc w:val="both"/>
        <w:rPr>
          <w:rStyle w:val="tlid-translation"/>
          <w:sz w:val="24"/>
          <w:szCs w:val="24"/>
          <w:lang w:val="el-GR"/>
        </w:rPr>
      </w:pPr>
      <w:r w:rsidRPr="003A006D">
        <w:rPr>
          <w:rStyle w:val="tlid-translation"/>
          <w:sz w:val="24"/>
          <w:szCs w:val="24"/>
          <w:lang w:val="el-GR"/>
        </w:rPr>
        <w:t xml:space="preserve">Σήμερα, η υγειονομική συνθήκη της πανδημίας και οι επακόλουθες δραματικές επιπτώσεις στην οικονομία θέτουν εκ νέου στο στόχαστρο τα πλέον ευάλωτα στρώματα της κοινωνίας, και ιδιαίτερα τα άτομα με αναπηρία που ήδη αντιμετώπιζαν εξαιρετικά υψηλότερο κίνδυνο φτώχειας και κοινωνικού αποκλεισμού. </w:t>
      </w:r>
    </w:p>
    <w:p w14:paraId="4C057EAF" w14:textId="77777777" w:rsidR="00AC4FFC" w:rsidRDefault="00AC4FFC" w:rsidP="003A006D">
      <w:pPr>
        <w:pStyle w:val="a9"/>
        <w:ind w:left="142"/>
        <w:jc w:val="both"/>
        <w:rPr>
          <w:rStyle w:val="tlid-translation"/>
          <w:sz w:val="24"/>
          <w:szCs w:val="24"/>
          <w:lang w:val="el-GR"/>
        </w:rPr>
      </w:pPr>
    </w:p>
    <w:p w14:paraId="09D9D825" w14:textId="77777777" w:rsidR="003A006D" w:rsidRPr="003A006D" w:rsidRDefault="003A006D" w:rsidP="003A006D">
      <w:pPr>
        <w:pStyle w:val="a9"/>
        <w:ind w:left="142"/>
        <w:jc w:val="both"/>
        <w:rPr>
          <w:rStyle w:val="tlid-translation"/>
          <w:sz w:val="24"/>
          <w:szCs w:val="24"/>
          <w:lang w:val="el-GR"/>
        </w:rPr>
      </w:pPr>
      <w:r w:rsidRPr="003A006D">
        <w:rPr>
          <w:rStyle w:val="tlid-translation"/>
          <w:sz w:val="24"/>
          <w:szCs w:val="24"/>
          <w:lang w:val="el-GR"/>
        </w:rPr>
        <w:t>Στο παρόν δελτίο</w:t>
      </w:r>
      <w:r w:rsidR="00D15EFF" w:rsidRPr="00D15EFF">
        <w:rPr>
          <w:rStyle w:val="tlid-translation"/>
          <w:sz w:val="24"/>
          <w:szCs w:val="24"/>
          <w:lang w:val="el-GR"/>
        </w:rPr>
        <w:t>,</w:t>
      </w:r>
      <w:r w:rsidRPr="003A006D">
        <w:rPr>
          <w:rStyle w:val="tlid-translation"/>
          <w:sz w:val="24"/>
          <w:szCs w:val="24"/>
          <w:lang w:val="el-GR"/>
        </w:rPr>
        <w:t xml:space="preserve"> αναλύονται συγκριτικά τα δεδομένα της φτώχειας και του κοινωνικού αποκλεισμού στον πληθυσμό </w:t>
      </w:r>
      <w:r w:rsidR="00AC4FFC">
        <w:rPr>
          <w:rStyle w:val="tlid-translation"/>
          <w:sz w:val="24"/>
          <w:szCs w:val="24"/>
          <w:lang w:val="el-GR"/>
        </w:rPr>
        <w:t xml:space="preserve">των ατόμων </w:t>
      </w:r>
      <w:r w:rsidRPr="003A006D">
        <w:rPr>
          <w:rStyle w:val="tlid-translation"/>
          <w:sz w:val="24"/>
          <w:szCs w:val="24"/>
          <w:lang w:val="el-GR"/>
        </w:rPr>
        <w:t>με και χ</w:t>
      </w:r>
      <w:r w:rsidR="00D15EFF">
        <w:rPr>
          <w:rStyle w:val="tlid-translation"/>
          <w:sz w:val="24"/>
          <w:szCs w:val="24"/>
          <w:lang w:val="el-GR"/>
        </w:rPr>
        <w:t>ωρίς αναπηρία για το έτος 2019</w:t>
      </w:r>
      <w:r w:rsidR="00D15EFF" w:rsidRPr="00D15EFF">
        <w:rPr>
          <w:rStyle w:val="tlid-translation"/>
          <w:sz w:val="24"/>
          <w:szCs w:val="24"/>
          <w:lang w:val="el-GR"/>
        </w:rPr>
        <w:t xml:space="preserve">, </w:t>
      </w:r>
      <w:r w:rsidRPr="003A006D">
        <w:rPr>
          <w:rStyle w:val="tlid-translation"/>
          <w:sz w:val="24"/>
          <w:szCs w:val="24"/>
          <w:lang w:val="el-GR"/>
        </w:rPr>
        <w:t>με περίο</w:t>
      </w:r>
      <w:r w:rsidR="00D15EFF">
        <w:rPr>
          <w:rStyle w:val="tlid-translation"/>
          <w:sz w:val="24"/>
          <w:szCs w:val="24"/>
          <w:lang w:val="el-GR"/>
        </w:rPr>
        <w:t>δο αναφοράς εισοδήματος το 2018</w:t>
      </w:r>
      <w:r w:rsidRPr="003A006D">
        <w:rPr>
          <w:rStyle w:val="tlid-translation"/>
          <w:sz w:val="24"/>
          <w:szCs w:val="24"/>
          <w:lang w:val="el-GR"/>
        </w:rPr>
        <w:t xml:space="preserve">, και αποτυπώνονται οι διαχρονικές μεταβολές το διάστημα 2010-2019. </w:t>
      </w:r>
    </w:p>
    <w:p w14:paraId="0545AB62" w14:textId="77777777" w:rsidR="00AC4FFC" w:rsidRDefault="00AC4FFC" w:rsidP="003A006D">
      <w:pPr>
        <w:pStyle w:val="a9"/>
        <w:ind w:left="142"/>
        <w:jc w:val="both"/>
        <w:rPr>
          <w:rStyle w:val="tlid-translation"/>
          <w:sz w:val="24"/>
          <w:szCs w:val="24"/>
          <w:lang w:val="el-GR"/>
        </w:rPr>
      </w:pPr>
    </w:p>
    <w:p w14:paraId="5CCC7AF5" w14:textId="77777777" w:rsidR="003A006D" w:rsidRDefault="003A006D" w:rsidP="003A006D">
      <w:pPr>
        <w:pStyle w:val="a9"/>
        <w:ind w:left="142"/>
        <w:jc w:val="both"/>
        <w:rPr>
          <w:rStyle w:val="tlid-translation"/>
          <w:sz w:val="24"/>
          <w:szCs w:val="24"/>
          <w:lang w:val="el-GR"/>
        </w:rPr>
      </w:pPr>
      <w:r w:rsidRPr="003A006D">
        <w:rPr>
          <w:rStyle w:val="tlid-translation"/>
          <w:sz w:val="24"/>
          <w:szCs w:val="24"/>
          <w:lang w:val="el-GR"/>
        </w:rPr>
        <w:t>Πηγή των δεδομένων αποτελεί η δειγματοληπτική Έρευνα Εισοδήματος και Συν</w:t>
      </w:r>
      <w:r w:rsidR="00AC4FFC">
        <w:rPr>
          <w:rStyle w:val="tlid-translation"/>
          <w:sz w:val="24"/>
          <w:szCs w:val="24"/>
          <w:lang w:val="el-GR"/>
        </w:rPr>
        <w:t xml:space="preserve">θηκών Διαβίωσης των </w:t>
      </w:r>
      <w:r w:rsidR="00AC4FFC" w:rsidRPr="00114A1F">
        <w:rPr>
          <w:rStyle w:val="tlid-translation"/>
          <w:sz w:val="24"/>
          <w:szCs w:val="24"/>
          <w:lang w:val="el-GR"/>
        </w:rPr>
        <w:t>Νοικοκυριών (</w:t>
      </w:r>
      <w:r w:rsidR="00114A1F" w:rsidRPr="00114A1F">
        <w:t>EU</w:t>
      </w:r>
      <w:r w:rsidR="00114A1F" w:rsidRPr="00114A1F">
        <w:rPr>
          <w:lang w:val="el-GR"/>
        </w:rPr>
        <w:t>-</w:t>
      </w:r>
      <w:r w:rsidR="00114A1F" w:rsidRPr="00114A1F">
        <w:t>SILC</w:t>
      </w:r>
      <w:r w:rsidR="00114A1F" w:rsidRPr="00114A1F">
        <w:rPr>
          <w:lang w:val="el-GR"/>
        </w:rPr>
        <w:t xml:space="preserve"> </w:t>
      </w:r>
      <w:r w:rsidR="00114A1F">
        <w:rPr>
          <w:lang w:val="el-GR"/>
        </w:rPr>
        <w:t>-</w:t>
      </w:r>
      <w:r w:rsidR="00114A1F" w:rsidRPr="006B62F0">
        <w:t>Statistics</w:t>
      </w:r>
      <w:r w:rsidR="00114A1F" w:rsidRPr="00114A1F">
        <w:rPr>
          <w:lang w:val="el-GR"/>
        </w:rPr>
        <w:t xml:space="preserve"> </w:t>
      </w:r>
      <w:r w:rsidR="00114A1F" w:rsidRPr="006B62F0">
        <w:t>on</w:t>
      </w:r>
      <w:r w:rsidR="00114A1F" w:rsidRPr="00114A1F">
        <w:rPr>
          <w:lang w:val="el-GR"/>
        </w:rPr>
        <w:t xml:space="preserve"> </w:t>
      </w:r>
      <w:r w:rsidR="00114A1F" w:rsidRPr="006B62F0">
        <w:t>Income</w:t>
      </w:r>
      <w:r w:rsidR="00114A1F" w:rsidRPr="00114A1F">
        <w:rPr>
          <w:lang w:val="el-GR"/>
        </w:rPr>
        <w:t xml:space="preserve"> </w:t>
      </w:r>
      <w:r w:rsidR="00114A1F" w:rsidRPr="006B62F0">
        <w:t>and</w:t>
      </w:r>
      <w:r w:rsidR="00114A1F" w:rsidRPr="00114A1F">
        <w:rPr>
          <w:lang w:val="el-GR"/>
        </w:rPr>
        <w:t xml:space="preserve"> </w:t>
      </w:r>
      <w:r w:rsidR="00114A1F" w:rsidRPr="006B62F0">
        <w:t>Living</w:t>
      </w:r>
      <w:r w:rsidR="00114A1F" w:rsidRPr="00114A1F">
        <w:rPr>
          <w:lang w:val="el-GR"/>
        </w:rPr>
        <w:t xml:space="preserve"> </w:t>
      </w:r>
      <w:r w:rsidR="00114A1F" w:rsidRPr="006B62F0">
        <w:t>Conditions</w:t>
      </w:r>
      <w:r w:rsidR="00114A1F" w:rsidRPr="00114A1F">
        <w:rPr>
          <w:lang w:val="el-GR"/>
        </w:rPr>
        <w:t>)</w:t>
      </w:r>
      <w:r w:rsidR="00114A1F">
        <w:rPr>
          <w:lang w:val="el-GR"/>
        </w:rPr>
        <w:t xml:space="preserve"> </w:t>
      </w:r>
      <w:r w:rsidR="00AC4FFC" w:rsidRPr="003A006D">
        <w:rPr>
          <w:rStyle w:val="tlid-translation"/>
          <w:sz w:val="24"/>
          <w:szCs w:val="24"/>
          <w:lang w:val="el-GR"/>
        </w:rPr>
        <w:t>τη</w:t>
      </w:r>
      <w:r w:rsidR="00AC4FFC">
        <w:rPr>
          <w:rStyle w:val="tlid-translation"/>
          <w:sz w:val="24"/>
          <w:szCs w:val="24"/>
          <w:lang w:val="el-GR"/>
        </w:rPr>
        <w:t>ς</w:t>
      </w:r>
      <w:r w:rsidR="00AC4FFC" w:rsidRPr="003A006D">
        <w:rPr>
          <w:rStyle w:val="tlid-translation"/>
          <w:sz w:val="24"/>
          <w:szCs w:val="24"/>
          <w:lang w:val="el-GR"/>
        </w:rPr>
        <w:t xml:space="preserve"> Eurostat</w:t>
      </w:r>
      <w:r w:rsidR="00114A1F">
        <w:rPr>
          <w:rStyle w:val="tlid-translation"/>
          <w:sz w:val="24"/>
          <w:szCs w:val="24"/>
          <w:lang w:val="el-GR"/>
        </w:rPr>
        <w:t>,</w:t>
      </w:r>
      <w:r w:rsidR="00AC4FFC" w:rsidRPr="003A006D">
        <w:rPr>
          <w:rStyle w:val="tlid-translation"/>
          <w:sz w:val="24"/>
          <w:szCs w:val="24"/>
          <w:lang w:val="el-GR"/>
        </w:rPr>
        <w:t xml:space="preserve"> </w:t>
      </w:r>
      <w:r w:rsidRPr="003A006D">
        <w:rPr>
          <w:rStyle w:val="tlid-translation"/>
          <w:sz w:val="24"/>
          <w:szCs w:val="24"/>
          <w:lang w:val="el-GR"/>
        </w:rPr>
        <w:t xml:space="preserve">που διενεργείται </w:t>
      </w:r>
      <w:r w:rsidR="00114A1F">
        <w:rPr>
          <w:rStyle w:val="tlid-translation"/>
          <w:sz w:val="24"/>
          <w:szCs w:val="24"/>
          <w:lang w:val="el-GR"/>
        </w:rPr>
        <w:t xml:space="preserve">στην Ελλάδα </w:t>
      </w:r>
      <w:r w:rsidRPr="003A006D">
        <w:rPr>
          <w:rStyle w:val="tlid-translation"/>
          <w:sz w:val="24"/>
          <w:szCs w:val="24"/>
          <w:lang w:val="el-GR"/>
        </w:rPr>
        <w:t>από την Ελληνική Στατιστική Αρχή, και αποτελεί τη βασική πηγή αναφοράς των συγκριτικών στατιστικών για την κατανομή του εισοδήματος και τον κοινωνικό αποκλεισμό σε εθνικό και ευρωπαϊκό επίπεδο.</w:t>
      </w:r>
    </w:p>
    <w:p w14:paraId="2B95F73A" w14:textId="77777777" w:rsidR="00114A1F" w:rsidRPr="003A006D" w:rsidRDefault="00114A1F" w:rsidP="003A006D">
      <w:pPr>
        <w:pStyle w:val="a9"/>
        <w:ind w:left="142"/>
        <w:jc w:val="both"/>
        <w:rPr>
          <w:rStyle w:val="tlid-translation"/>
          <w:sz w:val="24"/>
          <w:szCs w:val="24"/>
          <w:lang w:val="el-GR"/>
        </w:rPr>
      </w:pPr>
    </w:p>
    <w:p w14:paraId="333A26F7" w14:textId="77777777" w:rsidR="003A006D" w:rsidRDefault="003A006D" w:rsidP="003A006D">
      <w:pPr>
        <w:pStyle w:val="a9"/>
        <w:ind w:left="142"/>
        <w:jc w:val="both"/>
        <w:rPr>
          <w:rStyle w:val="tlid-translation"/>
          <w:sz w:val="24"/>
          <w:szCs w:val="24"/>
          <w:lang w:val="el-GR"/>
        </w:rPr>
      </w:pPr>
      <w:r w:rsidRPr="003A006D">
        <w:rPr>
          <w:rStyle w:val="tlid-translation"/>
          <w:sz w:val="24"/>
          <w:szCs w:val="24"/>
          <w:lang w:val="el-GR"/>
        </w:rPr>
        <w:t xml:space="preserve">Ειδικότερα, εξετάζεται ο σύνθετος δείκτης «Πληθυσμός σε κίνδυνο φτώχειας ή </w:t>
      </w:r>
      <w:r w:rsidR="00114A1F">
        <w:rPr>
          <w:rStyle w:val="tlid-translation"/>
          <w:sz w:val="24"/>
          <w:szCs w:val="24"/>
          <w:lang w:val="el-GR"/>
        </w:rPr>
        <w:t xml:space="preserve">σε </w:t>
      </w:r>
      <w:r w:rsidRPr="003A006D">
        <w:rPr>
          <w:rStyle w:val="tlid-translation"/>
          <w:sz w:val="24"/>
          <w:szCs w:val="24"/>
          <w:lang w:val="el-GR"/>
        </w:rPr>
        <w:t xml:space="preserve">κοινωνικό αποκλεισμό», ο οποίος αποτελεί δείκτη αναφοράς της «Ευρωπαϊκής στρατηγικής 2020» για την καταπολέμηση της φτώχειας και του κοινωνικού αποκλεισμού, </w:t>
      </w:r>
      <w:r w:rsidR="00E904D7">
        <w:rPr>
          <w:rStyle w:val="tlid-translation"/>
          <w:sz w:val="24"/>
          <w:szCs w:val="24"/>
          <w:lang w:val="el-GR"/>
        </w:rPr>
        <w:t xml:space="preserve">και αναλύονται </w:t>
      </w:r>
      <w:r w:rsidRPr="003A006D">
        <w:rPr>
          <w:rStyle w:val="tlid-translation"/>
          <w:sz w:val="24"/>
          <w:szCs w:val="24"/>
          <w:lang w:val="el-GR"/>
        </w:rPr>
        <w:t xml:space="preserve">και οι επιμέρους συνιστώσες που τον απαρτίζουν. </w:t>
      </w:r>
      <w:r w:rsidR="00114A1F">
        <w:rPr>
          <w:rStyle w:val="tlid-translation"/>
          <w:sz w:val="24"/>
          <w:szCs w:val="24"/>
          <w:lang w:val="el-GR"/>
        </w:rPr>
        <w:t>Αναλυτικότερα, προκειμένου να αποτυπωθεί το βιοτικό επίπεδο του πληθυσμού, στον δείκτη λαμβάνονται υπόψη: ο κίνδυνος φτώχειας σε όρους ονομαστικού εισοδήματος (σχετική φτώχεια), οι υλικές στερήσεις που αντιμετωπίζουν τα νοικοκυριά, καθώς και η ένταση της εργασίας των μελών των νοικοκυριών</w:t>
      </w:r>
      <w:r w:rsidR="008714E2">
        <w:rPr>
          <w:rStyle w:val="tlid-translation"/>
          <w:sz w:val="24"/>
          <w:szCs w:val="24"/>
          <w:lang w:val="el-GR"/>
        </w:rPr>
        <w:t>.</w:t>
      </w:r>
    </w:p>
    <w:p w14:paraId="58F5A2BA" w14:textId="77777777" w:rsidR="00114A1F" w:rsidRPr="003A006D" w:rsidRDefault="00114A1F" w:rsidP="003A006D">
      <w:pPr>
        <w:pStyle w:val="a9"/>
        <w:ind w:left="142"/>
        <w:jc w:val="both"/>
        <w:rPr>
          <w:rStyle w:val="tlid-translation"/>
          <w:sz w:val="24"/>
          <w:szCs w:val="24"/>
          <w:lang w:val="el-GR"/>
        </w:rPr>
      </w:pPr>
    </w:p>
    <w:p w14:paraId="6270A0F8" w14:textId="77777777" w:rsidR="003A006D" w:rsidRDefault="003A006D" w:rsidP="003A006D">
      <w:pPr>
        <w:pStyle w:val="a9"/>
        <w:ind w:left="142"/>
        <w:jc w:val="both"/>
        <w:rPr>
          <w:rStyle w:val="tlid-translation"/>
          <w:sz w:val="24"/>
          <w:szCs w:val="24"/>
          <w:lang w:val="el-GR"/>
        </w:rPr>
      </w:pPr>
      <w:r w:rsidRPr="003A006D">
        <w:rPr>
          <w:rStyle w:val="tlid-translation"/>
          <w:sz w:val="24"/>
          <w:szCs w:val="24"/>
          <w:lang w:val="el-GR"/>
        </w:rPr>
        <w:t>Στην Έρευνα αναφοράς η πληθυσμιακή ομάδα των ατόμων με αναπηρία προσεγγίζεται στατιστικά με τον δείκτη GALI (</w:t>
      </w:r>
      <w:proofErr w:type="spellStart"/>
      <w:r w:rsidRPr="003A006D">
        <w:rPr>
          <w:rStyle w:val="tlid-translation"/>
          <w:sz w:val="24"/>
          <w:szCs w:val="24"/>
          <w:lang w:val="el-GR"/>
        </w:rPr>
        <w:t>Global</w:t>
      </w:r>
      <w:proofErr w:type="spellEnd"/>
      <w:r w:rsidRPr="003A006D">
        <w:rPr>
          <w:rStyle w:val="tlid-translation"/>
          <w:sz w:val="24"/>
          <w:szCs w:val="24"/>
          <w:lang w:val="el-GR"/>
        </w:rPr>
        <w:t xml:space="preserve"> </w:t>
      </w:r>
      <w:proofErr w:type="spellStart"/>
      <w:r w:rsidRPr="003A006D">
        <w:rPr>
          <w:rStyle w:val="tlid-translation"/>
          <w:sz w:val="24"/>
          <w:szCs w:val="24"/>
          <w:lang w:val="el-GR"/>
        </w:rPr>
        <w:t>Activity</w:t>
      </w:r>
      <w:proofErr w:type="spellEnd"/>
      <w:r w:rsidRPr="003A006D">
        <w:rPr>
          <w:rStyle w:val="tlid-translation"/>
          <w:sz w:val="24"/>
          <w:szCs w:val="24"/>
          <w:lang w:val="el-GR"/>
        </w:rPr>
        <w:t xml:space="preserve"> </w:t>
      </w:r>
      <w:proofErr w:type="spellStart"/>
      <w:r w:rsidRPr="003A006D">
        <w:rPr>
          <w:rStyle w:val="tlid-translation"/>
          <w:sz w:val="24"/>
          <w:szCs w:val="24"/>
          <w:lang w:val="el-GR"/>
        </w:rPr>
        <w:t>Limitation</w:t>
      </w:r>
      <w:proofErr w:type="spellEnd"/>
      <w:r w:rsidRPr="003A006D">
        <w:rPr>
          <w:rStyle w:val="tlid-translation"/>
          <w:sz w:val="24"/>
          <w:szCs w:val="24"/>
          <w:lang w:val="el-GR"/>
        </w:rPr>
        <w:t xml:space="preserve"> </w:t>
      </w:r>
      <w:proofErr w:type="spellStart"/>
      <w:r w:rsidRPr="003A006D">
        <w:rPr>
          <w:rStyle w:val="tlid-translation"/>
          <w:sz w:val="24"/>
          <w:szCs w:val="24"/>
          <w:lang w:val="el-GR"/>
        </w:rPr>
        <w:t>Index</w:t>
      </w:r>
      <w:proofErr w:type="spellEnd"/>
      <w:r w:rsidRPr="003A006D">
        <w:rPr>
          <w:rStyle w:val="tlid-translation"/>
          <w:sz w:val="24"/>
          <w:szCs w:val="24"/>
          <w:lang w:val="el-GR"/>
        </w:rPr>
        <w:t xml:space="preserve">). Πρόκειται για έναν έμμεσο δείκτη προσδιορισμού της αναπηρίας, ο οποίος βασίζεται στην </w:t>
      </w:r>
      <w:proofErr w:type="spellStart"/>
      <w:r w:rsidRPr="003A006D">
        <w:rPr>
          <w:rStyle w:val="tlid-translation"/>
          <w:sz w:val="24"/>
          <w:szCs w:val="24"/>
          <w:lang w:val="el-GR"/>
        </w:rPr>
        <w:t>αυτοαναφορά</w:t>
      </w:r>
      <w:proofErr w:type="spellEnd"/>
      <w:r w:rsidRPr="003A006D">
        <w:rPr>
          <w:rStyle w:val="tlid-translation"/>
          <w:sz w:val="24"/>
          <w:szCs w:val="24"/>
          <w:lang w:val="el-GR"/>
        </w:rPr>
        <w:t xml:space="preserve"> περιορισμού της συνήθους δραστηριότητας του ατόμου, εξαιτίας προβλημάτων υγείας.</w:t>
      </w:r>
    </w:p>
    <w:p w14:paraId="15DC3D69" w14:textId="77777777" w:rsidR="00114A1F" w:rsidRPr="003A006D" w:rsidRDefault="00114A1F" w:rsidP="003A006D">
      <w:pPr>
        <w:pStyle w:val="a9"/>
        <w:ind w:left="142"/>
        <w:jc w:val="both"/>
        <w:rPr>
          <w:rStyle w:val="tlid-translation"/>
          <w:sz w:val="24"/>
          <w:szCs w:val="24"/>
          <w:lang w:val="el-GR"/>
        </w:rPr>
      </w:pPr>
    </w:p>
    <w:p w14:paraId="3D2CAD87" w14:textId="77777777" w:rsidR="003A006D" w:rsidRPr="003A006D" w:rsidRDefault="003A006D" w:rsidP="003A006D">
      <w:pPr>
        <w:pStyle w:val="a9"/>
        <w:ind w:left="142"/>
        <w:jc w:val="both"/>
        <w:rPr>
          <w:rStyle w:val="tlid-translation"/>
          <w:sz w:val="24"/>
          <w:szCs w:val="24"/>
          <w:lang w:val="el-GR"/>
        </w:rPr>
      </w:pPr>
      <w:r w:rsidRPr="003A006D">
        <w:rPr>
          <w:rStyle w:val="tlid-translation"/>
          <w:sz w:val="24"/>
          <w:szCs w:val="24"/>
          <w:lang w:val="el-GR"/>
        </w:rPr>
        <w:lastRenderedPageBreak/>
        <w:t xml:space="preserve">Κατά το έτος 2019, η έρευνα διενεργήθηκε </w:t>
      </w:r>
      <w:r w:rsidR="00E904D7">
        <w:rPr>
          <w:rStyle w:val="tlid-translation"/>
          <w:sz w:val="24"/>
          <w:szCs w:val="24"/>
          <w:lang w:val="el-GR"/>
        </w:rPr>
        <w:t xml:space="preserve">από την Ελληνική Στατιστική Αρχή </w:t>
      </w:r>
      <w:r w:rsidRPr="003A006D">
        <w:rPr>
          <w:rStyle w:val="tlid-translation"/>
          <w:sz w:val="24"/>
          <w:szCs w:val="24"/>
          <w:lang w:val="el-GR"/>
        </w:rPr>
        <w:t xml:space="preserve">σε τελικό δείγμα 17.914 νοικοκυριών και σε 39.603 μέλη των νοικοκυριών αυτών, εκ των οποίων 34.836 ηλικίας 16 ετών και άνω. </w:t>
      </w:r>
    </w:p>
    <w:p w14:paraId="7609D959" w14:textId="77777777" w:rsidR="00114A1F" w:rsidRDefault="00114A1F" w:rsidP="003A006D">
      <w:pPr>
        <w:pStyle w:val="a9"/>
        <w:ind w:left="142"/>
        <w:jc w:val="both"/>
        <w:rPr>
          <w:rStyle w:val="tlid-translation"/>
          <w:sz w:val="24"/>
          <w:szCs w:val="24"/>
          <w:lang w:val="el-GR"/>
        </w:rPr>
      </w:pPr>
    </w:p>
    <w:p w14:paraId="72E42C35" w14:textId="77777777" w:rsidR="001D00EE" w:rsidRPr="00BD0FA7" w:rsidRDefault="002F77B6" w:rsidP="00D34ABE">
      <w:pPr>
        <w:pStyle w:val="a5"/>
        <w:spacing w:before="600"/>
        <w:jc w:val="center"/>
        <w:rPr>
          <w:b/>
          <w:sz w:val="28"/>
          <w:szCs w:val="28"/>
          <w:u w:val="single"/>
          <w:lang w:val="el-GR"/>
        </w:rPr>
      </w:pPr>
      <w:r w:rsidRPr="00BD0FA7">
        <w:rPr>
          <w:b/>
          <w:sz w:val="28"/>
          <w:szCs w:val="28"/>
          <w:u w:val="single"/>
          <w:lang w:val="el-GR"/>
        </w:rPr>
        <w:t>ΒΑΣΙΚΑ ΕΥΡΥΜΑΤΑ</w:t>
      </w:r>
    </w:p>
    <w:p w14:paraId="3680D747" w14:textId="77777777" w:rsidR="008714E2" w:rsidRDefault="008714E2" w:rsidP="008714E2">
      <w:pPr>
        <w:rPr>
          <w:lang w:val="el-GR"/>
        </w:rPr>
      </w:pPr>
    </w:p>
    <w:p w14:paraId="07CF9989" w14:textId="77777777" w:rsidR="008714E2" w:rsidRDefault="008714E2" w:rsidP="008714E2">
      <w:pPr>
        <w:pStyle w:val="a9"/>
        <w:ind w:left="142"/>
        <w:jc w:val="both"/>
        <w:rPr>
          <w:rStyle w:val="tlid-translation"/>
          <w:sz w:val="24"/>
          <w:szCs w:val="24"/>
          <w:lang w:val="el-GR"/>
        </w:rPr>
      </w:pPr>
      <w:r w:rsidRPr="003A006D">
        <w:rPr>
          <w:rStyle w:val="tlid-translation"/>
          <w:sz w:val="24"/>
          <w:szCs w:val="24"/>
          <w:lang w:val="el-GR"/>
        </w:rPr>
        <w:t xml:space="preserve">Σύμφωνα με τα στοιχεία του </w:t>
      </w:r>
      <w:r>
        <w:rPr>
          <w:rStyle w:val="tlid-translation"/>
          <w:sz w:val="24"/>
          <w:szCs w:val="24"/>
          <w:lang w:val="el-GR"/>
        </w:rPr>
        <w:t xml:space="preserve">έτους </w:t>
      </w:r>
      <w:r w:rsidRPr="003A006D">
        <w:rPr>
          <w:rStyle w:val="tlid-translation"/>
          <w:sz w:val="24"/>
          <w:szCs w:val="24"/>
          <w:lang w:val="el-GR"/>
        </w:rPr>
        <w:t xml:space="preserve">2019, το ποσοστό των ατόμων με αναπηρία/περιορισμό της συνήθους δραστηριότητας εξαιτίας προβλήματος υγείας ανέρχεται σε 23,2%, του πληθυσμού ηλικίας 16 ετών και άνω. Εξ αυτών, 846.010 άτομα αναφέρουν σοβαρή αναπηρία (9,5%) και 1.210.404 άτομα </w:t>
      </w:r>
      <w:r>
        <w:rPr>
          <w:rStyle w:val="tlid-translation"/>
          <w:sz w:val="24"/>
          <w:szCs w:val="24"/>
          <w:lang w:val="el-GR"/>
        </w:rPr>
        <w:t>αντιμετωπίζουν</w:t>
      </w:r>
      <w:r w:rsidRPr="003A006D">
        <w:rPr>
          <w:rStyle w:val="tlid-translation"/>
          <w:sz w:val="24"/>
          <w:szCs w:val="24"/>
          <w:lang w:val="el-GR"/>
        </w:rPr>
        <w:t xml:space="preserve"> μέτριο περιορισμό δραστηριότητας /αναπηρία (13,7%).</w:t>
      </w:r>
    </w:p>
    <w:p w14:paraId="4241CEF9" w14:textId="77777777" w:rsidR="008714E2" w:rsidRPr="008714E2" w:rsidRDefault="008714E2" w:rsidP="008714E2">
      <w:pPr>
        <w:rPr>
          <w:lang w:val="el-GR"/>
        </w:rPr>
      </w:pPr>
    </w:p>
    <w:p w14:paraId="71ADF4C1" w14:textId="77777777" w:rsidR="005F5798" w:rsidRPr="009A5083" w:rsidRDefault="005127E0" w:rsidP="008714E2">
      <w:pPr>
        <w:jc w:val="both"/>
        <w:rPr>
          <w:b/>
          <w:sz w:val="24"/>
          <w:szCs w:val="24"/>
          <w:u w:val="single"/>
          <w:lang w:val="el-GR"/>
        </w:rPr>
      </w:pPr>
      <w:r w:rsidRPr="009A5083">
        <w:rPr>
          <w:b/>
          <w:sz w:val="24"/>
          <w:szCs w:val="24"/>
          <w:u w:val="single"/>
          <w:lang w:val="el-GR"/>
        </w:rPr>
        <w:t xml:space="preserve">Σύνθετος δείκτης </w:t>
      </w:r>
      <w:r w:rsidR="00BD0FA7">
        <w:rPr>
          <w:b/>
          <w:sz w:val="24"/>
          <w:szCs w:val="24"/>
          <w:u w:val="single"/>
          <w:lang w:val="el-GR"/>
        </w:rPr>
        <w:t xml:space="preserve"> «</w:t>
      </w:r>
      <w:r w:rsidR="008714E2" w:rsidRPr="009A5083">
        <w:rPr>
          <w:b/>
          <w:sz w:val="24"/>
          <w:szCs w:val="24"/>
          <w:u w:val="single"/>
          <w:lang w:val="el-GR"/>
        </w:rPr>
        <w:t>Ποσοστό πληθυσμού σε κίνδυνο φτώχειας ή σε κοινωνικό αποκλεισμό</w:t>
      </w:r>
      <w:r w:rsidR="00BD0FA7">
        <w:rPr>
          <w:b/>
          <w:sz w:val="24"/>
          <w:szCs w:val="24"/>
          <w:u w:val="single"/>
          <w:lang w:val="el-GR"/>
        </w:rPr>
        <w:t>»</w:t>
      </w:r>
    </w:p>
    <w:p w14:paraId="39938933" w14:textId="77777777" w:rsidR="00536239" w:rsidRDefault="00536239" w:rsidP="00536239">
      <w:pPr>
        <w:jc w:val="both"/>
        <w:rPr>
          <w:sz w:val="24"/>
          <w:szCs w:val="24"/>
          <w:lang w:val="el-GR"/>
        </w:rPr>
      </w:pPr>
      <w:r w:rsidRPr="009A5083">
        <w:rPr>
          <w:b/>
          <w:sz w:val="24"/>
          <w:szCs w:val="24"/>
          <w:lang w:val="el-GR"/>
        </w:rPr>
        <w:t>Το 2019</w:t>
      </w:r>
      <w:r w:rsidR="00814404" w:rsidRPr="009A5083">
        <w:rPr>
          <w:b/>
          <w:sz w:val="24"/>
          <w:szCs w:val="24"/>
          <w:lang w:val="el-GR"/>
        </w:rPr>
        <w:t>, σ</w:t>
      </w:r>
      <w:r w:rsidRPr="009A5083">
        <w:rPr>
          <w:b/>
          <w:sz w:val="24"/>
          <w:szCs w:val="24"/>
          <w:lang w:val="el-GR"/>
        </w:rPr>
        <w:t xml:space="preserve">το φάσμα της φτώχειας και του αποκλεισμού βρίσκονται οι 6 στους </w:t>
      </w:r>
      <w:r w:rsidR="00814404" w:rsidRPr="009A5083">
        <w:rPr>
          <w:b/>
          <w:sz w:val="24"/>
          <w:szCs w:val="24"/>
          <w:lang w:val="el-GR"/>
        </w:rPr>
        <w:t>10 πολίτες με σοβαρή αναπηρία</w:t>
      </w:r>
      <w:r w:rsidR="00814404" w:rsidRPr="009A5083">
        <w:rPr>
          <w:sz w:val="24"/>
          <w:szCs w:val="24"/>
          <w:lang w:val="el-GR"/>
        </w:rPr>
        <w:t xml:space="preserve">, </w:t>
      </w:r>
      <w:r w:rsidRPr="009A5083">
        <w:rPr>
          <w:sz w:val="24"/>
          <w:szCs w:val="24"/>
          <w:lang w:val="el-GR"/>
        </w:rPr>
        <w:t xml:space="preserve">ηλικίας 16 έως 64 ετών,  καταγράφοντας σχεδόν διπλάσιο ποσοστό σε σύγκριση με τους πολίτες χωρίς αναπηρία. </w:t>
      </w:r>
    </w:p>
    <w:p w14:paraId="6C033162" w14:textId="77777777" w:rsidR="00F021AB" w:rsidRDefault="00F021AB" w:rsidP="00AA71C3">
      <w:pPr>
        <w:tabs>
          <w:tab w:val="left" w:pos="3279"/>
        </w:tabs>
        <w:jc w:val="both"/>
        <w:rPr>
          <w:sz w:val="24"/>
          <w:szCs w:val="24"/>
          <w:lang w:val="el-GR"/>
        </w:rPr>
      </w:pPr>
    </w:p>
    <w:p w14:paraId="518A5DDC" w14:textId="77777777" w:rsidR="00AA71C3" w:rsidRPr="00F021AB" w:rsidRDefault="00AA71C3" w:rsidP="00AA71C3">
      <w:pPr>
        <w:tabs>
          <w:tab w:val="left" w:pos="3279"/>
        </w:tabs>
        <w:jc w:val="both"/>
        <w:rPr>
          <w:sz w:val="24"/>
          <w:szCs w:val="24"/>
          <w:lang w:val="el-GR"/>
        </w:rPr>
      </w:pPr>
      <w:r w:rsidRPr="009A5083">
        <w:rPr>
          <w:sz w:val="24"/>
          <w:szCs w:val="24"/>
          <w:lang w:val="el-GR"/>
        </w:rPr>
        <w:t xml:space="preserve">Πιο αναλυτικά ανά ηλικιακή κατηγορία, σε κίνδυνο φτώχειας ή κοινωνικού αποκλεισμού βρίσκεται: </w:t>
      </w:r>
    </w:p>
    <w:p w14:paraId="443F9212" w14:textId="77777777" w:rsidR="00AA71C3" w:rsidRPr="009A5083" w:rsidRDefault="00AA71C3" w:rsidP="00F4074C">
      <w:pPr>
        <w:pStyle w:val="a9"/>
        <w:numPr>
          <w:ilvl w:val="0"/>
          <w:numId w:val="12"/>
        </w:numPr>
        <w:rPr>
          <w:sz w:val="24"/>
          <w:szCs w:val="24"/>
          <w:lang w:val="el-GR"/>
        </w:rPr>
      </w:pPr>
      <w:r w:rsidRPr="00745309">
        <w:rPr>
          <w:b/>
          <w:sz w:val="24"/>
          <w:szCs w:val="24"/>
          <w:lang w:val="el-GR"/>
        </w:rPr>
        <w:t>Το 69,2% του πληθυσμού με σοβαρή αναπηρία 25-34 ετών</w:t>
      </w:r>
      <w:r w:rsidRPr="009A5083">
        <w:rPr>
          <w:sz w:val="24"/>
          <w:szCs w:val="24"/>
          <w:lang w:val="el-GR"/>
        </w:rPr>
        <w:t xml:space="preserve"> (έναντι του 32% του πληθυσμού χωρίς αναπηρία),</w:t>
      </w:r>
    </w:p>
    <w:p w14:paraId="55D38B83" w14:textId="77777777" w:rsidR="00AA71C3" w:rsidRPr="009A5083" w:rsidRDefault="00AA71C3" w:rsidP="00F4074C">
      <w:pPr>
        <w:pStyle w:val="a9"/>
        <w:numPr>
          <w:ilvl w:val="0"/>
          <w:numId w:val="12"/>
        </w:numPr>
        <w:rPr>
          <w:sz w:val="24"/>
          <w:szCs w:val="24"/>
          <w:lang w:val="el-GR"/>
        </w:rPr>
      </w:pPr>
      <w:r w:rsidRPr="00745309">
        <w:rPr>
          <w:b/>
          <w:sz w:val="24"/>
          <w:szCs w:val="24"/>
          <w:lang w:val="el-GR"/>
        </w:rPr>
        <w:t>Το 67,6% του πληθυσμού με σοβαρή αναπηρία 35-44 ετών</w:t>
      </w:r>
      <w:r w:rsidRPr="009A5083">
        <w:rPr>
          <w:sz w:val="24"/>
          <w:szCs w:val="24"/>
          <w:lang w:val="el-GR"/>
        </w:rPr>
        <w:t xml:space="preserve"> (έναντι του 26,4% του πληθυσμού χωρίς αναπηρία),</w:t>
      </w:r>
    </w:p>
    <w:p w14:paraId="2F9C0BAA" w14:textId="77777777" w:rsidR="00AA71C3" w:rsidRPr="009A5083" w:rsidRDefault="00AA71C3" w:rsidP="00F4074C">
      <w:pPr>
        <w:pStyle w:val="a9"/>
        <w:numPr>
          <w:ilvl w:val="0"/>
          <w:numId w:val="12"/>
        </w:numPr>
        <w:rPr>
          <w:sz w:val="24"/>
          <w:szCs w:val="24"/>
          <w:lang w:val="el-GR"/>
        </w:rPr>
      </w:pPr>
      <w:r w:rsidRPr="00745309">
        <w:rPr>
          <w:b/>
          <w:sz w:val="24"/>
          <w:szCs w:val="24"/>
          <w:lang w:val="el-GR"/>
        </w:rPr>
        <w:t>Το 58,6% του πληθυσμού με σοβαρή αναπηρία 45-54 ετών</w:t>
      </w:r>
      <w:r w:rsidRPr="009A5083">
        <w:rPr>
          <w:sz w:val="24"/>
          <w:szCs w:val="24"/>
          <w:lang w:val="el-GR"/>
        </w:rPr>
        <w:t xml:space="preserve"> (έναντι του 28,6% του πληθυσμού χωρίς αναπηρία),</w:t>
      </w:r>
    </w:p>
    <w:p w14:paraId="107841E4" w14:textId="77777777" w:rsidR="00AA71C3" w:rsidRPr="009A5083" w:rsidRDefault="00AA71C3" w:rsidP="00F4074C">
      <w:pPr>
        <w:pStyle w:val="a9"/>
        <w:numPr>
          <w:ilvl w:val="0"/>
          <w:numId w:val="12"/>
        </w:numPr>
        <w:rPr>
          <w:sz w:val="24"/>
          <w:szCs w:val="24"/>
          <w:lang w:val="el-GR"/>
        </w:rPr>
      </w:pPr>
      <w:r w:rsidRPr="00745309">
        <w:rPr>
          <w:b/>
          <w:sz w:val="24"/>
          <w:szCs w:val="24"/>
          <w:lang w:val="el-GR"/>
        </w:rPr>
        <w:t>Το 50,9% του πληθυσμού με σοβαρή αναπηρία 55-64 ετών</w:t>
      </w:r>
      <w:r w:rsidRPr="009A5083">
        <w:rPr>
          <w:sz w:val="24"/>
          <w:szCs w:val="24"/>
          <w:lang w:val="el-GR"/>
        </w:rPr>
        <w:t xml:space="preserve"> (έναντι του 32,8% του πληθυσμού χωρίς αναπηρία).</w:t>
      </w:r>
    </w:p>
    <w:p w14:paraId="70848617" w14:textId="77777777" w:rsidR="00E50AB6" w:rsidRDefault="00E50AB6" w:rsidP="00E50AB6">
      <w:pPr>
        <w:pStyle w:val="a9"/>
        <w:ind w:left="360"/>
        <w:jc w:val="both"/>
        <w:rPr>
          <w:rFonts w:ascii="Times New Roman" w:hAnsi="Times New Roman"/>
          <w:sz w:val="24"/>
          <w:szCs w:val="24"/>
          <w:lang w:val="el-GR"/>
        </w:rPr>
      </w:pPr>
    </w:p>
    <w:p w14:paraId="29F4F6F4" w14:textId="77777777" w:rsidR="00D86E20" w:rsidRDefault="00D86E20">
      <w:pPr>
        <w:rPr>
          <w:sz w:val="24"/>
          <w:szCs w:val="24"/>
          <w:lang w:val="el-GR"/>
        </w:rPr>
      </w:pPr>
      <w:r>
        <w:rPr>
          <w:sz w:val="24"/>
          <w:szCs w:val="24"/>
          <w:lang w:val="el-GR"/>
        </w:rPr>
        <w:br w:type="page"/>
      </w:r>
    </w:p>
    <w:p w14:paraId="4D6637D8" w14:textId="6BCCC6D6" w:rsidR="00F021AB" w:rsidRPr="00F021AB" w:rsidRDefault="00F021AB" w:rsidP="00F021AB">
      <w:pPr>
        <w:ind w:left="142"/>
        <w:jc w:val="both"/>
        <w:rPr>
          <w:sz w:val="24"/>
          <w:szCs w:val="24"/>
          <w:lang w:val="el-GR"/>
        </w:rPr>
      </w:pPr>
      <w:r w:rsidRPr="00F021AB">
        <w:rPr>
          <w:sz w:val="24"/>
          <w:szCs w:val="24"/>
          <w:lang w:val="el-GR"/>
        </w:rPr>
        <w:lastRenderedPageBreak/>
        <w:t>Η διαχρονική εξέλιξη του δείκτη καταδεικνύει τις ασύμμετρες επιπτώσεις της δεκαετούς οικονομικής κρίσης στα άτομα με σοβαρή αναπηρία που είχαν ως αποτέλεσμα τη δραματική αύξηση του φτώχειας και κοινωνικού αποκλεισμού το διάστημα 2010-2019</w:t>
      </w:r>
      <w:r w:rsidR="00BD0FA7">
        <w:rPr>
          <w:sz w:val="24"/>
          <w:szCs w:val="24"/>
          <w:lang w:val="el-GR"/>
        </w:rPr>
        <w:t>,</w:t>
      </w:r>
      <w:r w:rsidRPr="00F021AB">
        <w:rPr>
          <w:sz w:val="24"/>
          <w:szCs w:val="24"/>
          <w:lang w:val="el-GR"/>
        </w:rPr>
        <w:t xml:space="preserve"> κατά 14 ποσοστιαίες μονάδες  (από 43,3 σε 57,2). </w:t>
      </w:r>
    </w:p>
    <w:p w14:paraId="6579278B" w14:textId="77777777" w:rsidR="00273E07" w:rsidRDefault="00F021AB" w:rsidP="00F021AB">
      <w:pPr>
        <w:pStyle w:val="a9"/>
        <w:ind w:left="142"/>
        <w:jc w:val="both"/>
        <w:rPr>
          <w:sz w:val="24"/>
          <w:szCs w:val="24"/>
          <w:lang w:val="el-GR"/>
        </w:rPr>
      </w:pPr>
      <w:r>
        <w:rPr>
          <w:sz w:val="24"/>
          <w:szCs w:val="24"/>
          <w:lang w:val="el-GR"/>
        </w:rPr>
        <w:t xml:space="preserve">Περισσότερο </w:t>
      </w:r>
      <w:r w:rsidRPr="00F021AB">
        <w:rPr>
          <w:sz w:val="24"/>
          <w:szCs w:val="24"/>
          <w:lang w:val="el-GR"/>
        </w:rPr>
        <w:t xml:space="preserve">ανησυχητικό είναι το </w:t>
      </w:r>
      <w:r>
        <w:rPr>
          <w:sz w:val="24"/>
          <w:szCs w:val="24"/>
          <w:lang w:val="el-GR"/>
        </w:rPr>
        <w:t>εύρημα ότι:</w:t>
      </w:r>
      <w:r w:rsidR="00620B00">
        <w:rPr>
          <w:sz w:val="24"/>
          <w:szCs w:val="24"/>
          <w:lang w:val="el-GR"/>
        </w:rPr>
        <w:t xml:space="preserve"> </w:t>
      </w:r>
    </w:p>
    <w:p w14:paraId="73EEE3AC" w14:textId="77777777" w:rsidR="00273E07" w:rsidRDefault="00273E07" w:rsidP="00F021AB">
      <w:pPr>
        <w:pStyle w:val="a9"/>
        <w:ind w:left="142"/>
        <w:jc w:val="both"/>
        <w:rPr>
          <w:sz w:val="24"/>
          <w:szCs w:val="24"/>
          <w:lang w:val="el-GR"/>
        </w:rPr>
      </w:pPr>
    </w:p>
    <w:p w14:paraId="2EA13812" w14:textId="77777777" w:rsidR="00BD0FA7" w:rsidRDefault="00273E07" w:rsidP="00F021AB">
      <w:pPr>
        <w:pStyle w:val="a9"/>
        <w:ind w:left="142"/>
        <w:jc w:val="both"/>
        <w:rPr>
          <w:sz w:val="24"/>
          <w:szCs w:val="24"/>
          <w:lang w:val="el-GR"/>
        </w:rPr>
      </w:pPr>
      <w:r>
        <w:rPr>
          <w:sz w:val="24"/>
          <w:szCs w:val="24"/>
          <w:lang w:val="el-GR"/>
        </w:rPr>
        <w:t>Τ</w:t>
      </w:r>
      <w:r w:rsidR="00F021AB" w:rsidRPr="00F021AB">
        <w:rPr>
          <w:sz w:val="24"/>
          <w:szCs w:val="24"/>
          <w:lang w:val="el-GR"/>
        </w:rPr>
        <w:t xml:space="preserve">ο διάστημα 2016-2019 </w:t>
      </w:r>
      <w:r>
        <w:rPr>
          <w:sz w:val="24"/>
          <w:szCs w:val="24"/>
          <w:lang w:val="el-GR"/>
        </w:rPr>
        <w:t xml:space="preserve">ενώ </w:t>
      </w:r>
      <w:r w:rsidR="00F021AB" w:rsidRPr="00F021AB">
        <w:rPr>
          <w:sz w:val="24"/>
          <w:szCs w:val="24"/>
          <w:lang w:val="el-GR"/>
        </w:rPr>
        <w:t xml:space="preserve">παρατηρείται μια </w:t>
      </w:r>
      <w:r>
        <w:rPr>
          <w:sz w:val="24"/>
          <w:szCs w:val="24"/>
          <w:lang w:val="el-GR"/>
        </w:rPr>
        <w:t>συνεχής</w:t>
      </w:r>
      <w:r w:rsidR="00F021AB" w:rsidRPr="00F021AB">
        <w:rPr>
          <w:sz w:val="24"/>
          <w:szCs w:val="24"/>
          <w:lang w:val="el-GR"/>
        </w:rPr>
        <w:t xml:space="preserve"> αποκλιμάκωση του ποσοστού κινδύνου φτώχειας ή κοινωνικού αποκλεισμού στον πληθυσμό των ατόμων χωρίς αναπηρία</w:t>
      </w:r>
      <w:r w:rsidR="00EB1273">
        <w:rPr>
          <w:sz w:val="24"/>
          <w:szCs w:val="24"/>
          <w:lang w:val="el-GR"/>
        </w:rPr>
        <w:t xml:space="preserve"> (-7 μονάδες)</w:t>
      </w:r>
      <w:r w:rsidR="00BD0FA7">
        <w:rPr>
          <w:sz w:val="24"/>
          <w:szCs w:val="24"/>
          <w:lang w:val="el-GR"/>
        </w:rPr>
        <w:t>,</w:t>
      </w:r>
      <w:r w:rsidR="00F021AB">
        <w:rPr>
          <w:sz w:val="24"/>
          <w:szCs w:val="24"/>
          <w:lang w:val="el-GR"/>
        </w:rPr>
        <w:t xml:space="preserve"> ως συνέπεια της βελτίωσης των οικονομικοκοινωνικών δεικτών της χώρας (αύξηση του </w:t>
      </w:r>
      <w:r w:rsidR="00BD0FA7">
        <w:rPr>
          <w:sz w:val="24"/>
          <w:szCs w:val="24"/>
          <w:lang w:val="el-GR"/>
        </w:rPr>
        <w:t>μέσου διαθέσιμου εισοδήματος</w:t>
      </w:r>
      <w:r w:rsidR="00F021AB">
        <w:rPr>
          <w:sz w:val="24"/>
          <w:szCs w:val="24"/>
          <w:lang w:val="el-GR"/>
        </w:rPr>
        <w:t xml:space="preserve">, μείωση της ανεργίας κ.α.), </w:t>
      </w:r>
      <w:r w:rsidR="00F021AB" w:rsidRPr="00F021AB">
        <w:rPr>
          <w:sz w:val="24"/>
          <w:szCs w:val="24"/>
          <w:lang w:val="el-GR"/>
        </w:rPr>
        <w:t xml:space="preserve">η </w:t>
      </w:r>
      <w:r w:rsidR="00F021AB" w:rsidRPr="00F021AB">
        <w:rPr>
          <w:b/>
          <w:sz w:val="24"/>
          <w:szCs w:val="24"/>
          <w:lang w:val="el-GR"/>
        </w:rPr>
        <w:t>τάση αυτή</w:t>
      </w:r>
      <w:r w:rsidR="00E904D7">
        <w:rPr>
          <w:b/>
          <w:sz w:val="24"/>
          <w:szCs w:val="24"/>
          <w:lang w:val="el-GR"/>
        </w:rPr>
        <w:t>,</w:t>
      </w:r>
      <w:r w:rsidR="00F021AB" w:rsidRPr="00F021AB">
        <w:rPr>
          <w:b/>
          <w:sz w:val="24"/>
          <w:szCs w:val="24"/>
          <w:lang w:val="el-GR"/>
        </w:rPr>
        <w:t xml:space="preserve"> </w:t>
      </w:r>
      <w:r w:rsidR="00E904D7">
        <w:rPr>
          <w:b/>
          <w:sz w:val="24"/>
          <w:szCs w:val="24"/>
          <w:lang w:val="el-GR"/>
        </w:rPr>
        <w:t xml:space="preserve">φαίνεται ότι </w:t>
      </w:r>
      <w:r w:rsidR="00F021AB" w:rsidRPr="00F021AB">
        <w:rPr>
          <w:b/>
          <w:sz w:val="24"/>
          <w:szCs w:val="24"/>
          <w:lang w:val="el-GR"/>
        </w:rPr>
        <w:t>αφήνει πίσω τα άτομα με αναπηρία</w:t>
      </w:r>
      <w:r w:rsidR="00620B00">
        <w:rPr>
          <w:b/>
          <w:sz w:val="24"/>
          <w:szCs w:val="24"/>
          <w:lang w:val="el-GR"/>
        </w:rPr>
        <w:t xml:space="preserve"> </w:t>
      </w:r>
      <w:r w:rsidR="00620B00" w:rsidRPr="00620B00">
        <w:rPr>
          <w:sz w:val="24"/>
          <w:szCs w:val="24"/>
          <w:lang w:val="el-GR"/>
        </w:rPr>
        <w:t>(βλ. γράφημα 3)</w:t>
      </w:r>
      <w:r w:rsidR="00F021AB" w:rsidRPr="00620B00">
        <w:rPr>
          <w:sz w:val="24"/>
          <w:szCs w:val="24"/>
          <w:lang w:val="el-GR"/>
        </w:rPr>
        <w:t xml:space="preserve">. </w:t>
      </w:r>
      <w:r w:rsidR="00F021AB">
        <w:rPr>
          <w:sz w:val="24"/>
          <w:szCs w:val="24"/>
          <w:lang w:val="el-GR"/>
        </w:rPr>
        <w:t xml:space="preserve"> </w:t>
      </w:r>
    </w:p>
    <w:p w14:paraId="79F0C44E" w14:textId="77777777" w:rsidR="00BD0FA7" w:rsidRDefault="00BD0FA7" w:rsidP="00F021AB">
      <w:pPr>
        <w:pStyle w:val="a9"/>
        <w:ind w:left="142"/>
        <w:jc w:val="both"/>
        <w:rPr>
          <w:sz w:val="24"/>
          <w:szCs w:val="24"/>
          <w:lang w:val="el-GR"/>
        </w:rPr>
      </w:pPr>
    </w:p>
    <w:p w14:paraId="24A7E643" w14:textId="77777777" w:rsidR="00EB1273" w:rsidRDefault="00E5558E" w:rsidP="00F021AB">
      <w:pPr>
        <w:pStyle w:val="a9"/>
        <w:ind w:left="142"/>
        <w:jc w:val="both"/>
        <w:rPr>
          <w:sz w:val="24"/>
          <w:szCs w:val="24"/>
          <w:lang w:val="el-GR"/>
        </w:rPr>
      </w:pPr>
      <w:r>
        <w:rPr>
          <w:sz w:val="24"/>
          <w:szCs w:val="24"/>
          <w:lang w:val="el-GR"/>
        </w:rPr>
        <w:t xml:space="preserve">Σε σχέση με το 2016 το ποσοστό φτώχειας ή αποκλεισμού </w:t>
      </w:r>
      <w:r w:rsidR="00620B00">
        <w:rPr>
          <w:sz w:val="24"/>
          <w:szCs w:val="24"/>
          <w:lang w:val="el-GR"/>
        </w:rPr>
        <w:t>στα άτομα με σοβαρή αναπηρία παραμένει σχεδόν αμετάβλητο (</w:t>
      </w:r>
      <w:r>
        <w:rPr>
          <w:sz w:val="24"/>
          <w:szCs w:val="24"/>
          <w:lang w:val="el-GR"/>
        </w:rPr>
        <w:t>μειώνεται κατά 1 μονάδα, μεταβολή που δεν θεωρείται στατιστικά σημαντική</w:t>
      </w:r>
      <w:r w:rsidR="00620B00">
        <w:rPr>
          <w:sz w:val="24"/>
          <w:szCs w:val="24"/>
          <w:lang w:val="el-GR"/>
        </w:rPr>
        <w:t>)</w:t>
      </w:r>
      <w:r>
        <w:rPr>
          <w:sz w:val="24"/>
          <w:szCs w:val="24"/>
          <w:lang w:val="el-GR"/>
        </w:rPr>
        <w:t xml:space="preserve">. </w:t>
      </w:r>
    </w:p>
    <w:p w14:paraId="583970FB" w14:textId="77777777" w:rsidR="00F021AB" w:rsidRDefault="00F021AB" w:rsidP="00273E07">
      <w:pPr>
        <w:ind w:left="142"/>
        <w:jc w:val="both"/>
        <w:rPr>
          <w:rFonts w:ascii="Times New Roman" w:hAnsi="Times New Roman"/>
          <w:sz w:val="24"/>
          <w:szCs w:val="24"/>
          <w:lang w:val="el-GR"/>
        </w:rPr>
      </w:pPr>
      <w:r w:rsidRPr="00BD0FA7">
        <w:rPr>
          <w:b/>
          <w:sz w:val="24"/>
          <w:szCs w:val="24"/>
          <w:lang w:val="el-GR"/>
        </w:rPr>
        <w:t>Σαν αποτέλεσμα έχουμε την εκ νέου διεύρυνση των ανισοτήτων, δηλαδή του χάσματος μεταξύ των ατόμων με σοβαρή αναπηρία και των ατόμων χωρίς αναπηρία</w:t>
      </w:r>
      <w:r w:rsidRPr="00F021AB">
        <w:rPr>
          <w:sz w:val="24"/>
          <w:szCs w:val="24"/>
          <w:lang w:val="el-GR"/>
        </w:rPr>
        <w:t>, ως προς τα επίπεδα της  φτώχειας και κοινωνικού αποκλεισμού</w:t>
      </w:r>
      <w:r w:rsidR="00273E07">
        <w:rPr>
          <w:sz w:val="24"/>
          <w:szCs w:val="24"/>
          <w:lang w:val="el-GR"/>
        </w:rPr>
        <w:t xml:space="preserve"> (βλ. γράφημα 4)</w:t>
      </w:r>
      <w:r w:rsidRPr="00F021AB">
        <w:rPr>
          <w:sz w:val="24"/>
          <w:szCs w:val="24"/>
          <w:lang w:val="el-GR"/>
        </w:rPr>
        <w:t xml:space="preserve">. </w:t>
      </w:r>
    </w:p>
    <w:p w14:paraId="2EB02274" w14:textId="77777777" w:rsidR="00F021AB" w:rsidRPr="005F5798" w:rsidRDefault="00F021AB" w:rsidP="00E50AB6">
      <w:pPr>
        <w:pStyle w:val="a9"/>
        <w:ind w:left="360"/>
        <w:jc w:val="both"/>
        <w:rPr>
          <w:rFonts w:ascii="Times New Roman" w:hAnsi="Times New Roman"/>
          <w:sz w:val="24"/>
          <w:szCs w:val="24"/>
          <w:lang w:val="el-GR"/>
        </w:rPr>
      </w:pPr>
    </w:p>
    <w:p w14:paraId="36268ABE" w14:textId="77777777" w:rsidR="005127E0" w:rsidRDefault="00E07CD8" w:rsidP="00E50AB6">
      <w:pPr>
        <w:jc w:val="both"/>
        <w:rPr>
          <w:b/>
          <w:sz w:val="24"/>
          <w:szCs w:val="24"/>
          <w:u w:val="single"/>
          <w:lang w:val="el-GR"/>
        </w:rPr>
      </w:pPr>
      <w:r w:rsidRPr="00E07CD8">
        <w:rPr>
          <w:b/>
          <w:sz w:val="24"/>
          <w:szCs w:val="24"/>
          <w:u w:val="single"/>
          <w:lang w:val="el-GR"/>
        </w:rPr>
        <w:t xml:space="preserve">Ποσοστό </w:t>
      </w:r>
      <w:r w:rsidR="00BD0FA7">
        <w:rPr>
          <w:b/>
          <w:sz w:val="24"/>
          <w:szCs w:val="24"/>
          <w:u w:val="single"/>
          <w:lang w:val="el-GR"/>
        </w:rPr>
        <w:t>Κινδύνου</w:t>
      </w:r>
      <w:r w:rsidR="005127E0" w:rsidRPr="00E07CD8">
        <w:rPr>
          <w:b/>
          <w:sz w:val="24"/>
          <w:szCs w:val="24"/>
          <w:u w:val="single"/>
          <w:lang w:val="el-GR"/>
        </w:rPr>
        <w:t xml:space="preserve"> </w:t>
      </w:r>
      <w:r w:rsidRPr="00E07CD8">
        <w:rPr>
          <w:b/>
          <w:sz w:val="24"/>
          <w:szCs w:val="24"/>
          <w:u w:val="single"/>
          <w:lang w:val="el-GR"/>
        </w:rPr>
        <w:t xml:space="preserve">(σχετικής) </w:t>
      </w:r>
      <w:r w:rsidR="005127E0" w:rsidRPr="00E07CD8">
        <w:rPr>
          <w:b/>
          <w:sz w:val="24"/>
          <w:szCs w:val="24"/>
          <w:u w:val="single"/>
          <w:lang w:val="el-GR"/>
        </w:rPr>
        <w:t>φτώχειας</w:t>
      </w:r>
    </w:p>
    <w:p w14:paraId="7FA56340" w14:textId="77777777" w:rsidR="00044D92" w:rsidRPr="00044D92" w:rsidRDefault="00044D92" w:rsidP="00F4074C">
      <w:pPr>
        <w:jc w:val="both"/>
        <w:rPr>
          <w:sz w:val="24"/>
          <w:szCs w:val="24"/>
          <w:lang w:val="el-GR"/>
        </w:rPr>
      </w:pPr>
      <w:r w:rsidRPr="00044D92">
        <w:rPr>
          <w:sz w:val="24"/>
          <w:szCs w:val="24"/>
          <w:lang w:val="el-GR"/>
        </w:rPr>
        <w:t>Το γενικό ποσοστό κινδύνου φτώχειας σε όρους ονομαστικού εισοδήματος, συμπεριλαμβανομένων των κοινωνικών μεταβιβάσεων (επιδόματα και συντάξεις)</w:t>
      </w:r>
      <w:r>
        <w:rPr>
          <w:sz w:val="24"/>
          <w:szCs w:val="24"/>
          <w:lang w:val="el-GR"/>
        </w:rPr>
        <w:t xml:space="preserve">, </w:t>
      </w:r>
      <w:r w:rsidRPr="00044D92">
        <w:rPr>
          <w:sz w:val="24"/>
          <w:szCs w:val="24"/>
          <w:lang w:val="el-GR"/>
        </w:rPr>
        <w:t>είναι σημαντικά υψηλότερο για τα άτομα με αναπηρία που βρίσκονται στις πλέον παραγωγικές ηλικ</w:t>
      </w:r>
      <w:r>
        <w:rPr>
          <w:sz w:val="24"/>
          <w:szCs w:val="24"/>
          <w:lang w:val="el-GR"/>
        </w:rPr>
        <w:t>ίες.</w:t>
      </w:r>
    </w:p>
    <w:p w14:paraId="06DD925A" w14:textId="77777777" w:rsidR="003855FE" w:rsidRPr="003855FE" w:rsidRDefault="003855FE" w:rsidP="003855FE">
      <w:pPr>
        <w:rPr>
          <w:sz w:val="24"/>
          <w:szCs w:val="24"/>
          <w:lang w:val="el-GR"/>
        </w:rPr>
      </w:pPr>
      <w:r w:rsidRPr="003855FE">
        <w:rPr>
          <w:sz w:val="24"/>
          <w:szCs w:val="24"/>
          <w:lang w:val="el-GR"/>
        </w:rPr>
        <w:t xml:space="preserve">Ειδικότερα, σε κίνδυνο φτώχειας βρίσκεται: </w:t>
      </w:r>
    </w:p>
    <w:p w14:paraId="7D444329" w14:textId="77777777" w:rsidR="003855FE" w:rsidRPr="003855FE" w:rsidRDefault="003855FE" w:rsidP="003855FE">
      <w:pPr>
        <w:pStyle w:val="a9"/>
        <w:numPr>
          <w:ilvl w:val="0"/>
          <w:numId w:val="12"/>
        </w:numPr>
        <w:jc w:val="both"/>
        <w:rPr>
          <w:sz w:val="24"/>
          <w:szCs w:val="24"/>
          <w:lang w:val="el-GR"/>
        </w:rPr>
      </w:pPr>
      <w:r w:rsidRPr="003855FE">
        <w:rPr>
          <w:sz w:val="24"/>
          <w:szCs w:val="24"/>
          <w:lang w:val="el-GR"/>
        </w:rPr>
        <w:t>Το 30,7% του πληθυσμού με αναπηρία 25-34 ετών (έναντι του 17,1% του πληθυσμού χωρίς αναπηρία),</w:t>
      </w:r>
    </w:p>
    <w:p w14:paraId="3ED16C23" w14:textId="77777777" w:rsidR="003855FE" w:rsidRPr="003855FE" w:rsidRDefault="003855FE" w:rsidP="003855FE">
      <w:pPr>
        <w:pStyle w:val="a9"/>
        <w:numPr>
          <w:ilvl w:val="0"/>
          <w:numId w:val="12"/>
        </w:numPr>
        <w:jc w:val="both"/>
        <w:rPr>
          <w:sz w:val="24"/>
          <w:szCs w:val="24"/>
          <w:lang w:val="el-GR"/>
        </w:rPr>
      </w:pPr>
      <w:r w:rsidRPr="003855FE">
        <w:rPr>
          <w:sz w:val="24"/>
          <w:szCs w:val="24"/>
          <w:lang w:val="el-GR"/>
        </w:rPr>
        <w:t>Το 25,3% του πληθυσμού με αναπηρία 35-44 ετών (έναντι του 16,4% του πληθυσμού χωρίς αναπηρία),</w:t>
      </w:r>
    </w:p>
    <w:p w14:paraId="032E5874" w14:textId="77777777" w:rsidR="003855FE" w:rsidRPr="003855FE" w:rsidRDefault="003855FE" w:rsidP="003855FE">
      <w:pPr>
        <w:pStyle w:val="a9"/>
        <w:numPr>
          <w:ilvl w:val="0"/>
          <w:numId w:val="12"/>
        </w:numPr>
        <w:jc w:val="both"/>
        <w:rPr>
          <w:sz w:val="24"/>
          <w:szCs w:val="24"/>
          <w:lang w:val="el-GR"/>
        </w:rPr>
      </w:pPr>
      <w:r w:rsidRPr="003855FE">
        <w:rPr>
          <w:sz w:val="24"/>
          <w:szCs w:val="24"/>
          <w:lang w:val="el-GR"/>
        </w:rPr>
        <w:t>Το 24,6% του πληθυσμού με αναπηρία 45-54 ετών (έναντι του 17,5% του πληθυσμού χωρίς αναπηρία),</w:t>
      </w:r>
    </w:p>
    <w:p w14:paraId="24041689" w14:textId="77777777" w:rsidR="003855FE" w:rsidRPr="003855FE" w:rsidRDefault="003855FE" w:rsidP="003855FE">
      <w:pPr>
        <w:pStyle w:val="a9"/>
        <w:numPr>
          <w:ilvl w:val="0"/>
          <w:numId w:val="12"/>
        </w:numPr>
        <w:jc w:val="both"/>
        <w:rPr>
          <w:sz w:val="24"/>
          <w:szCs w:val="24"/>
          <w:lang w:val="el-GR"/>
        </w:rPr>
      </w:pPr>
      <w:r w:rsidRPr="003855FE">
        <w:rPr>
          <w:sz w:val="24"/>
          <w:szCs w:val="24"/>
          <w:lang w:val="el-GR"/>
        </w:rPr>
        <w:t>Το 24,3% του πληθυσμού με αναπηρία 55-64 ετών (έναντι του 16,7% του πληθυσμού χωρίς αναπηρία).</w:t>
      </w:r>
    </w:p>
    <w:p w14:paraId="4BE148AF" w14:textId="77777777" w:rsidR="00044D92" w:rsidRDefault="00044D92" w:rsidP="00044D92">
      <w:pPr>
        <w:ind w:left="142"/>
        <w:jc w:val="both"/>
        <w:rPr>
          <w:sz w:val="24"/>
          <w:szCs w:val="24"/>
          <w:lang w:val="el-GR"/>
        </w:rPr>
      </w:pPr>
    </w:p>
    <w:p w14:paraId="1CAE33EC" w14:textId="77777777" w:rsidR="003855FE" w:rsidRDefault="003855FE" w:rsidP="00044D92">
      <w:pPr>
        <w:ind w:left="142"/>
        <w:jc w:val="both"/>
        <w:rPr>
          <w:sz w:val="24"/>
          <w:szCs w:val="24"/>
          <w:lang w:val="el-GR"/>
        </w:rPr>
      </w:pPr>
    </w:p>
    <w:p w14:paraId="620AB01C" w14:textId="77777777" w:rsidR="00413974" w:rsidRDefault="003855FE" w:rsidP="00044D92">
      <w:pPr>
        <w:ind w:left="142"/>
        <w:jc w:val="both"/>
        <w:rPr>
          <w:sz w:val="24"/>
          <w:szCs w:val="24"/>
          <w:lang w:val="el-GR"/>
        </w:rPr>
      </w:pPr>
      <w:r w:rsidRPr="00BD0FA7">
        <w:rPr>
          <w:b/>
          <w:sz w:val="24"/>
          <w:szCs w:val="24"/>
          <w:lang w:val="el-GR"/>
        </w:rPr>
        <w:t>Αφαιρώντας τις κοινωνικές μεταβιβάσεις</w:t>
      </w:r>
      <w:r w:rsidR="006F55DD" w:rsidRPr="00BD0FA7">
        <w:rPr>
          <w:b/>
          <w:sz w:val="24"/>
          <w:szCs w:val="24"/>
          <w:lang w:val="el-GR"/>
        </w:rPr>
        <w:t xml:space="preserve"> από το διαθέσιμο εισόδημα</w:t>
      </w:r>
      <w:r w:rsidRPr="00BD0FA7">
        <w:rPr>
          <w:b/>
          <w:sz w:val="24"/>
          <w:szCs w:val="24"/>
          <w:lang w:val="el-GR"/>
        </w:rPr>
        <w:t xml:space="preserve"> αποκαλ</w:t>
      </w:r>
      <w:r w:rsidR="006F55DD" w:rsidRPr="00BD0FA7">
        <w:rPr>
          <w:b/>
          <w:sz w:val="24"/>
          <w:szCs w:val="24"/>
          <w:lang w:val="el-GR"/>
        </w:rPr>
        <w:t>ύπτονται οι δομικές ανισότητες που αντιμετωπίζουν τα άτομα με αναπηρία</w:t>
      </w:r>
      <w:r w:rsidR="006F55DD">
        <w:rPr>
          <w:sz w:val="24"/>
          <w:szCs w:val="24"/>
          <w:lang w:val="el-GR"/>
        </w:rPr>
        <w:t xml:space="preserve"> ως προς την πρόσβαση στην εργασία που αποτελεί την πρωταρχική πηγή εισοδήματος. </w:t>
      </w:r>
    </w:p>
    <w:p w14:paraId="4F131809" w14:textId="362CFD24" w:rsidR="003A48E6" w:rsidRPr="00044D92" w:rsidRDefault="006F55DD" w:rsidP="00044D92">
      <w:pPr>
        <w:ind w:left="142"/>
        <w:jc w:val="both"/>
        <w:rPr>
          <w:sz w:val="24"/>
          <w:szCs w:val="24"/>
          <w:lang w:val="el-GR"/>
        </w:rPr>
      </w:pPr>
      <w:r w:rsidRPr="00BD0FA7">
        <w:rPr>
          <w:b/>
          <w:sz w:val="24"/>
          <w:szCs w:val="24"/>
          <w:lang w:val="el-GR"/>
        </w:rPr>
        <w:t>Τ</w:t>
      </w:r>
      <w:r w:rsidR="003855FE" w:rsidRPr="00BD0FA7">
        <w:rPr>
          <w:b/>
          <w:sz w:val="24"/>
          <w:szCs w:val="24"/>
          <w:lang w:val="el-GR"/>
        </w:rPr>
        <w:t xml:space="preserve">ο </w:t>
      </w:r>
      <w:r w:rsidR="003A48E6" w:rsidRPr="00BD0FA7">
        <w:rPr>
          <w:b/>
          <w:sz w:val="24"/>
          <w:szCs w:val="24"/>
          <w:lang w:val="el-GR"/>
        </w:rPr>
        <w:t xml:space="preserve">ποσοστό κινδύνου φτώχειας πριν από όλες τις κοινωνικές μεταβιβάσεις αγγίζει το 65,4% στον πληθυσμό των ατόμων με σοβαρή αναπηρία </w:t>
      </w:r>
      <w:r w:rsidR="003855FE" w:rsidRPr="00BD0FA7">
        <w:rPr>
          <w:b/>
          <w:sz w:val="24"/>
          <w:szCs w:val="24"/>
          <w:lang w:val="el-GR"/>
        </w:rPr>
        <w:t>ηλικίας 16-64</w:t>
      </w:r>
      <w:r w:rsidR="003855FE">
        <w:rPr>
          <w:sz w:val="24"/>
          <w:szCs w:val="24"/>
          <w:lang w:val="el-GR"/>
        </w:rPr>
        <w:t xml:space="preserve"> </w:t>
      </w:r>
      <w:r w:rsidR="003A48E6" w:rsidRPr="00044D92">
        <w:rPr>
          <w:sz w:val="24"/>
          <w:szCs w:val="24"/>
          <w:lang w:val="el-GR"/>
        </w:rPr>
        <w:t>και το 57,8% στην ομάδα με μετρίου βαθμού περιορι</w:t>
      </w:r>
      <w:r w:rsidR="003855FE">
        <w:rPr>
          <w:sz w:val="24"/>
          <w:szCs w:val="24"/>
          <w:lang w:val="el-GR"/>
        </w:rPr>
        <w:t>σμό δραστηριότητας, όταν</w:t>
      </w:r>
      <w:r w:rsidR="003A48E6" w:rsidRPr="00044D92">
        <w:rPr>
          <w:sz w:val="24"/>
          <w:szCs w:val="24"/>
          <w:lang w:val="el-GR"/>
        </w:rPr>
        <w:t xml:space="preserve"> στον πληθυσμό χωρίς αναπηρία ανέρχεται στο 36,1%. </w:t>
      </w:r>
    </w:p>
    <w:p w14:paraId="2A8DE065" w14:textId="77777777" w:rsidR="00E07CD8" w:rsidRPr="00E07CD8" w:rsidRDefault="00E07CD8" w:rsidP="00E07CD8">
      <w:pPr>
        <w:jc w:val="both"/>
        <w:rPr>
          <w:rFonts w:ascii="Times New Roman" w:hAnsi="Times New Roman"/>
          <w:sz w:val="24"/>
          <w:szCs w:val="24"/>
          <w:lang w:val="el-GR"/>
        </w:rPr>
      </w:pPr>
    </w:p>
    <w:p w14:paraId="1FE65557" w14:textId="77777777" w:rsidR="005127E0" w:rsidRPr="00413974" w:rsidRDefault="00BD0FA7" w:rsidP="005127E0">
      <w:pPr>
        <w:jc w:val="both"/>
        <w:rPr>
          <w:b/>
          <w:sz w:val="24"/>
          <w:szCs w:val="24"/>
          <w:u w:val="single"/>
          <w:lang w:val="el-GR"/>
        </w:rPr>
      </w:pPr>
      <w:r>
        <w:rPr>
          <w:b/>
          <w:sz w:val="24"/>
          <w:szCs w:val="24"/>
          <w:u w:val="single"/>
          <w:lang w:val="el-GR"/>
        </w:rPr>
        <w:t>Ποσοστό πληθυσμού που διαβιεί σε νοικοκυριά με υ</w:t>
      </w:r>
      <w:r w:rsidR="005127E0" w:rsidRPr="00413974">
        <w:rPr>
          <w:b/>
          <w:sz w:val="24"/>
          <w:szCs w:val="24"/>
          <w:u w:val="single"/>
          <w:lang w:val="el-GR"/>
        </w:rPr>
        <w:t>λικές στερήσεις</w:t>
      </w:r>
    </w:p>
    <w:p w14:paraId="6264AB7E" w14:textId="77777777" w:rsidR="004D6D0C" w:rsidRPr="00BD0FA7" w:rsidRDefault="004D6D0C" w:rsidP="004D6D0C">
      <w:pPr>
        <w:pStyle w:val="a9"/>
        <w:numPr>
          <w:ilvl w:val="0"/>
          <w:numId w:val="12"/>
        </w:numPr>
        <w:jc w:val="both"/>
        <w:rPr>
          <w:sz w:val="24"/>
          <w:szCs w:val="24"/>
          <w:lang w:val="el-GR"/>
        </w:rPr>
      </w:pPr>
      <w:r w:rsidRPr="00BD0FA7">
        <w:rPr>
          <w:sz w:val="24"/>
          <w:szCs w:val="24"/>
          <w:lang w:val="el-GR"/>
        </w:rPr>
        <w:t>Το 2019, σοβαρές υλικές στερήσεις αντιμετωπίζει το 31% των ατόμων ηλικίας 16-64 ετών με σοβαρή αναπηρία, και το 17,6% των ατόμων με σοβαρή αναπηρία ηλικίας 65+. Ωστόσο, και στις δύο ηλικιακές ομάδες τα ποσοστά είναι σχεδόν διπλάσια από τα αντίστοιχα που καταγράφονται στα άτομα χωρίς αναπηρία.</w:t>
      </w:r>
    </w:p>
    <w:p w14:paraId="4B13E627" w14:textId="76F83135" w:rsidR="00413974" w:rsidRPr="00BD0FA7" w:rsidRDefault="000D3BE7" w:rsidP="00413974">
      <w:pPr>
        <w:pStyle w:val="a9"/>
        <w:numPr>
          <w:ilvl w:val="0"/>
          <w:numId w:val="12"/>
        </w:numPr>
        <w:jc w:val="both"/>
        <w:rPr>
          <w:sz w:val="24"/>
          <w:szCs w:val="24"/>
          <w:lang w:val="el-GR"/>
        </w:rPr>
      </w:pPr>
      <w:r w:rsidRPr="00BD0FA7">
        <w:rPr>
          <w:sz w:val="24"/>
          <w:szCs w:val="24"/>
          <w:lang w:val="el-GR"/>
        </w:rPr>
        <w:t xml:space="preserve">Η διαχρονική εξέλιξη του δείκτη </w:t>
      </w:r>
      <w:r w:rsidR="00E50AB6" w:rsidRPr="00BD0FA7">
        <w:rPr>
          <w:sz w:val="24"/>
          <w:szCs w:val="24"/>
          <w:lang w:val="el-GR"/>
        </w:rPr>
        <w:t xml:space="preserve">υλικής στέρησης </w:t>
      </w:r>
      <w:r w:rsidRPr="00BD0FA7">
        <w:rPr>
          <w:sz w:val="24"/>
          <w:szCs w:val="24"/>
          <w:lang w:val="el-GR"/>
        </w:rPr>
        <w:t>καταδεικνύει τη σταθερή αύξηση της υλικής στέρησης κατά τη διάρκει</w:t>
      </w:r>
      <w:r w:rsidR="004A6923">
        <w:rPr>
          <w:sz w:val="24"/>
          <w:szCs w:val="24"/>
          <w:lang w:val="el-GR"/>
        </w:rPr>
        <w:t>α των ετών από το 2010 και μετά</w:t>
      </w:r>
      <w:r w:rsidRPr="00BD0FA7">
        <w:rPr>
          <w:sz w:val="24"/>
          <w:szCs w:val="24"/>
          <w:lang w:val="el-GR"/>
        </w:rPr>
        <w:t xml:space="preserve"> σε όλες τις κατηγορίες πληθυσμού, ενώ τα έτη 2018 και 2019 διαπιστώνεται </w:t>
      </w:r>
      <w:r w:rsidR="00432806" w:rsidRPr="00BD0FA7">
        <w:rPr>
          <w:sz w:val="24"/>
          <w:szCs w:val="24"/>
          <w:lang w:val="el-GR"/>
        </w:rPr>
        <w:t xml:space="preserve">σχετική </w:t>
      </w:r>
      <w:r w:rsidRPr="00BD0FA7">
        <w:rPr>
          <w:sz w:val="24"/>
          <w:szCs w:val="24"/>
          <w:lang w:val="el-GR"/>
        </w:rPr>
        <w:t xml:space="preserve">αποκλιμάκωση του φαινομένου. </w:t>
      </w:r>
    </w:p>
    <w:p w14:paraId="557136CA" w14:textId="77777777" w:rsidR="00432806" w:rsidRPr="00432806" w:rsidRDefault="00432806" w:rsidP="00432806">
      <w:pPr>
        <w:pStyle w:val="a9"/>
        <w:ind w:left="360"/>
        <w:jc w:val="both"/>
        <w:rPr>
          <w:rFonts w:ascii="Times New Roman" w:hAnsi="Times New Roman"/>
          <w:sz w:val="24"/>
          <w:szCs w:val="24"/>
          <w:lang w:val="el-GR"/>
        </w:rPr>
      </w:pPr>
    </w:p>
    <w:p w14:paraId="734FCE4D" w14:textId="77777777" w:rsidR="005127E0" w:rsidRPr="00413974" w:rsidRDefault="004A6923" w:rsidP="005127E0">
      <w:pPr>
        <w:jc w:val="both"/>
        <w:rPr>
          <w:b/>
          <w:sz w:val="24"/>
          <w:szCs w:val="24"/>
          <w:u w:val="single"/>
          <w:lang w:val="el-GR"/>
        </w:rPr>
      </w:pPr>
      <w:r>
        <w:rPr>
          <w:b/>
          <w:sz w:val="24"/>
          <w:szCs w:val="24"/>
          <w:u w:val="single"/>
          <w:lang w:val="el-GR"/>
        </w:rPr>
        <w:t xml:space="preserve">Ποσοστό πληθυσμού που διαβιεί </w:t>
      </w:r>
      <w:r w:rsidR="005127E0" w:rsidRPr="00413974">
        <w:rPr>
          <w:b/>
          <w:sz w:val="24"/>
          <w:szCs w:val="24"/>
          <w:u w:val="single"/>
          <w:lang w:val="el-GR"/>
        </w:rPr>
        <w:t>σε νοικοκυριά με χαμηλή ένταση εργασίας</w:t>
      </w:r>
    </w:p>
    <w:p w14:paraId="57AA67E4" w14:textId="77777777" w:rsidR="00E02577" w:rsidRDefault="004D6D0C" w:rsidP="004D6D0C">
      <w:pPr>
        <w:pStyle w:val="a9"/>
        <w:numPr>
          <w:ilvl w:val="0"/>
          <w:numId w:val="12"/>
        </w:numPr>
        <w:jc w:val="both"/>
        <w:rPr>
          <w:sz w:val="24"/>
          <w:szCs w:val="24"/>
          <w:lang w:val="el-GR"/>
        </w:rPr>
      </w:pPr>
      <w:r w:rsidRPr="004A6923">
        <w:rPr>
          <w:sz w:val="24"/>
          <w:szCs w:val="24"/>
          <w:lang w:val="el-GR"/>
        </w:rPr>
        <w:t xml:space="preserve">Το 2019 σχεδόν οι  5 στους 10 με σοβαρή αναπηρία διαβιούν σε νοικοκυριά των οποίων τα μέλη υποαπασχολούνται  ή και βρίσκονται σε καθεστώς ανεργίας. </w:t>
      </w:r>
    </w:p>
    <w:p w14:paraId="3F6082D9" w14:textId="77777777" w:rsidR="004D6D0C" w:rsidRPr="004A6923" w:rsidRDefault="004D6D0C" w:rsidP="004D6D0C">
      <w:pPr>
        <w:pStyle w:val="a9"/>
        <w:numPr>
          <w:ilvl w:val="0"/>
          <w:numId w:val="12"/>
        </w:numPr>
        <w:jc w:val="both"/>
        <w:rPr>
          <w:sz w:val="24"/>
          <w:szCs w:val="24"/>
          <w:lang w:val="el-GR"/>
        </w:rPr>
      </w:pPr>
      <w:r w:rsidRPr="00E02577">
        <w:rPr>
          <w:b/>
          <w:sz w:val="24"/>
          <w:szCs w:val="24"/>
          <w:lang w:val="el-GR"/>
        </w:rPr>
        <w:t>Μάλιστα από το έτος 2016 και έπειτα διαπιστώνεται αύξηση των ποσοστών ατόμων με αναπηρία που διαβιούν σε νοικοκυριά με χαμηλή ένταση εργασίας</w:t>
      </w:r>
      <w:r w:rsidRPr="004A6923">
        <w:rPr>
          <w:sz w:val="24"/>
          <w:szCs w:val="24"/>
          <w:lang w:val="el-GR"/>
        </w:rPr>
        <w:t xml:space="preserve">, όταν στον πληθυσμό χωρίς αναπηρία σημειώνεται σταθερή κάμψη του εν λόγω ποσοστού. </w:t>
      </w:r>
    </w:p>
    <w:p w14:paraId="7488A3AF" w14:textId="77777777" w:rsidR="004D6D0C" w:rsidRDefault="004D6D0C" w:rsidP="004D6D0C">
      <w:pPr>
        <w:jc w:val="both"/>
        <w:rPr>
          <w:rFonts w:ascii="Times New Roman" w:hAnsi="Times New Roman"/>
          <w:sz w:val="24"/>
          <w:szCs w:val="24"/>
          <w:highlight w:val="yellow"/>
          <w:lang w:val="el-GR"/>
        </w:rPr>
      </w:pPr>
    </w:p>
    <w:p w14:paraId="5AB5D92E" w14:textId="35B2C82E" w:rsidR="00D86E20" w:rsidRDefault="00D86E20">
      <w:pPr>
        <w:rPr>
          <w:rFonts w:eastAsia="Times New Roman" w:cs="Times New Roman"/>
          <w:sz w:val="10"/>
          <w:szCs w:val="10"/>
          <w:lang w:val="el-GR"/>
        </w:rPr>
      </w:pPr>
      <w:r>
        <w:rPr>
          <w:rFonts w:eastAsia="Times New Roman" w:cs="Times New Roman"/>
          <w:sz w:val="10"/>
          <w:szCs w:val="10"/>
          <w:lang w:val="el-GR"/>
        </w:rPr>
        <w:br w:type="page"/>
      </w:r>
    </w:p>
    <w:p w14:paraId="26B668E0" w14:textId="77777777" w:rsidR="00E17F27" w:rsidRPr="00E17F27" w:rsidRDefault="00E17F27" w:rsidP="00E17F27">
      <w:pPr>
        <w:spacing w:after="0" w:line="240" w:lineRule="auto"/>
        <w:rPr>
          <w:rFonts w:eastAsia="Times New Roman" w:cs="Times New Roman"/>
          <w:sz w:val="10"/>
          <w:szCs w:val="10"/>
          <w:lang w:val="el-GR"/>
        </w:rPr>
      </w:pPr>
    </w:p>
    <w:p w14:paraId="0D5995BA" w14:textId="77777777" w:rsidR="00E17F27" w:rsidRPr="00E17F27" w:rsidRDefault="00E17F27" w:rsidP="00E17F27">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center"/>
        <w:rPr>
          <w:rFonts w:eastAsia="Times New Roman" w:cs="Times New Roman"/>
          <w:b/>
          <w:sz w:val="32"/>
          <w:szCs w:val="32"/>
          <w:u w:val="single"/>
          <w:lang w:val="el-GR"/>
        </w:rPr>
      </w:pPr>
      <w:r w:rsidRPr="00E17F27">
        <w:rPr>
          <w:rFonts w:eastAsia="Times New Roman" w:cs="Times New Roman"/>
          <w:b/>
          <w:sz w:val="32"/>
          <w:szCs w:val="32"/>
          <w:u w:val="single"/>
          <w:lang w:val="el-GR"/>
        </w:rPr>
        <w:t>ΒΑΣΙΚΑ ΣΥΜΠΕΡΑΣΜΑΤΑ</w:t>
      </w:r>
    </w:p>
    <w:p w14:paraId="40D1B625" w14:textId="3EE21CE3" w:rsidR="00C87E2A" w:rsidRPr="004B1F01" w:rsidRDefault="005E53FE"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Όπως επιβεβαιώνεται σ</w:t>
      </w:r>
      <w:r w:rsidR="00E02577" w:rsidRPr="004B1F01">
        <w:rPr>
          <w:rFonts w:eastAsia="Times New Roman" w:cs="Times New Roman"/>
          <w:lang w:val="el-GR"/>
        </w:rPr>
        <w:t xml:space="preserve">το </w:t>
      </w:r>
      <w:r>
        <w:rPr>
          <w:rFonts w:eastAsia="Times New Roman" w:cs="Times New Roman"/>
          <w:lang w:val="el-GR"/>
        </w:rPr>
        <w:t xml:space="preserve">παρόν δελτίο </w:t>
      </w:r>
      <w:r w:rsidR="00E02577" w:rsidRPr="004B1F01">
        <w:rPr>
          <w:rFonts w:eastAsia="Times New Roman" w:cs="Times New Roman"/>
          <w:lang w:val="el-GR"/>
        </w:rPr>
        <w:t>του Παρατηρητηρίου, η φτώχεια και η αναπηρία είναι ζεύγος αχ</w:t>
      </w:r>
      <w:r w:rsidR="00C87E2A" w:rsidRPr="004B1F01">
        <w:rPr>
          <w:rFonts w:eastAsia="Times New Roman" w:cs="Times New Roman"/>
          <w:lang w:val="el-GR"/>
        </w:rPr>
        <w:t>ώριστο</w:t>
      </w:r>
      <w:r w:rsidR="00814404" w:rsidRPr="004B1F01">
        <w:rPr>
          <w:rFonts w:eastAsia="Times New Roman" w:cs="Times New Roman"/>
          <w:lang w:val="el-GR"/>
        </w:rPr>
        <w:t>. Τόσο σε επίπεδο εισοδήματος όσο και σε επίπεδο υλικών συνθηκών διαβίωσης, τα άτομα με αναπηρία και οι οικογένειές τους αναδεικνύονται διαχρονικά οι «φτωχότεροι μεταξύ των φτωχών».</w:t>
      </w:r>
    </w:p>
    <w:p w14:paraId="48457E69" w14:textId="77777777" w:rsidR="00C87E2A" w:rsidRPr="004B1F01" w:rsidRDefault="00C87E2A"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4B1F01">
        <w:rPr>
          <w:rFonts w:eastAsia="Times New Roman" w:cs="Times New Roman"/>
          <w:lang w:val="el-GR"/>
        </w:rPr>
        <w:t xml:space="preserve">Τα  </w:t>
      </w:r>
      <w:r w:rsidR="00FA27EC">
        <w:rPr>
          <w:rFonts w:eastAsia="Times New Roman" w:cs="Times New Roman"/>
          <w:lang w:val="el-GR"/>
        </w:rPr>
        <w:t xml:space="preserve">συμπεράσματα </w:t>
      </w:r>
      <w:r w:rsidRPr="004B1F01">
        <w:rPr>
          <w:rFonts w:eastAsia="Times New Roman" w:cs="Times New Roman"/>
          <w:lang w:val="el-GR"/>
        </w:rPr>
        <w:t>που προκύπτουν είναι πολύ ανησυχητικά. Η έκταση του φαινομένου της φτώχειας και του κοινωνικού αποκλεισμού στα άτομα με σοβαρή αναπηρ</w:t>
      </w:r>
      <w:r w:rsidR="003910F9" w:rsidRPr="004B1F01">
        <w:rPr>
          <w:rFonts w:eastAsia="Times New Roman" w:cs="Times New Roman"/>
          <w:lang w:val="el-GR"/>
        </w:rPr>
        <w:t>ία 16-64 ετών</w:t>
      </w:r>
      <w:r w:rsidRPr="004B1F01">
        <w:rPr>
          <w:rFonts w:eastAsia="Times New Roman" w:cs="Times New Roman"/>
          <w:lang w:val="el-GR"/>
        </w:rPr>
        <w:t xml:space="preserve">, με το 60% να </w:t>
      </w:r>
      <w:r w:rsidR="005E53FE">
        <w:rPr>
          <w:rFonts w:eastAsia="Times New Roman" w:cs="Times New Roman"/>
          <w:lang w:val="el-GR"/>
        </w:rPr>
        <w:t>βρίσκεται σ</w:t>
      </w:r>
      <w:r w:rsidRPr="004B1F01">
        <w:rPr>
          <w:rFonts w:eastAsia="Times New Roman" w:cs="Times New Roman"/>
          <w:lang w:val="el-GR"/>
        </w:rPr>
        <w:t xml:space="preserve">το φάσμα της φτώχειας ή </w:t>
      </w:r>
      <w:r w:rsidR="005E53FE">
        <w:rPr>
          <w:rFonts w:eastAsia="Times New Roman" w:cs="Times New Roman"/>
          <w:lang w:val="el-GR"/>
        </w:rPr>
        <w:t>σε</w:t>
      </w:r>
      <w:r w:rsidRPr="004B1F01">
        <w:rPr>
          <w:rFonts w:eastAsia="Times New Roman" w:cs="Times New Roman"/>
          <w:lang w:val="el-GR"/>
        </w:rPr>
        <w:t xml:space="preserve"> κοινωνικό αποκλεισμό, σκιαγραφούν την εικόνα μιας </w:t>
      </w:r>
      <w:r w:rsidR="00232D4D" w:rsidRPr="004B1F01">
        <w:rPr>
          <w:rFonts w:eastAsia="Times New Roman" w:cs="Times New Roman"/>
          <w:lang w:val="el-GR"/>
        </w:rPr>
        <w:t xml:space="preserve">κοινωνίας </w:t>
      </w:r>
      <w:r w:rsidR="003910F9" w:rsidRPr="004B1F01">
        <w:rPr>
          <w:rFonts w:eastAsia="Times New Roman" w:cs="Times New Roman"/>
          <w:lang w:val="el-GR"/>
        </w:rPr>
        <w:t>απροσπέλαστη</w:t>
      </w:r>
      <w:r w:rsidR="005E53FE">
        <w:rPr>
          <w:rFonts w:eastAsia="Times New Roman" w:cs="Times New Roman"/>
          <w:lang w:val="el-GR"/>
        </w:rPr>
        <w:t xml:space="preserve">ς, για </w:t>
      </w:r>
      <w:r w:rsidR="00232D4D" w:rsidRPr="004B1F01">
        <w:rPr>
          <w:rFonts w:eastAsia="Times New Roman" w:cs="Times New Roman"/>
          <w:lang w:val="el-GR"/>
        </w:rPr>
        <w:t xml:space="preserve">μια </w:t>
      </w:r>
      <w:r w:rsidR="00757025">
        <w:rPr>
          <w:rFonts w:eastAsia="Times New Roman" w:cs="Times New Roman"/>
          <w:lang w:val="el-GR"/>
        </w:rPr>
        <w:t>εκτεταμένη</w:t>
      </w:r>
      <w:r w:rsidR="003910F9" w:rsidRPr="004B1F01">
        <w:rPr>
          <w:rFonts w:eastAsia="Times New Roman" w:cs="Times New Roman"/>
          <w:lang w:val="el-GR"/>
        </w:rPr>
        <w:t xml:space="preserve"> κατηγορία νέων ανθρώπων και πολιτών με αναπηρία</w:t>
      </w:r>
      <w:r w:rsidR="004B1F01">
        <w:rPr>
          <w:rFonts w:eastAsia="Times New Roman" w:cs="Times New Roman"/>
          <w:lang w:val="el-GR"/>
        </w:rPr>
        <w:t xml:space="preserve"> ή/και χρόνιες παθήσεις</w:t>
      </w:r>
      <w:r w:rsidR="005E53FE">
        <w:rPr>
          <w:rFonts w:eastAsia="Times New Roman" w:cs="Times New Roman"/>
          <w:lang w:val="el-GR"/>
        </w:rPr>
        <w:t>,</w:t>
      </w:r>
      <w:r w:rsidR="003910F9" w:rsidRPr="004B1F01">
        <w:rPr>
          <w:rFonts w:eastAsia="Times New Roman" w:cs="Times New Roman"/>
          <w:lang w:val="el-GR"/>
        </w:rPr>
        <w:t xml:space="preserve"> στις πλέον παραγωγικές ηλικίες.</w:t>
      </w:r>
    </w:p>
    <w:p w14:paraId="2D0F5B3C" w14:textId="3D94ADFA" w:rsidR="001A0DAE" w:rsidRDefault="00E02577"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4B1F01">
        <w:rPr>
          <w:rFonts w:eastAsia="Times New Roman" w:cs="Times New Roman"/>
          <w:lang w:val="el-GR"/>
        </w:rPr>
        <w:t xml:space="preserve">Η διαχρονική ανάλυση </w:t>
      </w:r>
      <w:r w:rsidR="004B1F01">
        <w:rPr>
          <w:rFonts w:eastAsia="Times New Roman" w:cs="Times New Roman"/>
          <w:lang w:val="el-GR"/>
        </w:rPr>
        <w:t>των στοιχείων</w:t>
      </w:r>
      <w:r w:rsidRPr="004B1F01">
        <w:rPr>
          <w:rFonts w:eastAsia="Times New Roman" w:cs="Times New Roman"/>
          <w:lang w:val="el-GR"/>
        </w:rPr>
        <w:t xml:space="preserve"> αποκαλύπτει αυτό που η Ε.Σ.Α.μεΑ. υποστηρίζει σε όλους τους τόνους </w:t>
      </w:r>
      <w:r w:rsidR="00757025">
        <w:rPr>
          <w:rFonts w:eastAsia="Times New Roman" w:cs="Times New Roman"/>
          <w:lang w:val="el-GR"/>
        </w:rPr>
        <w:t xml:space="preserve">και </w:t>
      </w:r>
      <w:proofErr w:type="spellStart"/>
      <w:r w:rsidR="00757025">
        <w:rPr>
          <w:rFonts w:eastAsia="Times New Roman" w:cs="Times New Roman"/>
          <w:lang w:val="el-GR"/>
        </w:rPr>
        <w:t>καθ</w:t>
      </w:r>
      <w:r w:rsidR="00564A98">
        <w:rPr>
          <w:rFonts w:eastAsia="Times New Roman" w:cs="Times New Roman"/>
          <w:lang w:val="el-GR"/>
        </w:rPr>
        <w:t>’</w:t>
      </w:r>
      <w:r w:rsidR="00757025">
        <w:rPr>
          <w:rFonts w:eastAsia="Times New Roman" w:cs="Times New Roman"/>
          <w:lang w:val="el-GR"/>
        </w:rPr>
        <w:t>όλη</w:t>
      </w:r>
      <w:proofErr w:type="spellEnd"/>
      <w:r w:rsidR="00DD2D4C" w:rsidRPr="004B1F01">
        <w:rPr>
          <w:rFonts w:eastAsia="Times New Roman" w:cs="Times New Roman"/>
          <w:lang w:val="el-GR"/>
        </w:rPr>
        <w:t xml:space="preserve"> τη </w:t>
      </w:r>
      <w:r w:rsidR="00757025">
        <w:rPr>
          <w:rFonts w:eastAsia="Times New Roman" w:cs="Times New Roman"/>
          <w:lang w:val="el-GR"/>
        </w:rPr>
        <w:t xml:space="preserve">διάρκεια της </w:t>
      </w:r>
      <w:r w:rsidR="00DD2D4C" w:rsidRPr="004B1F01">
        <w:rPr>
          <w:rFonts w:eastAsia="Times New Roman" w:cs="Times New Roman"/>
          <w:lang w:val="el-GR"/>
        </w:rPr>
        <w:t>μνημονιακή</w:t>
      </w:r>
      <w:r w:rsidR="00757025">
        <w:rPr>
          <w:rFonts w:eastAsia="Times New Roman" w:cs="Times New Roman"/>
          <w:lang w:val="el-GR"/>
        </w:rPr>
        <w:t>ς</w:t>
      </w:r>
      <w:r w:rsidRPr="004B1F01">
        <w:rPr>
          <w:rFonts w:eastAsia="Times New Roman" w:cs="Times New Roman"/>
          <w:lang w:val="el-GR"/>
        </w:rPr>
        <w:t xml:space="preserve"> δεκαετία</w:t>
      </w:r>
      <w:r w:rsidR="00757025">
        <w:rPr>
          <w:rFonts w:eastAsia="Times New Roman" w:cs="Times New Roman"/>
          <w:lang w:val="el-GR"/>
        </w:rPr>
        <w:t>ς</w:t>
      </w:r>
      <w:r w:rsidRPr="004B1F01">
        <w:rPr>
          <w:rFonts w:eastAsia="Times New Roman" w:cs="Times New Roman"/>
          <w:lang w:val="el-GR"/>
        </w:rPr>
        <w:t xml:space="preserve">. Οι επιπτώσεις της οικονομικής κρίσης </w:t>
      </w:r>
      <w:r w:rsidR="003910F9" w:rsidRPr="004B1F01">
        <w:rPr>
          <w:rFonts w:eastAsia="Times New Roman" w:cs="Times New Roman"/>
          <w:lang w:val="el-GR"/>
        </w:rPr>
        <w:t>βάρυναν άνισα και</w:t>
      </w:r>
      <w:r w:rsidRPr="004B1F01">
        <w:rPr>
          <w:rFonts w:eastAsia="Times New Roman" w:cs="Times New Roman"/>
          <w:lang w:val="el-GR"/>
        </w:rPr>
        <w:t xml:space="preserve"> </w:t>
      </w:r>
      <w:r w:rsidR="004B1F01">
        <w:rPr>
          <w:rFonts w:eastAsia="Times New Roman" w:cs="Times New Roman"/>
          <w:lang w:val="el-GR"/>
        </w:rPr>
        <w:t>υπέρμετρα</w:t>
      </w:r>
      <w:r w:rsidRPr="004B1F01">
        <w:rPr>
          <w:rFonts w:eastAsia="Times New Roman" w:cs="Times New Roman"/>
          <w:lang w:val="el-GR"/>
        </w:rPr>
        <w:t xml:space="preserve"> τους πλέον ευάλωτους</w:t>
      </w:r>
      <w:r w:rsidR="003910F9" w:rsidRPr="004B1F01">
        <w:rPr>
          <w:rFonts w:eastAsia="Times New Roman" w:cs="Times New Roman"/>
          <w:lang w:val="el-GR"/>
        </w:rPr>
        <w:t>,</w:t>
      </w:r>
      <w:r w:rsidRPr="004B1F01">
        <w:rPr>
          <w:rFonts w:eastAsia="Times New Roman" w:cs="Times New Roman"/>
          <w:lang w:val="el-GR"/>
        </w:rPr>
        <w:t xml:space="preserve"> </w:t>
      </w:r>
      <w:r w:rsidR="004B1F01">
        <w:rPr>
          <w:rFonts w:eastAsia="Times New Roman" w:cs="Times New Roman"/>
          <w:lang w:val="el-GR"/>
        </w:rPr>
        <w:t xml:space="preserve">δηλαδή </w:t>
      </w:r>
      <w:r w:rsidRPr="004B1F01">
        <w:rPr>
          <w:rFonts w:eastAsia="Times New Roman" w:cs="Times New Roman"/>
          <w:lang w:val="el-GR"/>
        </w:rPr>
        <w:t>τα άτομα με αναπηρία και χρόνιες παθήσεις, παρότι</w:t>
      </w:r>
      <w:r w:rsidR="001A0DAE">
        <w:rPr>
          <w:rFonts w:eastAsia="Times New Roman" w:cs="Times New Roman"/>
          <w:lang w:val="el-GR"/>
        </w:rPr>
        <w:t xml:space="preserve"> </w:t>
      </w:r>
      <w:r w:rsidRPr="004B1F01">
        <w:rPr>
          <w:rFonts w:eastAsia="Times New Roman" w:cs="Times New Roman"/>
          <w:lang w:val="el-GR"/>
        </w:rPr>
        <w:t xml:space="preserve">με τη δράση του το </w:t>
      </w:r>
      <w:r w:rsidR="003910F9" w:rsidRPr="004B1F01">
        <w:rPr>
          <w:rFonts w:eastAsia="Times New Roman" w:cs="Times New Roman"/>
          <w:lang w:val="el-GR"/>
        </w:rPr>
        <w:t>αναπηρικό</w:t>
      </w:r>
      <w:r w:rsidRPr="004B1F01">
        <w:rPr>
          <w:rFonts w:eastAsia="Times New Roman" w:cs="Times New Roman"/>
          <w:lang w:val="el-GR"/>
        </w:rPr>
        <w:t xml:space="preserve"> </w:t>
      </w:r>
      <w:r w:rsidR="003910F9" w:rsidRPr="004B1F01">
        <w:rPr>
          <w:rFonts w:eastAsia="Times New Roman" w:cs="Times New Roman"/>
          <w:lang w:val="el-GR"/>
        </w:rPr>
        <w:t>κίνημα</w:t>
      </w:r>
      <w:r w:rsidRPr="004B1F01">
        <w:rPr>
          <w:rFonts w:eastAsia="Times New Roman" w:cs="Times New Roman"/>
          <w:lang w:val="el-GR"/>
        </w:rPr>
        <w:t xml:space="preserve"> κατάφερε να διατηρήσει αλώβητα τα αναπηρικά επιδόματα όλα αυτά τα χρόνια. </w:t>
      </w:r>
    </w:p>
    <w:p w14:paraId="412BE583" w14:textId="77777777" w:rsidR="001A0DAE" w:rsidRDefault="001A0DAE"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Η</w:t>
      </w:r>
      <w:r w:rsidR="004B1F01">
        <w:rPr>
          <w:rFonts w:eastAsia="Times New Roman" w:cs="Times New Roman"/>
          <w:lang w:val="el-GR"/>
        </w:rPr>
        <w:t xml:space="preserve"> ανάλυση του κινδύνου φτώχειας που διατρέχουν τα άτομα με αναπηρία αφαιρώντας από το εισόδημα τα αναπηρικά επιδόματα, καταδεικνύει τη δομικά άνιση θέση στην οποία βρ</w:t>
      </w:r>
      <w:r w:rsidR="00F462E4">
        <w:rPr>
          <w:rFonts w:eastAsia="Times New Roman" w:cs="Times New Roman"/>
          <w:lang w:val="el-GR"/>
        </w:rPr>
        <w:t>ίσκονται</w:t>
      </w:r>
      <w:r w:rsidR="00963687">
        <w:rPr>
          <w:rFonts w:eastAsia="Times New Roman" w:cs="Times New Roman"/>
          <w:lang w:val="el-GR"/>
        </w:rPr>
        <w:t>,</w:t>
      </w:r>
      <w:r w:rsidR="00F462E4">
        <w:rPr>
          <w:rFonts w:eastAsia="Times New Roman" w:cs="Times New Roman"/>
          <w:lang w:val="el-GR"/>
        </w:rPr>
        <w:t xml:space="preserve"> ιδίως ως προς την πρόσβαση στην εργασία, </w:t>
      </w:r>
      <w:r w:rsidR="004B1F01">
        <w:rPr>
          <w:rFonts w:eastAsia="Times New Roman" w:cs="Times New Roman"/>
          <w:lang w:val="el-GR"/>
        </w:rPr>
        <w:t xml:space="preserve">και επιβεβαιώνει την αδήριτη αναγκαιότητα των </w:t>
      </w:r>
      <w:r w:rsidR="00F462E4">
        <w:rPr>
          <w:rFonts w:eastAsia="Times New Roman" w:cs="Times New Roman"/>
          <w:lang w:val="el-GR"/>
        </w:rPr>
        <w:t xml:space="preserve">υφιστάμενων </w:t>
      </w:r>
      <w:r w:rsidR="004B1F01">
        <w:rPr>
          <w:rFonts w:eastAsia="Times New Roman" w:cs="Times New Roman"/>
          <w:lang w:val="el-GR"/>
        </w:rPr>
        <w:t xml:space="preserve">κοινωνικών </w:t>
      </w:r>
      <w:r w:rsidR="00F462E4">
        <w:rPr>
          <w:rFonts w:eastAsia="Times New Roman" w:cs="Times New Roman"/>
          <w:lang w:val="el-GR"/>
        </w:rPr>
        <w:t>παροχών</w:t>
      </w:r>
      <w:r w:rsidR="004B1F01">
        <w:rPr>
          <w:rFonts w:eastAsia="Times New Roman" w:cs="Times New Roman"/>
          <w:lang w:val="el-GR"/>
        </w:rPr>
        <w:t xml:space="preserve">, </w:t>
      </w:r>
      <w:r>
        <w:rPr>
          <w:rFonts w:eastAsia="Times New Roman" w:cs="Times New Roman"/>
          <w:lang w:val="el-GR"/>
        </w:rPr>
        <w:t>ως μερικό αντιστάθμισμα των ανισοτήτων.</w:t>
      </w:r>
    </w:p>
    <w:p w14:paraId="4C10AED3" w14:textId="2344865F" w:rsidR="00E02577" w:rsidRPr="004B1F01" w:rsidRDefault="001A0DAE"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Ενώ</w:t>
      </w:r>
      <w:r w:rsidR="003910F9" w:rsidRPr="004B1F01">
        <w:rPr>
          <w:rFonts w:eastAsia="Times New Roman" w:cs="Times New Roman"/>
          <w:lang w:val="el-GR"/>
        </w:rPr>
        <w:t xml:space="preserve"> τα έτη 2016-2019 σημειώνεται σταδιακή βελτίωση των οικονομικών και κοινωνικών δεικτών, αυτή η εξέλιξη, </w:t>
      </w:r>
      <w:r w:rsidR="00DD2D4C" w:rsidRPr="004B1F01">
        <w:rPr>
          <w:rFonts w:eastAsia="Times New Roman" w:cs="Times New Roman"/>
          <w:lang w:val="el-GR"/>
        </w:rPr>
        <w:t xml:space="preserve">δυστυχώς </w:t>
      </w:r>
      <w:r w:rsidR="00435882">
        <w:rPr>
          <w:rFonts w:eastAsia="Times New Roman" w:cs="Times New Roman"/>
          <w:lang w:val="el-GR"/>
        </w:rPr>
        <w:t>αφήνει</w:t>
      </w:r>
      <w:r w:rsidR="003910F9" w:rsidRPr="004B1F01">
        <w:rPr>
          <w:rFonts w:eastAsia="Times New Roman" w:cs="Times New Roman"/>
          <w:lang w:val="el-GR"/>
        </w:rPr>
        <w:t xml:space="preserve"> πίσω τα άτομα με αναπηρία</w:t>
      </w:r>
      <w:r w:rsidR="00DD2D4C" w:rsidRPr="004B1F01">
        <w:rPr>
          <w:rFonts w:eastAsia="Times New Roman" w:cs="Times New Roman"/>
          <w:lang w:val="el-GR"/>
        </w:rPr>
        <w:t>. Αντιθέτως,</w:t>
      </w:r>
      <w:r w:rsidR="003910F9" w:rsidRPr="004B1F01">
        <w:rPr>
          <w:rFonts w:eastAsia="Times New Roman" w:cs="Times New Roman"/>
          <w:lang w:val="el-GR"/>
        </w:rPr>
        <w:t xml:space="preserve"> διαπιστώνεται εκ νέου όξυνση των ανισοτ</w:t>
      </w:r>
      <w:r w:rsidR="00DD2D4C" w:rsidRPr="004B1F01">
        <w:rPr>
          <w:rFonts w:eastAsia="Times New Roman" w:cs="Times New Roman"/>
          <w:lang w:val="el-GR"/>
        </w:rPr>
        <w:t xml:space="preserve">ήτων και </w:t>
      </w:r>
      <w:r w:rsidR="003910F9" w:rsidRPr="004B1F01">
        <w:rPr>
          <w:rFonts w:eastAsia="Times New Roman" w:cs="Times New Roman"/>
          <w:lang w:val="el-GR"/>
        </w:rPr>
        <w:t xml:space="preserve">διευρύνεται το χάσμα </w:t>
      </w:r>
      <w:r w:rsidR="00D10ED7" w:rsidRPr="004B1F01">
        <w:rPr>
          <w:rFonts w:eastAsia="Times New Roman" w:cs="Times New Roman"/>
          <w:lang w:val="el-GR"/>
        </w:rPr>
        <w:t>φτώχειας και κοινωνικού αποκλεισμού μεταξύ των ατόμων με αναπηρία και των ατόμων χωρίς αναπηρία.</w:t>
      </w:r>
    </w:p>
    <w:p w14:paraId="370FC57F" w14:textId="77777777" w:rsidR="00435882" w:rsidRDefault="00DD2D4C"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4B1F01">
        <w:rPr>
          <w:rFonts w:eastAsia="Times New Roman" w:cs="Times New Roman"/>
          <w:lang w:val="el-GR"/>
        </w:rPr>
        <w:t xml:space="preserve">Υπό το πρίσμα του σήμερα, της πανδημίας και της νέας οικονομικής κρίσης που </w:t>
      </w:r>
      <w:r w:rsidR="00435882">
        <w:rPr>
          <w:rFonts w:eastAsia="Times New Roman" w:cs="Times New Roman"/>
          <w:lang w:val="el-GR"/>
        </w:rPr>
        <w:t>πυροδότησε,</w:t>
      </w:r>
      <w:r w:rsidRPr="004B1F01">
        <w:rPr>
          <w:rFonts w:eastAsia="Times New Roman" w:cs="Times New Roman"/>
          <w:lang w:val="el-GR"/>
        </w:rPr>
        <w:t xml:space="preserve"> τα ευρήματα του δελτίου κρούουν τον κώδωνα του κινδύνου</w:t>
      </w:r>
      <w:r w:rsidR="00435882">
        <w:rPr>
          <w:rFonts w:eastAsia="Times New Roman" w:cs="Times New Roman"/>
          <w:lang w:val="el-GR"/>
        </w:rPr>
        <w:t xml:space="preserve"> προς την πολιτεία για την άμεση αναγκαιότητα </w:t>
      </w:r>
      <w:r w:rsidR="00963687">
        <w:rPr>
          <w:rFonts w:eastAsia="Times New Roman" w:cs="Times New Roman"/>
          <w:lang w:val="el-GR"/>
        </w:rPr>
        <w:t xml:space="preserve">ουσιαστικής </w:t>
      </w:r>
      <w:r w:rsidR="00435882">
        <w:rPr>
          <w:rFonts w:eastAsia="Times New Roman" w:cs="Times New Roman"/>
          <w:lang w:val="el-GR"/>
        </w:rPr>
        <w:t>ενίσχυσης της κοινωνικής προστασίας των ατόμων με αναπηρία και των οικογενειών τους</w:t>
      </w:r>
      <w:r w:rsidR="00564A98">
        <w:rPr>
          <w:rFonts w:eastAsia="Times New Roman" w:cs="Times New Roman"/>
          <w:lang w:val="el-GR"/>
        </w:rPr>
        <w:t xml:space="preserve">, που κινδυνεύουν πλέον να </w:t>
      </w:r>
      <w:r w:rsidR="001A0DAE">
        <w:rPr>
          <w:rFonts w:eastAsia="Times New Roman" w:cs="Times New Roman"/>
          <w:lang w:val="el-GR"/>
        </w:rPr>
        <w:t>βιώσουν ακραία φτώχεια</w:t>
      </w:r>
      <w:r w:rsidR="00435882">
        <w:rPr>
          <w:rFonts w:eastAsia="Times New Roman" w:cs="Times New Roman"/>
          <w:lang w:val="el-GR"/>
        </w:rPr>
        <w:t>. Όπως έχει επισημάνει η Ε.Σ.Α.μεΑ. στις προτάσεις που υπέβαλε στη διαβούλευση επί του Εθνικού Σχεδίου Δράσης για τα Δικαιώματα των Ατόμων με Αναπηρία, η αναγκαία προστασία του βιοτικού επιπέδου των ατόμων με αναπηρία επιτάσσει</w:t>
      </w:r>
      <w:r w:rsidR="00963687">
        <w:rPr>
          <w:rFonts w:eastAsia="Times New Roman" w:cs="Times New Roman"/>
          <w:lang w:val="el-GR"/>
        </w:rPr>
        <w:t xml:space="preserve"> μεταξύ άλλων</w:t>
      </w:r>
      <w:r w:rsidR="00435882">
        <w:rPr>
          <w:rFonts w:eastAsia="Times New Roman" w:cs="Times New Roman"/>
          <w:lang w:val="el-GR"/>
        </w:rPr>
        <w:t xml:space="preserve">: </w:t>
      </w:r>
    </w:p>
    <w:p w14:paraId="731861BD" w14:textId="77777777" w:rsidR="006010DD" w:rsidRDefault="006010DD" w:rsidP="004B1F01">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lang w:val="el-GR"/>
        </w:rPr>
      </w:pPr>
      <w:r w:rsidRPr="00F4074C">
        <w:rPr>
          <w:rFonts w:eastAsia="Times New Roman" w:cs="Times New Roman"/>
          <w:b/>
          <w:bCs/>
          <w:lang w:val="el-GR"/>
        </w:rPr>
        <w:t>α)</w:t>
      </w:r>
      <w:r>
        <w:rPr>
          <w:rFonts w:eastAsia="Times New Roman" w:cs="Times New Roman"/>
          <w:lang w:val="el-GR"/>
        </w:rPr>
        <w:t xml:space="preserve"> </w:t>
      </w:r>
      <w:r w:rsidR="004B1F01" w:rsidRPr="004B1F01">
        <w:rPr>
          <w:rFonts w:eastAsia="Times New Roman" w:cs="Times New Roman"/>
          <w:lang w:val="el-GR"/>
        </w:rPr>
        <w:t xml:space="preserve">Την αναγνώριση του γεγονότος ότι η αναπηρία και </w:t>
      </w:r>
      <w:r w:rsidR="001E12EA" w:rsidRPr="00343769">
        <w:rPr>
          <w:rFonts w:eastAsia="Times New Roman" w:cs="Times New Roman"/>
          <w:lang w:val="el-GR"/>
        </w:rPr>
        <w:t>η</w:t>
      </w:r>
      <w:r w:rsidR="001E12EA">
        <w:rPr>
          <w:rFonts w:eastAsia="Times New Roman" w:cs="Times New Roman"/>
          <w:lang w:val="el-GR"/>
        </w:rPr>
        <w:t xml:space="preserve"> </w:t>
      </w:r>
      <w:r w:rsidR="004B1F01" w:rsidRPr="004B1F01">
        <w:rPr>
          <w:rFonts w:eastAsia="Times New Roman" w:cs="Times New Roman"/>
          <w:lang w:val="el-GR"/>
        </w:rPr>
        <w:t>χρόνια πάθηση συνεπάγεται δημιουργ</w:t>
      </w:r>
      <w:r w:rsidR="00963687">
        <w:rPr>
          <w:rFonts w:eastAsia="Times New Roman" w:cs="Times New Roman"/>
          <w:lang w:val="el-GR"/>
        </w:rPr>
        <w:t xml:space="preserve">ία πρόσθετου κόστους διαβίωσης </w:t>
      </w:r>
      <w:r>
        <w:rPr>
          <w:rFonts w:eastAsia="Times New Roman" w:cs="Times New Roman"/>
          <w:lang w:val="el-GR"/>
        </w:rPr>
        <w:t xml:space="preserve">και </w:t>
      </w:r>
      <w:r w:rsidR="004B1F01" w:rsidRPr="004B1F01">
        <w:rPr>
          <w:rFonts w:eastAsia="Times New Roman" w:cs="Times New Roman"/>
          <w:lang w:val="el-GR"/>
        </w:rPr>
        <w:t>τη διαμόρφωση ενός πλαισίου μέτρων που θα διασφαλίζει ένα επαρκές επίπεδο διαβίωσης, όπως το Σύνταγμα της χώρας ορίζει στο άρθρο 25, άρθρο 21, παρ.6 και το άρθρο 28 της Σύμβασης</w:t>
      </w:r>
      <w:r w:rsidR="00564A98">
        <w:rPr>
          <w:rFonts w:eastAsia="Times New Roman" w:cs="Times New Roman"/>
          <w:lang w:val="el-GR"/>
        </w:rPr>
        <w:t xml:space="preserve"> για τα Δικαιώματα των Ατόμων με Αναπηρίες</w:t>
      </w:r>
      <w:r w:rsidR="004B1F01" w:rsidRPr="004B1F01">
        <w:rPr>
          <w:rFonts w:eastAsia="Times New Roman" w:cs="Times New Roman"/>
          <w:lang w:val="el-GR"/>
        </w:rPr>
        <w:t>,</w:t>
      </w:r>
      <w:r w:rsidR="00963687">
        <w:rPr>
          <w:rFonts w:eastAsia="Times New Roman" w:cs="Times New Roman"/>
          <w:lang w:val="el-GR"/>
        </w:rPr>
        <w:t xml:space="preserve"> λαμβάνοντας υπόψη αυτό το</w:t>
      </w:r>
      <w:r>
        <w:rPr>
          <w:rFonts w:eastAsia="Times New Roman" w:cs="Times New Roman"/>
          <w:lang w:val="el-GR"/>
        </w:rPr>
        <w:t xml:space="preserve"> πρόσθετο κόστος διαβίωσης των ατόμων</w:t>
      </w:r>
      <w:r w:rsidR="00963687">
        <w:rPr>
          <w:rFonts w:eastAsia="Times New Roman" w:cs="Times New Roman"/>
          <w:lang w:val="el-GR"/>
        </w:rPr>
        <w:t xml:space="preserve"> με αναπηρία ή/και χρόνιες παθήσεις</w:t>
      </w:r>
      <w:r>
        <w:rPr>
          <w:rFonts w:eastAsia="Times New Roman" w:cs="Times New Roman"/>
          <w:lang w:val="el-GR"/>
        </w:rPr>
        <w:t xml:space="preserve">. </w:t>
      </w:r>
      <w:r w:rsidR="004B1F01" w:rsidRPr="004B1F01">
        <w:rPr>
          <w:rFonts w:eastAsia="Times New Roman" w:cs="Times New Roman"/>
          <w:lang w:val="el-GR"/>
        </w:rPr>
        <w:t xml:space="preserve"> </w:t>
      </w:r>
      <w:r w:rsidR="004B1F01" w:rsidRPr="00F4074C">
        <w:rPr>
          <w:rFonts w:eastAsia="Times New Roman" w:cs="Times New Roman"/>
          <w:b/>
          <w:bCs/>
          <w:lang w:val="el-GR"/>
        </w:rPr>
        <w:t xml:space="preserve">β) </w:t>
      </w:r>
      <w:r w:rsidR="004B1F01" w:rsidRPr="004B1F01">
        <w:rPr>
          <w:rFonts w:eastAsia="Times New Roman" w:cs="Times New Roman"/>
          <w:lang w:val="el-GR"/>
        </w:rPr>
        <w:t xml:space="preserve">Τον σχεδιασμό και την εφαρμογή ενός δίκαιου ασφαλιστικού και </w:t>
      </w:r>
      <w:r w:rsidR="00963687">
        <w:rPr>
          <w:rFonts w:eastAsia="Times New Roman" w:cs="Times New Roman"/>
          <w:lang w:val="el-GR"/>
        </w:rPr>
        <w:t>συνταξιοδοτικού συστήματος μέσω κυρίως</w:t>
      </w:r>
      <w:r w:rsidR="004B1F01" w:rsidRPr="004B1F01">
        <w:rPr>
          <w:rFonts w:eastAsia="Times New Roman" w:cs="Times New Roman"/>
          <w:lang w:val="el-GR"/>
        </w:rPr>
        <w:t xml:space="preserve"> της αναμόρφωσης του ν.4387/2016 με τον οποίο έχουν καταργηθεί σημαντικά δικαιώματα και παροχές, </w:t>
      </w:r>
      <w:r w:rsidR="00963687">
        <w:rPr>
          <w:rFonts w:eastAsia="Times New Roman" w:cs="Times New Roman"/>
          <w:lang w:val="el-GR"/>
        </w:rPr>
        <w:t xml:space="preserve">και </w:t>
      </w:r>
      <w:r w:rsidR="00963687" w:rsidRPr="00F4074C">
        <w:rPr>
          <w:rFonts w:eastAsia="Times New Roman" w:cs="Times New Roman"/>
          <w:b/>
          <w:bCs/>
          <w:lang w:val="el-GR"/>
        </w:rPr>
        <w:t>γ)</w:t>
      </w:r>
      <w:r w:rsidR="00963687">
        <w:rPr>
          <w:rFonts w:eastAsia="Times New Roman" w:cs="Times New Roman"/>
          <w:lang w:val="el-GR"/>
        </w:rPr>
        <w:t xml:space="preserve"> </w:t>
      </w:r>
      <w:r w:rsidR="004B1F01" w:rsidRPr="004B1F01">
        <w:rPr>
          <w:rFonts w:eastAsia="Times New Roman" w:cs="Times New Roman"/>
          <w:lang w:val="el-GR"/>
        </w:rPr>
        <w:t xml:space="preserve">τον σχεδιασμό και την εφαρμογή ενός φορολογικού συστήματος -σύμφωνο προς τη σύσταση (παρ. 41) των Τελικών Παρατηρήσεων της Επιτροπής των Ηνωμένων Εθνών για τα Δικαιώματα των </w:t>
      </w:r>
      <w:r w:rsidR="004B1F01" w:rsidRPr="004B1F01">
        <w:rPr>
          <w:rFonts w:eastAsia="Times New Roman" w:cs="Times New Roman"/>
          <w:lang w:val="el-GR"/>
        </w:rPr>
        <w:lastRenderedPageBreak/>
        <w:t xml:space="preserve">Ατόμων με Αναπηρίες- </w:t>
      </w:r>
      <w:r w:rsidR="00564A98">
        <w:rPr>
          <w:rFonts w:eastAsia="Times New Roman" w:cs="Times New Roman"/>
          <w:lang w:val="el-GR"/>
        </w:rPr>
        <w:t xml:space="preserve">που θα συμβάλει στην προστασία και την </w:t>
      </w:r>
      <w:r w:rsidR="004B1F01" w:rsidRPr="004B1F01">
        <w:rPr>
          <w:rFonts w:eastAsia="Times New Roman" w:cs="Times New Roman"/>
          <w:lang w:val="el-GR"/>
        </w:rPr>
        <w:t xml:space="preserve">εισοδηματική ενίσχυση </w:t>
      </w:r>
      <w:r w:rsidR="00564A98">
        <w:rPr>
          <w:rFonts w:eastAsia="Times New Roman" w:cs="Times New Roman"/>
          <w:lang w:val="el-GR"/>
        </w:rPr>
        <w:t xml:space="preserve">των ατόμων </w:t>
      </w:r>
      <w:r w:rsidR="004B1F01" w:rsidRPr="004B1F01">
        <w:rPr>
          <w:rFonts w:eastAsia="Times New Roman" w:cs="Times New Roman"/>
          <w:lang w:val="el-GR"/>
        </w:rPr>
        <w:t>με αν</w:t>
      </w:r>
      <w:r w:rsidR="00564A98">
        <w:rPr>
          <w:rFonts w:eastAsia="Times New Roman" w:cs="Times New Roman"/>
          <w:lang w:val="el-GR"/>
        </w:rPr>
        <w:t>απηρία, χρόνιες παθήσεις και των οικογενειών</w:t>
      </w:r>
      <w:r w:rsidR="004B1F01" w:rsidRPr="004B1F01">
        <w:rPr>
          <w:rFonts w:eastAsia="Times New Roman" w:cs="Times New Roman"/>
          <w:lang w:val="el-GR"/>
        </w:rPr>
        <w:t xml:space="preserve"> τους, </w:t>
      </w:r>
      <w:r w:rsidR="00CE4AA8" w:rsidRPr="00CE4AA8">
        <w:rPr>
          <w:lang w:val="el-GR"/>
        </w:rPr>
        <w:t xml:space="preserve">μέσω της εφαρμογής συγκεκριμένων μέτρων, όπως είναι η διατήρηση των </w:t>
      </w:r>
      <w:r w:rsidR="00564A98">
        <w:rPr>
          <w:lang w:val="el-GR"/>
        </w:rPr>
        <w:t xml:space="preserve">εν ισχύ </w:t>
      </w:r>
      <w:r w:rsidR="00CE4AA8" w:rsidRPr="00CE4AA8">
        <w:rPr>
          <w:lang w:val="el-GR"/>
        </w:rPr>
        <w:t>φοροαπαλλαγών, η απαλλαγή όλων των ατόμων με αναπηρία από την ειδική εισφορά αλληλεγγύης, τον ΕΝΦΙΑ για την πρώτη κατοικία ανεξαρτήτως εισοδήματος και τα τεκμήρια του εισοδήματος.</w:t>
      </w:r>
    </w:p>
    <w:p w14:paraId="096A903E" w14:textId="77777777" w:rsidR="00E17F27" w:rsidRPr="00564A98" w:rsidRDefault="00564A98" w:rsidP="006010DD">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lang w:val="el-GR"/>
        </w:rPr>
        <w:t>Τέλος</w:t>
      </w:r>
      <w:r w:rsidR="00700911">
        <w:rPr>
          <w:lang w:val="el-GR"/>
        </w:rPr>
        <w:t>,</w:t>
      </w:r>
      <w:r>
        <w:rPr>
          <w:lang w:val="el-GR"/>
        </w:rPr>
        <w:t xml:space="preserve"> είναι παραπάνω από αυτον</w:t>
      </w:r>
      <w:r w:rsidR="00700911">
        <w:rPr>
          <w:lang w:val="el-GR"/>
        </w:rPr>
        <w:t>όητη</w:t>
      </w:r>
      <w:r>
        <w:rPr>
          <w:lang w:val="el-GR"/>
        </w:rPr>
        <w:t xml:space="preserve"> η υποχρέωση να διασφαλιστούν και να διατηρηθούν </w:t>
      </w:r>
      <w:r w:rsidR="001A0DAE">
        <w:rPr>
          <w:lang w:val="el-GR"/>
        </w:rPr>
        <w:t xml:space="preserve">στο ακέραιο </w:t>
      </w:r>
      <w:r>
        <w:rPr>
          <w:rFonts w:eastAsia="Times New Roman" w:cs="Times New Roman"/>
          <w:lang w:val="el-GR"/>
        </w:rPr>
        <w:t>τα υφιστάμενα</w:t>
      </w:r>
      <w:r w:rsidR="006010DD">
        <w:rPr>
          <w:rFonts w:eastAsia="Times New Roman" w:cs="Times New Roman"/>
          <w:lang w:val="el-GR"/>
        </w:rPr>
        <w:t xml:space="preserve"> </w:t>
      </w:r>
      <w:r>
        <w:rPr>
          <w:rFonts w:eastAsia="Times New Roman" w:cs="Times New Roman"/>
          <w:lang w:val="el-GR"/>
        </w:rPr>
        <w:t>αναπηρικά επιδόματα</w:t>
      </w:r>
      <w:r w:rsidR="001A0DAE">
        <w:rPr>
          <w:rFonts w:eastAsia="Times New Roman" w:cs="Times New Roman"/>
          <w:lang w:val="el-GR"/>
        </w:rPr>
        <w:t>,</w:t>
      </w:r>
      <w:r w:rsidR="004B1F01" w:rsidRPr="004B1F01">
        <w:rPr>
          <w:rFonts w:eastAsia="Times New Roman" w:cs="Times New Roman"/>
          <w:lang w:val="el-GR"/>
        </w:rPr>
        <w:t xml:space="preserve"> καθώς η οποιαδήποτε ελάχιστη μείωση ή περικοπή </w:t>
      </w:r>
      <w:r w:rsidR="00700911">
        <w:rPr>
          <w:rFonts w:eastAsia="Times New Roman" w:cs="Times New Roman"/>
          <w:lang w:val="el-GR"/>
        </w:rPr>
        <w:t>ή αλλαγή στο σύστημα αξιολόγησης</w:t>
      </w:r>
      <w:r w:rsidR="001A0DAE">
        <w:rPr>
          <w:rFonts w:eastAsia="Times New Roman" w:cs="Times New Roman"/>
          <w:lang w:val="el-GR"/>
        </w:rPr>
        <w:t xml:space="preserve"> και πιστοποίησης της αναπηρίας, θα οδηγούσε στην </w:t>
      </w:r>
      <w:r w:rsidR="00F55A5A">
        <w:rPr>
          <w:rFonts w:eastAsia="Times New Roman" w:cs="Times New Roman"/>
          <w:lang w:val="el-GR"/>
        </w:rPr>
        <w:t xml:space="preserve">πλήρη </w:t>
      </w:r>
      <w:r w:rsidR="001A0DAE">
        <w:rPr>
          <w:rFonts w:eastAsia="Times New Roman" w:cs="Times New Roman"/>
          <w:lang w:val="el-GR"/>
        </w:rPr>
        <w:t>εξαθλίωση</w:t>
      </w:r>
      <w:r w:rsidR="004B1F01" w:rsidRPr="004B1F01">
        <w:rPr>
          <w:rFonts w:eastAsia="Times New Roman" w:cs="Times New Roman"/>
          <w:lang w:val="el-GR"/>
        </w:rPr>
        <w:t xml:space="preserve"> </w:t>
      </w:r>
      <w:r w:rsidR="00700911">
        <w:rPr>
          <w:rFonts w:eastAsia="Times New Roman" w:cs="Times New Roman"/>
          <w:lang w:val="el-GR"/>
        </w:rPr>
        <w:t xml:space="preserve">πολλά άτομα με αναπηρία ή/και χρόνιες παθήσεις. </w:t>
      </w:r>
    </w:p>
    <w:p w14:paraId="582C424F" w14:textId="77777777" w:rsidR="00E17F27" w:rsidRDefault="00E17F27" w:rsidP="00E17F27">
      <w:pPr>
        <w:rPr>
          <w:lang w:val="el-GR"/>
        </w:rPr>
      </w:pPr>
    </w:p>
    <w:p w14:paraId="454B43EE" w14:textId="77777777" w:rsidR="00E17F27" w:rsidRDefault="00E17F27" w:rsidP="00E17F27">
      <w:pPr>
        <w:rPr>
          <w:lang w:val="el-GR"/>
        </w:rPr>
      </w:pPr>
    </w:p>
    <w:p w14:paraId="7379E1F7" w14:textId="77777777" w:rsidR="005C287C" w:rsidRDefault="005C287C" w:rsidP="00F4074C">
      <w:pPr>
        <w:pStyle w:val="10"/>
        <w:spacing w:before="1080" w:after="120"/>
        <w:ind w:left="431" w:hanging="431"/>
        <w:jc w:val="center"/>
        <w:rPr>
          <w:rFonts w:asciiTheme="minorHAnsi" w:hAnsiTheme="minorHAnsi" w:cstheme="minorHAnsi"/>
          <w:b/>
          <w:color w:val="auto"/>
          <w:u w:val="single"/>
          <w:lang w:val="el-GR"/>
        </w:rPr>
      </w:pPr>
      <w:bookmarkStart w:id="0" w:name="_Toc59179436"/>
      <w:r w:rsidRPr="00CB77DA">
        <w:rPr>
          <w:rFonts w:asciiTheme="minorHAnsi" w:hAnsiTheme="minorHAnsi" w:cstheme="minorHAnsi"/>
          <w:b/>
          <w:color w:val="auto"/>
          <w:u w:val="single"/>
          <w:lang w:val="el-GR"/>
        </w:rPr>
        <w:t>ΑΝΑΛΥΣΗ ΕΥΡΥΜΑΤΩΝ</w:t>
      </w:r>
      <w:bookmarkEnd w:id="0"/>
    </w:p>
    <w:p w14:paraId="25DEBF23" w14:textId="77777777" w:rsidR="00903F32" w:rsidRPr="005F5798" w:rsidRDefault="005F5798" w:rsidP="005F5798">
      <w:pPr>
        <w:pStyle w:val="10"/>
        <w:numPr>
          <w:ilvl w:val="0"/>
          <w:numId w:val="11"/>
        </w:numPr>
        <w:ind w:left="426"/>
        <w:rPr>
          <w:b/>
          <w:color w:val="auto"/>
          <w:lang w:val="el-GR"/>
        </w:rPr>
      </w:pPr>
      <w:bookmarkStart w:id="1" w:name="_Toc59179437"/>
      <w:r w:rsidRPr="005F5798">
        <w:rPr>
          <w:b/>
          <w:color w:val="auto"/>
          <w:lang w:val="el-GR"/>
        </w:rPr>
        <w:t>Ο Σύνθετος Δείκτης: «Ποσοστό πληθυσμού σε κίνδυνο φ</w:t>
      </w:r>
      <w:r>
        <w:rPr>
          <w:b/>
          <w:color w:val="auto"/>
          <w:lang w:val="el-GR"/>
        </w:rPr>
        <w:t xml:space="preserve">τώχειας ή </w:t>
      </w:r>
      <w:r w:rsidR="00C355C0">
        <w:rPr>
          <w:b/>
          <w:color w:val="auto"/>
          <w:lang w:val="el-GR"/>
        </w:rPr>
        <w:t xml:space="preserve">σε </w:t>
      </w:r>
      <w:r>
        <w:rPr>
          <w:b/>
          <w:color w:val="auto"/>
          <w:lang w:val="el-GR"/>
        </w:rPr>
        <w:t>κοινωνικό αποκλεισμό»</w:t>
      </w:r>
      <w:bookmarkEnd w:id="1"/>
    </w:p>
    <w:p w14:paraId="6D5765AC" w14:textId="77777777" w:rsidR="003A006D" w:rsidRDefault="003A006D" w:rsidP="00903F32">
      <w:pPr>
        <w:pStyle w:val="Default"/>
        <w:keepNext/>
        <w:ind w:left="284" w:right="142"/>
        <w:jc w:val="both"/>
      </w:pPr>
    </w:p>
    <w:p w14:paraId="5CD7D8EF" w14:textId="77777777" w:rsidR="00F4074C" w:rsidRDefault="00C355C0" w:rsidP="005F5798">
      <w:pPr>
        <w:jc w:val="both"/>
        <w:rPr>
          <w:rFonts w:ascii="Times New Roman" w:hAnsi="Times New Roman"/>
          <w:sz w:val="24"/>
          <w:szCs w:val="24"/>
          <w:lang w:val="el-GR"/>
        </w:rPr>
      </w:pPr>
      <w:r>
        <w:rPr>
          <w:rFonts w:ascii="Times New Roman" w:hAnsi="Times New Roman"/>
          <w:sz w:val="24"/>
          <w:szCs w:val="24"/>
          <w:lang w:val="el-GR"/>
        </w:rPr>
        <w:t>Ο σύνθετος δείκτης «Ποσοστό</w:t>
      </w:r>
      <w:r w:rsidR="005F5798" w:rsidRPr="005F5798">
        <w:rPr>
          <w:rFonts w:ascii="Times New Roman" w:hAnsi="Times New Roman"/>
          <w:sz w:val="24"/>
          <w:szCs w:val="24"/>
          <w:lang w:val="el-GR"/>
        </w:rPr>
        <w:t xml:space="preserve"> σε κίνδυνο φτώχειας ή</w:t>
      </w:r>
      <w:r>
        <w:rPr>
          <w:rFonts w:ascii="Times New Roman" w:hAnsi="Times New Roman"/>
          <w:sz w:val="24"/>
          <w:szCs w:val="24"/>
          <w:lang w:val="el-GR"/>
        </w:rPr>
        <w:t xml:space="preserve"> σε </w:t>
      </w:r>
      <w:r w:rsidR="005F5798" w:rsidRPr="005F5798">
        <w:rPr>
          <w:rFonts w:ascii="Times New Roman" w:hAnsi="Times New Roman"/>
          <w:sz w:val="24"/>
          <w:szCs w:val="24"/>
          <w:lang w:val="el-GR"/>
        </w:rPr>
        <w:t>κοινωνικό αποκλεισμό» συνυπολογίζει 3 διαφορετικές συνιστώσες (</w:t>
      </w:r>
      <w:proofErr w:type="spellStart"/>
      <w:r w:rsidR="005F5798" w:rsidRPr="005F5798">
        <w:rPr>
          <w:rFonts w:ascii="Times New Roman" w:hAnsi="Times New Roman"/>
          <w:sz w:val="24"/>
          <w:szCs w:val="24"/>
          <w:lang w:val="el-GR"/>
        </w:rPr>
        <w:t>υποδείκτες</w:t>
      </w:r>
      <w:proofErr w:type="spellEnd"/>
      <w:r w:rsidR="005F5798" w:rsidRPr="005F5798">
        <w:rPr>
          <w:rFonts w:ascii="Times New Roman" w:hAnsi="Times New Roman"/>
          <w:sz w:val="24"/>
          <w:szCs w:val="24"/>
          <w:lang w:val="el-GR"/>
        </w:rPr>
        <w:t xml:space="preserve">) της φτώχειας και του αποκλεισμού: </w:t>
      </w:r>
    </w:p>
    <w:p w14:paraId="1D17A466" w14:textId="2F0A957A" w:rsidR="00F4074C" w:rsidRPr="00F4074C" w:rsidRDefault="00C355C0" w:rsidP="00F4074C">
      <w:pPr>
        <w:pStyle w:val="a9"/>
        <w:numPr>
          <w:ilvl w:val="0"/>
          <w:numId w:val="14"/>
        </w:numPr>
        <w:rPr>
          <w:rFonts w:ascii="Times New Roman" w:hAnsi="Times New Roman"/>
          <w:sz w:val="24"/>
          <w:szCs w:val="24"/>
          <w:lang w:val="el-GR"/>
        </w:rPr>
      </w:pPr>
      <w:r w:rsidRPr="00F4074C">
        <w:rPr>
          <w:rFonts w:ascii="Times New Roman" w:hAnsi="Times New Roman"/>
          <w:sz w:val="24"/>
          <w:szCs w:val="24"/>
          <w:lang w:val="el-GR"/>
        </w:rPr>
        <w:t>τον πληθυσμό</w:t>
      </w:r>
      <w:r w:rsidR="005F5798" w:rsidRPr="00F4074C">
        <w:rPr>
          <w:rFonts w:ascii="Times New Roman" w:hAnsi="Times New Roman"/>
          <w:sz w:val="24"/>
          <w:szCs w:val="24"/>
          <w:lang w:val="el-GR"/>
        </w:rPr>
        <w:t xml:space="preserve"> σε κίνδυνο φτώχειας, </w:t>
      </w:r>
    </w:p>
    <w:p w14:paraId="1FD33B49" w14:textId="77777777" w:rsidR="00F4074C" w:rsidRPr="00F4074C" w:rsidRDefault="005F5798" w:rsidP="00F4074C">
      <w:pPr>
        <w:pStyle w:val="a9"/>
        <w:numPr>
          <w:ilvl w:val="0"/>
          <w:numId w:val="14"/>
        </w:numPr>
        <w:rPr>
          <w:rFonts w:ascii="Times New Roman" w:hAnsi="Times New Roman"/>
          <w:sz w:val="24"/>
          <w:szCs w:val="24"/>
          <w:lang w:val="el-GR"/>
        </w:rPr>
      </w:pPr>
      <w:r w:rsidRPr="00F4074C">
        <w:rPr>
          <w:rFonts w:ascii="Times New Roman" w:hAnsi="Times New Roman"/>
          <w:sz w:val="24"/>
          <w:szCs w:val="24"/>
          <w:lang w:val="el-GR"/>
        </w:rPr>
        <w:t xml:space="preserve">τον πληθυσμό με υλικές στερήσεις (δηλαδή πληθυσμός που στερείται τουλάχιστον 4 από έναν κατάλογο 9 </w:t>
      </w:r>
      <w:r w:rsidR="00C355C0" w:rsidRPr="00F4074C">
        <w:rPr>
          <w:rFonts w:ascii="Times New Roman" w:hAnsi="Times New Roman"/>
          <w:sz w:val="24"/>
          <w:szCs w:val="24"/>
          <w:lang w:val="el-GR"/>
        </w:rPr>
        <w:t xml:space="preserve">βασικών </w:t>
      </w:r>
      <w:r w:rsidRPr="00F4074C">
        <w:rPr>
          <w:rFonts w:ascii="Times New Roman" w:hAnsi="Times New Roman"/>
          <w:sz w:val="24"/>
          <w:szCs w:val="24"/>
          <w:lang w:val="el-GR"/>
        </w:rPr>
        <w:t xml:space="preserve">αγαθών και υπηρεσιών), και </w:t>
      </w:r>
    </w:p>
    <w:p w14:paraId="4CE46E05" w14:textId="087C3393" w:rsidR="005F5798" w:rsidRPr="00F4074C" w:rsidRDefault="005F5798" w:rsidP="00F4074C">
      <w:pPr>
        <w:pStyle w:val="a9"/>
        <w:numPr>
          <w:ilvl w:val="0"/>
          <w:numId w:val="14"/>
        </w:numPr>
        <w:rPr>
          <w:rFonts w:ascii="Times New Roman" w:hAnsi="Times New Roman"/>
          <w:sz w:val="24"/>
          <w:szCs w:val="24"/>
          <w:lang w:val="el-GR"/>
        </w:rPr>
      </w:pPr>
      <w:r w:rsidRPr="00F4074C">
        <w:rPr>
          <w:rFonts w:ascii="Times New Roman" w:hAnsi="Times New Roman"/>
          <w:sz w:val="24"/>
          <w:szCs w:val="24"/>
          <w:lang w:val="el-GR"/>
        </w:rPr>
        <w:t xml:space="preserve">τον πληθυσμό που διαβιεί σε νοικοκυριά με χαμηλή ένταση εργασίας. </w:t>
      </w:r>
    </w:p>
    <w:p w14:paraId="725D9D71" w14:textId="77777777" w:rsidR="00C355C0" w:rsidRDefault="00C355C0" w:rsidP="005F5798">
      <w:pPr>
        <w:jc w:val="both"/>
        <w:rPr>
          <w:rFonts w:ascii="Times New Roman" w:hAnsi="Times New Roman"/>
          <w:sz w:val="24"/>
          <w:szCs w:val="24"/>
          <w:lang w:val="el-GR"/>
        </w:rPr>
      </w:pPr>
    </w:p>
    <w:p w14:paraId="0C6DD9E9" w14:textId="77777777" w:rsidR="005F5798" w:rsidRPr="008648CC" w:rsidRDefault="005F5798" w:rsidP="005F5798">
      <w:pPr>
        <w:jc w:val="both"/>
        <w:rPr>
          <w:rFonts w:ascii="Times New Roman" w:hAnsi="Times New Roman"/>
          <w:sz w:val="24"/>
          <w:szCs w:val="24"/>
          <w:lang w:val="el-GR"/>
        </w:rPr>
      </w:pPr>
      <w:r w:rsidRPr="005F5798">
        <w:rPr>
          <w:rFonts w:ascii="Times New Roman" w:hAnsi="Times New Roman"/>
          <w:sz w:val="24"/>
          <w:szCs w:val="24"/>
          <w:lang w:val="el-GR"/>
        </w:rPr>
        <w:t xml:space="preserve">Το 2019 σε κίνδυνο φτώχειας ή κοινωνικό αποκλεισμό βρίσκεται το 37% των ατόμων ηλικίας 16 ετών και άνω με σοβαρή αναπηρία, και το 29% </w:t>
      </w:r>
      <w:r w:rsidR="002A4671">
        <w:rPr>
          <w:rFonts w:ascii="Times New Roman" w:hAnsi="Times New Roman"/>
          <w:sz w:val="24"/>
          <w:szCs w:val="24"/>
          <w:lang w:val="el-GR"/>
        </w:rPr>
        <w:t xml:space="preserve">των ατόμων χωρίς </w:t>
      </w:r>
      <w:r w:rsidRPr="005F5798">
        <w:rPr>
          <w:rFonts w:ascii="Times New Roman" w:hAnsi="Times New Roman"/>
          <w:sz w:val="24"/>
          <w:szCs w:val="24"/>
          <w:lang w:val="el-GR"/>
        </w:rPr>
        <w:t>αναπηρία</w:t>
      </w:r>
      <w:r w:rsidR="002A4671">
        <w:rPr>
          <w:rFonts w:ascii="Times New Roman" w:hAnsi="Times New Roman"/>
          <w:sz w:val="24"/>
          <w:szCs w:val="24"/>
          <w:lang w:val="el-GR"/>
        </w:rPr>
        <w:t>,</w:t>
      </w:r>
      <w:r w:rsidR="002A4671" w:rsidRPr="002A4671">
        <w:rPr>
          <w:rFonts w:ascii="Times New Roman" w:hAnsi="Times New Roman"/>
          <w:sz w:val="24"/>
          <w:szCs w:val="24"/>
          <w:lang w:val="el-GR"/>
        </w:rPr>
        <w:t xml:space="preserve"> </w:t>
      </w:r>
      <w:r w:rsidR="002A4671">
        <w:rPr>
          <w:rFonts w:ascii="Times New Roman" w:hAnsi="Times New Roman"/>
          <w:sz w:val="24"/>
          <w:szCs w:val="24"/>
          <w:lang w:val="el-GR"/>
        </w:rPr>
        <w:t>ίδιας ηλικίας</w:t>
      </w:r>
      <w:r w:rsidRPr="005F5798">
        <w:rPr>
          <w:rFonts w:ascii="Times New Roman" w:hAnsi="Times New Roman"/>
          <w:sz w:val="24"/>
          <w:szCs w:val="24"/>
          <w:lang w:val="el-GR"/>
        </w:rPr>
        <w:t xml:space="preserve">. </w:t>
      </w:r>
    </w:p>
    <w:p w14:paraId="6D4D7BCF" w14:textId="40D13854" w:rsidR="005F5798" w:rsidRDefault="005F5798" w:rsidP="005F5798">
      <w:pPr>
        <w:pStyle w:val="10"/>
        <w:ind w:left="567" w:right="651"/>
        <w:rPr>
          <w:b/>
          <w:sz w:val="24"/>
          <w:szCs w:val="24"/>
          <w:lang w:val="el-GR"/>
        </w:rPr>
      </w:pPr>
      <w:bookmarkStart w:id="2" w:name="_Toc59179438"/>
      <w:r w:rsidRPr="005F5798">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DA4DF6">
        <w:rPr>
          <w:b/>
          <w:noProof/>
          <w:sz w:val="24"/>
          <w:szCs w:val="24"/>
          <w:lang w:val="el-GR"/>
        </w:rPr>
        <w:t>1</w:t>
      </w:r>
      <w:r w:rsidR="0084626E">
        <w:rPr>
          <w:b/>
          <w:sz w:val="24"/>
          <w:szCs w:val="24"/>
          <w:lang w:val="el-GR"/>
        </w:rPr>
        <w:fldChar w:fldCharType="end"/>
      </w:r>
      <w:r w:rsidRPr="005F5798">
        <w:rPr>
          <w:b/>
          <w:sz w:val="24"/>
          <w:szCs w:val="24"/>
          <w:lang w:val="el-GR"/>
        </w:rPr>
        <w:t xml:space="preserve">: Ποσοστό πληθυσμού (16+ ετών) σε κίνδυνο φτώχειας ή </w:t>
      </w:r>
      <w:r w:rsidR="007241E6">
        <w:rPr>
          <w:b/>
          <w:sz w:val="24"/>
          <w:szCs w:val="24"/>
          <w:lang w:val="el-GR"/>
        </w:rPr>
        <w:t xml:space="preserve">σε </w:t>
      </w:r>
      <w:r w:rsidRPr="005F5798">
        <w:rPr>
          <w:b/>
          <w:sz w:val="24"/>
          <w:szCs w:val="24"/>
          <w:lang w:val="el-GR"/>
        </w:rPr>
        <w:t>κοινωνικό αποκλεισμό και κατάσταση αναπηρίας το 2019</w:t>
      </w:r>
      <w:bookmarkEnd w:id="2"/>
    </w:p>
    <w:p w14:paraId="5093AEEE" w14:textId="77777777" w:rsidR="002A4671" w:rsidRPr="002A4671" w:rsidRDefault="002A4671" w:rsidP="002A4671">
      <w:pPr>
        <w:ind w:left="709"/>
        <w:rPr>
          <w:lang w:val="el-GR"/>
        </w:rPr>
      </w:pPr>
      <w:r w:rsidRPr="002A4671">
        <w:rPr>
          <w:noProof/>
          <w:lang w:val="el-GR" w:eastAsia="el-GR"/>
        </w:rPr>
        <w:drawing>
          <wp:inline distT="0" distB="0" distL="0" distR="0" wp14:anchorId="28EEBCB3" wp14:editId="11660A5D">
            <wp:extent cx="4572000" cy="2857500"/>
            <wp:effectExtent l="0" t="0" r="0" b="0"/>
            <wp:docPr id="18" name="Γράφημα 18" descr="Σοβαρή αναπηρία 36,7%&#10;Μέτρια αναπηρία 30,7%&#10;Χωρίς αναπηρία 29,0%">
              <a:extLst xmlns:a="http://schemas.openxmlformats.org/drawingml/2006/main">
                <a:ext uri="{FF2B5EF4-FFF2-40B4-BE49-F238E27FC236}">
                  <a16:creationId xmlns:a16="http://schemas.microsoft.com/office/drawing/2014/main" id="{790E8474-EEF0-41AA-9A76-76E1AC189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AACEAE" w14:textId="77777777" w:rsidR="005F5798" w:rsidRPr="006B62F0" w:rsidRDefault="006B62F0" w:rsidP="00D34ABE">
      <w:pPr>
        <w:pStyle w:val="aa"/>
        <w:ind w:left="851"/>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w:t>
      </w:r>
      <w:r w:rsidR="00026DEE">
        <w:t xml:space="preserve"> database</w:t>
      </w:r>
      <w:r>
        <w:t>, EU-SILC (</w:t>
      </w:r>
      <w:r w:rsidRPr="006B62F0">
        <w:t>Statistics on Income and Living Conditions</w:t>
      </w:r>
      <w:r>
        <w:t>)</w:t>
      </w:r>
    </w:p>
    <w:p w14:paraId="4FC7CA78" w14:textId="77777777" w:rsidR="005F5798" w:rsidRPr="006B62F0" w:rsidRDefault="005F5798" w:rsidP="005F5798">
      <w:pPr>
        <w:jc w:val="both"/>
        <w:rPr>
          <w:rFonts w:ascii="Times New Roman" w:hAnsi="Times New Roman"/>
          <w:sz w:val="24"/>
          <w:szCs w:val="24"/>
        </w:rPr>
      </w:pPr>
    </w:p>
    <w:p w14:paraId="3EAF2E97" w14:textId="77777777" w:rsidR="005F5798" w:rsidRPr="005F5798" w:rsidRDefault="007241E6" w:rsidP="005F5798">
      <w:pPr>
        <w:jc w:val="both"/>
        <w:rPr>
          <w:rFonts w:ascii="Times New Roman" w:hAnsi="Times New Roman"/>
          <w:sz w:val="24"/>
          <w:szCs w:val="24"/>
          <w:lang w:val="el-GR"/>
        </w:rPr>
      </w:pPr>
      <w:r>
        <w:rPr>
          <w:rFonts w:ascii="Times New Roman" w:hAnsi="Times New Roman"/>
          <w:sz w:val="24"/>
          <w:szCs w:val="24"/>
          <w:lang w:val="el-GR"/>
        </w:rPr>
        <w:t xml:space="preserve">Η πραγματική διάσταση του προβλήματος </w:t>
      </w:r>
      <w:r w:rsidR="005F5798" w:rsidRPr="005F5798">
        <w:rPr>
          <w:rFonts w:ascii="Times New Roman" w:hAnsi="Times New Roman"/>
          <w:sz w:val="24"/>
          <w:szCs w:val="24"/>
          <w:lang w:val="el-GR"/>
        </w:rPr>
        <w:t xml:space="preserve">της φτώχειας και </w:t>
      </w:r>
      <w:r>
        <w:rPr>
          <w:rFonts w:ascii="Times New Roman" w:hAnsi="Times New Roman"/>
          <w:sz w:val="24"/>
          <w:szCs w:val="24"/>
          <w:lang w:val="el-GR"/>
        </w:rPr>
        <w:t xml:space="preserve">του </w:t>
      </w:r>
      <w:r w:rsidR="005F5798" w:rsidRPr="005F5798">
        <w:rPr>
          <w:rFonts w:ascii="Times New Roman" w:hAnsi="Times New Roman"/>
          <w:sz w:val="24"/>
          <w:szCs w:val="24"/>
          <w:lang w:val="el-GR"/>
        </w:rPr>
        <w:t xml:space="preserve">αποκλεισμού, καθώς και το </w:t>
      </w:r>
      <w:r>
        <w:rPr>
          <w:rFonts w:ascii="Times New Roman" w:hAnsi="Times New Roman"/>
          <w:sz w:val="24"/>
          <w:szCs w:val="24"/>
          <w:lang w:val="el-GR"/>
        </w:rPr>
        <w:t>τεράστιο</w:t>
      </w:r>
      <w:r w:rsidR="005F5798" w:rsidRPr="005F5798">
        <w:rPr>
          <w:rFonts w:ascii="Times New Roman" w:hAnsi="Times New Roman"/>
          <w:sz w:val="24"/>
          <w:szCs w:val="24"/>
          <w:lang w:val="el-GR"/>
        </w:rPr>
        <w:t xml:space="preserve"> χάσμα </w:t>
      </w:r>
      <w:r>
        <w:rPr>
          <w:rFonts w:ascii="Times New Roman" w:hAnsi="Times New Roman"/>
          <w:sz w:val="24"/>
          <w:szCs w:val="24"/>
          <w:lang w:val="el-GR"/>
        </w:rPr>
        <w:t xml:space="preserve">μεταξύ των ατόμων </w:t>
      </w:r>
      <w:r w:rsidR="005F5798" w:rsidRPr="005F5798">
        <w:rPr>
          <w:rFonts w:ascii="Times New Roman" w:hAnsi="Times New Roman"/>
          <w:sz w:val="24"/>
          <w:szCs w:val="24"/>
          <w:lang w:val="el-GR"/>
        </w:rPr>
        <w:t xml:space="preserve">με αναπηρία </w:t>
      </w:r>
      <w:r>
        <w:rPr>
          <w:rFonts w:ascii="Times New Roman" w:hAnsi="Times New Roman"/>
          <w:sz w:val="24"/>
          <w:szCs w:val="24"/>
          <w:lang w:val="el-GR"/>
        </w:rPr>
        <w:t xml:space="preserve">και </w:t>
      </w:r>
      <w:r w:rsidR="005F5798" w:rsidRPr="005F5798">
        <w:rPr>
          <w:rFonts w:ascii="Times New Roman" w:hAnsi="Times New Roman"/>
          <w:sz w:val="24"/>
          <w:szCs w:val="24"/>
          <w:lang w:val="el-GR"/>
        </w:rPr>
        <w:t>χωρίς αναπηρία σε επίπεδο υλικών συνθηκών διαβίωσης και κοινωνικής ενσωμάτωσης</w:t>
      </w:r>
      <w:r>
        <w:rPr>
          <w:rFonts w:ascii="Times New Roman" w:hAnsi="Times New Roman"/>
          <w:sz w:val="24"/>
          <w:szCs w:val="24"/>
          <w:lang w:val="el-GR"/>
        </w:rPr>
        <w:t xml:space="preserve">, </w:t>
      </w:r>
      <w:r w:rsidR="005F5798" w:rsidRPr="005F5798">
        <w:rPr>
          <w:rFonts w:ascii="Times New Roman" w:hAnsi="Times New Roman"/>
          <w:sz w:val="24"/>
          <w:szCs w:val="24"/>
          <w:lang w:val="el-GR"/>
        </w:rPr>
        <w:t>αποκ</w:t>
      </w:r>
      <w:r>
        <w:rPr>
          <w:rFonts w:ascii="Times New Roman" w:hAnsi="Times New Roman"/>
          <w:sz w:val="24"/>
          <w:szCs w:val="24"/>
          <w:lang w:val="el-GR"/>
        </w:rPr>
        <w:t>αλύπτεται λαμβάνοντας υπόψη τους παράγοντες</w:t>
      </w:r>
      <w:r w:rsidR="005F5798" w:rsidRPr="005F5798">
        <w:rPr>
          <w:rFonts w:ascii="Times New Roman" w:hAnsi="Times New Roman"/>
          <w:sz w:val="24"/>
          <w:szCs w:val="24"/>
          <w:lang w:val="el-GR"/>
        </w:rPr>
        <w:t xml:space="preserve"> της ηλικίας και τη</w:t>
      </w:r>
      <w:r w:rsidR="00567189">
        <w:rPr>
          <w:rFonts w:ascii="Times New Roman" w:hAnsi="Times New Roman"/>
          <w:sz w:val="24"/>
          <w:szCs w:val="24"/>
          <w:lang w:val="el-GR"/>
        </w:rPr>
        <w:t xml:space="preserve"> </w:t>
      </w:r>
      <w:r w:rsidR="005F5798" w:rsidRPr="005F5798">
        <w:rPr>
          <w:rFonts w:ascii="Times New Roman" w:hAnsi="Times New Roman"/>
          <w:sz w:val="24"/>
          <w:szCs w:val="24"/>
          <w:lang w:val="el-GR"/>
        </w:rPr>
        <w:t xml:space="preserve">σοβαρότητα της αναπηρίας. </w:t>
      </w:r>
    </w:p>
    <w:p w14:paraId="619B3E41" w14:textId="77777777" w:rsidR="005F5798" w:rsidRPr="005F5798" w:rsidRDefault="005F5798" w:rsidP="005F5798">
      <w:pPr>
        <w:jc w:val="both"/>
        <w:rPr>
          <w:rFonts w:ascii="Constantia" w:eastAsia="Georgia" w:hAnsi="Constantia" w:cstheme="majorHAnsi"/>
          <w:bCs/>
          <w:sz w:val="24"/>
          <w:szCs w:val="24"/>
          <w:lang w:val="el-GR"/>
        </w:rPr>
      </w:pPr>
      <w:r w:rsidRPr="005F5798">
        <w:rPr>
          <w:rFonts w:ascii="Times New Roman" w:hAnsi="Times New Roman"/>
          <w:sz w:val="24"/>
          <w:szCs w:val="24"/>
          <w:lang w:val="el-GR"/>
        </w:rPr>
        <w:t>Αναλύοντας τα δεδομένα ανά ηλικιακή ομάδα καταδεικνύεται ότι ο κίνδυνος της φτώχειας και του κοινωνικού αποκλεισμού λαμβάνει τρομακτικές διαστάσεις στα άτομα με σοβαρή αναπηρία στις παραγωγικές ηλικίες, όπου δεν υπάρχει το δίκτυ προστασίας των συντάξεων</w:t>
      </w:r>
      <w:r w:rsidRPr="00FC322E">
        <w:rPr>
          <w:rStyle w:val="a8"/>
          <w:rFonts w:ascii="Constantia" w:eastAsia="Georgia" w:hAnsi="Constantia" w:cstheme="majorHAnsi"/>
          <w:bCs/>
          <w:sz w:val="24"/>
          <w:szCs w:val="24"/>
        </w:rPr>
        <w:footnoteReference w:id="1"/>
      </w:r>
      <w:r w:rsidRPr="005F5798">
        <w:rPr>
          <w:rFonts w:ascii="Constantia" w:eastAsia="Georgia" w:hAnsi="Constantia" w:cstheme="majorHAnsi"/>
          <w:bCs/>
          <w:sz w:val="24"/>
          <w:szCs w:val="24"/>
          <w:lang w:val="el-GR"/>
        </w:rPr>
        <w:t xml:space="preserve">. </w:t>
      </w:r>
    </w:p>
    <w:p w14:paraId="1BB036EE" w14:textId="77777777" w:rsidR="005F5798" w:rsidRPr="005F5798" w:rsidRDefault="005F5798" w:rsidP="005F5798">
      <w:pPr>
        <w:jc w:val="both"/>
        <w:rPr>
          <w:rFonts w:ascii="Times New Roman" w:hAnsi="Times New Roman"/>
          <w:sz w:val="24"/>
          <w:szCs w:val="24"/>
          <w:lang w:val="el-GR"/>
        </w:rPr>
      </w:pPr>
    </w:p>
    <w:p w14:paraId="523810D7" w14:textId="776F44D7" w:rsidR="005F5798" w:rsidRPr="005F5798" w:rsidRDefault="005F5798" w:rsidP="00567189">
      <w:pPr>
        <w:pStyle w:val="10"/>
        <w:ind w:left="851" w:right="651"/>
        <w:rPr>
          <w:b/>
          <w:sz w:val="24"/>
          <w:szCs w:val="24"/>
          <w:lang w:val="el-GR"/>
        </w:rPr>
      </w:pPr>
      <w:bookmarkStart w:id="3" w:name="_Toc59179439"/>
      <w:r w:rsidRPr="005F5798">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DA4DF6">
        <w:rPr>
          <w:b/>
          <w:noProof/>
          <w:sz w:val="24"/>
          <w:szCs w:val="24"/>
          <w:lang w:val="el-GR"/>
        </w:rPr>
        <w:t>2</w:t>
      </w:r>
      <w:r w:rsidR="0084626E">
        <w:rPr>
          <w:b/>
          <w:sz w:val="24"/>
          <w:szCs w:val="24"/>
          <w:lang w:val="el-GR"/>
        </w:rPr>
        <w:fldChar w:fldCharType="end"/>
      </w:r>
      <w:r w:rsidRPr="005F5798">
        <w:rPr>
          <w:b/>
          <w:sz w:val="24"/>
          <w:szCs w:val="24"/>
          <w:lang w:val="el-GR"/>
        </w:rPr>
        <w:t>: Πληθυσμός σε κίνδυνο φτώχειας ή σε κοινωνικό αποκλεισμό ανά ομάδες ηλικιών και κατάσταση αναπηρίας (Σοβαρή αναπηρία/Χωρίς αναπηρία) το 2019</w:t>
      </w:r>
      <w:bookmarkEnd w:id="3"/>
    </w:p>
    <w:p w14:paraId="4BEAF3C7" w14:textId="77777777" w:rsidR="00567189" w:rsidRDefault="005F5798" w:rsidP="00567189">
      <w:pPr>
        <w:keepNext/>
        <w:ind w:left="851"/>
        <w:jc w:val="both"/>
      </w:pPr>
      <w:r w:rsidRPr="001E5437">
        <w:rPr>
          <w:rFonts w:ascii="Times New Roman" w:hAnsi="Times New Roman"/>
          <w:noProof/>
          <w:sz w:val="24"/>
          <w:szCs w:val="24"/>
          <w:lang w:val="el-GR" w:eastAsia="el-GR"/>
        </w:rPr>
        <w:drawing>
          <wp:inline distT="0" distB="0" distL="0" distR="0" wp14:anchorId="01BC8C96" wp14:editId="63B90D8C">
            <wp:extent cx="4752735" cy="2973721"/>
            <wp:effectExtent l="0" t="0" r="0" b="0"/>
            <wp:docPr id="9" name="Γράφημα 2" descr="16-24 ετών: σοβαρή αναπηρία 42,1 και χωρίς αναπηρία 38,9.&#10;25-34 ετών: σοβαρή αναπηρία 69,2 και χωρίς αναπηρία 32.&#10;35-44 ετών: σοβαρή αναπηρία 67,6 και χωρίς αναπηρία 26,4.&#10;45-54 ετών: σοβαρή αναπηρία 58,6 και χωρίς αναπηρία 28,6.&#10;55-64 ετών: σοβαρή αναπηρία 50,9 και χωρίς αναπηρία 32,8.&#10;65 και άνω: σοβαρή αναπηρία 26 και χωρίς αναπηρία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96F3CF" w14:textId="77777777" w:rsidR="00567189" w:rsidRPr="006B62F0" w:rsidRDefault="00567189" w:rsidP="00567189">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2D140FDC" w14:textId="77777777" w:rsidR="005F5798" w:rsidRPr="00F55A5A" w:rsidRDefault="005F5798" w:rsidP="005F5798">
      <w:pPr>
        <w:tabs>
          <w:tab w:val="left" w:pos="3279"/>
        </w:tabs>
        <w:jc w:val="both"/>
        <w:rPr>
          <w:sz w:val="24"/>
          <w:szCs w:val="24"/>
          <w:lang w:val="el-GR"/>
        </w:rPr>
      </w:pPr>
      <w:r w:rsidRPr="00F55A5A">
        <w:rPr>
          <w:sz w:val="24"/>
          <w:szCs w:val="24"/>
          <w:lang w:val="el-GR"/>
        </w:rPr>
        <w:t xml:space="preserve">Πιο αναλυτικά ανά ηλικιακή κατηγορία, σε κίνδυνο φτώχειας ή κοινωνικού αποκλεισμού βρίσκεται: </w:t>
      </w:r>
    </w:p>
    <w:p w14:paraId="75B14595" w14:textId="77777777" w:rsidR="005F5798" w:rsidRPr="00F55A5A" w:rsidRDefault="005F5798" w:rsidP="00F4074C">
      <w:pPr>
        <w:pStyle w:val="a9"/>
        <w:numPr>
          <w:ilvl w:val="0"/>
          <w:numId w:val="12"/>
        </w:numPr>
        <w:rPr>
          <w:sz w:val="24"/>
          <w:szCs w:val="24"/>
          <w:lang w:val="el-GR"/>
        </w:rPr>
      </w:pPr>
      <w:r w:rsidRPr="00F55A5A">
        <w:rPr>
          <w:sz w:val="24"/>
          <w:szCs w:val="24"/>
          <w:lang w:val="el-GR"/>
        </w:rPr>
        <w:t>Το 69,2% του πληθυσμού με σοβαρή αναπηρία 25-34 ετών (έναντι του 32% του πληθυσμού χωρίς αναπηρία),</w:t>
      </w:r>
    </w:p>
    <w:p w14:paraId="2CC75D17" w14:textId="77777777" w:rsidR="005F5798" w:rsidRPr="00F55A5A" w:rsidRDefault="005F5798" w:rsidP="00F4074C">
      <w:pPr>
        <w:pStyle w:val="a9"/>
        <w:numPr>
          <w:ilvl w:val="0"/>
          <w:numId w:val="12"/>
        </w:numPr>
        <w:rPr>
          <w:sz w:val="24"/>
          <w:szCs w:val="24"/>
          <w:lang w:val="el-GR"/>
        </w:rPr>
      </w:pPr>
      <w:r w:rsidRPr="00F55A5A">
        <w:rPr>
          <w:sz w:val="24"/>
          <w:szCs w:val="24"/>
          <w:lang w:val="el-GR"/>
        </w:rPr>
        <w:t>Το 67,6% του πληθυσμού με σοβαρή αναπηρία 35-44 ετών (έναντι του 26,4% του πληθυσμού χωρίς αναπηρία),</w:t>
      </w:r>
    </w:p>
    <w:p w14:paraId="774B0DD9" w14:textId="77777777" w:rsidR="005F5798" w:rsidRPr="00F55A5A" w:rsidRDefault="005F5798" w:rsidP="00F4074C">
      <w:pPr>
        <w:pStyle w:val="a9"/>
        <w:numPr>
          <w:ilvl w:val="0"/>
          <w:numId w:val="12"/>
        </w:numPr>
        <w:rPr>
          <w:sz w:val="24"/>
          <w:szCs w:val="24"/>
          <w:lang w:val="el-GR"/>
        </w:rPr>
      </w:pPr>
      <w:r w:rsidRPr="00F55A5A">
        <w:rPr>
          <w:sz w:val="24"/>
          <w:szCs w:val="24"/>
          <w:lang w:val="el-GR"/>
        </w:rPr>
        <w:t>Το 58,6% του πληθυσμού με σοβαρή αναπηρία 45-54 ετών (έναντι του 28,6% του πληθυσμού χωρίς αναπηρία),</w:t>
      </w:r>
    </w:p>
    <w:p w14:paraId="155F3D83" w14:textId="77777777" w:rsidR="005F5798" w:rsidRPr="00F55A5A" w:rsidRDefault="005F5798" w:rsidP="00F4074C">
      <w:pPr>
        <w:pStyle w:val="a9"/>
        <w:numPr>
          <w:ilvl w:val="0"/>
          <w:numId w:val="12"/>
        </w:numPr>
        <w:rPr>
          <w:sz w:val="24"/>
          <w:szCs w:val="24"/>
          <w:lang w:val="el-GR"/>
        </w:rPr>
      </w:pPr>
      <w:r w:rsidRPr="00F55A5A">
        <w:rPr>
          <w:sz w:val="24"/>
          <w:szCs w:val="24"/>
          <w:lang w:val="el-GR"/>
        </w:rPr>
        <w:t>Το 50,9% του πληθυσμού με σοβαρή αναπηρία 55-64 ετών (έναντι του 32,8% του πληθυσμού χωρίς αναπηρία).</w:t>
      </w:r>
    </w:p>
    <w:p w14:paraId="01C791DA" w14:textId="77777777" w:rsidR="005F5798" w:rsidRPr="005F5798" w:rsidRDefault="005F5798" w:rsidP="005F5798">
      <w:pPr>
        <w:tabs>
          <w:tab w:val="left" w:pos="3279"/>
        </w:tabs>
        <w:jc w:val="both"/>
        <w:rPr>
          <w:rFonts w:ascii="Times New Roman" w:hAnsi="Times New Roman"/>
          <w:sz w:val="24"/>
          <w:szCs w:val="24"/>
          <w:lang w:val="el-GR"/>
        </w:rPr>
      </w:pPr>
    </w:p>
    <w:p w14:paraId="603301B4" w14:textId="77777777" w:rsidR="005F5798" w:rsidRPr="00F55A5A" w:rsidRDefault="005F5798" w:rsidP="005F5798">
      <w:pPr>
        <w:jc w:val="both"/>
        <w:rPr>
          <w:b/>
          <w:sz w:val="24"/>
          <w:szCs w:val="24"/>
          <w:lang w:val="el-GR"/>
        </w:rPr>
      </w:pPr>
      <w:r w:rsidRPr="00F55A5A">
        <w:rPr>
          <w:b/>
          <w:sz w:val="24"/>
          <w:szCs w:val="24"/>
          <w:lang w:val="el-GR"/>
        </w:rPr>
        <w:t xml:space="preserve">Συνολικά στην </w:t>
      </w:r>
      <w:r w:rsidR="00BB1A46" w:rsidRPr="00F55A5A">
        <w:rPr>
          <w:b/>
          <w:sz w:val="24"/>
          <w:szCs w:val="24"/>
          <w:lang w:val="el-GR"/>
        </w:rPr>
        <w:t xml:space="preserve">ηλικιακή </w:t>
      </w:r>
      <w:r w:rsidRPr="00F55A5A">
        <w:rPr>
          <w:b/>
          <w:sz w:val="24"/>
          <w:szCs w:val="24"/>
          <w:lang w:val="el-GR"/>
        </w:rPr>
        <w:t xml:space="preserve">ομάδα 16-64 ετών, στο φάσμα της φτώχειας και του αποκλεισμού βρίσκονται </w:t>
      </w:r>
      <w:r w:rsidR="00BB1A46" w:rsidRPr="00F55A5A">
        <w:rPr>
          <w:b/>
          <w:sz w:val="24"/>
          <w:szCs w:val="24"/>
          <w:lang w:val="el-GR"/>
        </w:rPr>
        <w:t xml:space="preserve">το 2019 </w:t>
      </w:r>
      <w:r w:rsidRPr="00F55A5A">
        <w:rPr>
          <w:b/>
          <w:sz w:val="24"/>
          <w:szCs w:val="24"/>
          <w:lang w:val="el-GR"/>
        </w:rPr>
        <w:t xml:space="preserve">οι 6 στους 10 πολίτες με σοβαρή αναπηρία,  καταγράφοντας σχεδόν διπλάσιο ποσοστό σε σύγκριση με τους πολίτες χωρίς αναπηρία. </w:t>
      </w:r>
    </w:p>
    <w:p w14:paraId="1FD5485C" w14:textId="77777777" w:rsidR="005F5798" w:rsidRPr="005F5798" w:rsidRDefault="005F5798" w:rsidP="005F5798">
      <w:pPr>
        <w:jc w:val="both"/>
        <w:rPr>
          <w:rFonts w:ascii="Times New Roman" w:hAnsi="Times New Roman"/>
          <w:sz w:val="24"/>
          <w:szCs w:val="24"/>
          <w:lang w:val="el-GR"/>
        </w:rPr>
      </w:pPr>
      <w:r w:rsidRPr="00F55A5A">
        <w:rPr>
          <w:sz w:val="24"/>
          <w:szCs w:val="24"/>
          <w:lang w:val="el-GR"/>
        </w:rPr>
        <w:t xml:space="preserve">Η διαχρονική εξέλιξη του δείκτη έχει επίσης ιδιαίτερο ενδιαφέρον, καθώς καταδεικνύει τις ασύμμετρες επιπτώσεις της δεκαετούς οικονομικής κρίσης στα άτομα με σοβαρή αναπηρία </w:t>
      </w:r>
      <w:r w:rsidRPr="00F55A5A">
        <w:rPr>
          <w:sz w:val="24"/>
          <w:szCs w:val="24"/>
          <w:lang w:val="el-GR"/>
        </w:rPr>
        <w:lastRenderedPageBreak/>
        <w:t>που είχαν ως αποτέλεσμα τη δραματική αύξηση του φτώχειας και κοινωνικού αποκλεισμού το διάστημα 2010-2019, με αύξηση της τάξεως των 14 ποσοστιαίων μονάδων (από 43,3 σε 57,2).</w:t>
      </w:r>
      <w:r w:rsidRPr="005F5798">
        <w:rPr>
          <w:rFonts w:ascii="Times New Roman" w:hAnsi="Times New Roman"/>
          <w:sz w:val="24"/>
          <w:szCs w:val="24"/>
          <w:lang w:val="el-GR"/>
        </w:rPr>
        <w:t xml:space="preserve"> </w:t>
      </w:r>
    </w:p>
    <w:p w14:paraId="5445C677" w14:textId="7B674C68" w:rsidR="005F5798" w:rsidRPr="00AA71C3" w:rsidRDefault="005F5798" w:rsidP="00AA71C3">
      <w:pPr>
        <w:pStyle w:val="10"/>
        <w:ind w:left="851" w:right="651"/>
        <w:rPr>
          <w:b/>
          <w:sz w:val="24"/>
          <w:szCs w:val="24"/>
          <w:lang w:val="el-GR"/>
        </w:rPr>
      </w:pPr>
      <w:bookmarkStart w:id="4" w:name="_Toc59179440"/>
      <w:r w:rsidRPr="00AA71C3">
        <w:rPr>
          <w:b/>
          <w:sz w:val="24"/>
          <w:szCs w:val="24"/>
          <w:lang w:val="el-GR"/>
        </w:rPr>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DA4DF6">
        <w:rPr>
          <w:b/>
          <w:noProof/>
          <w:sz w:val="24"/>
          <w:szCs w:val="24"/>
          <w:lang w:val="el-GR"/>
        </w:rPr>
        <w:t>3</w:t>
      </w:r>
      <w:r w:rsidR="0084626E">
        <w:rPr>
          <w:b/>
          <w:sz w:val="24"/>
          <w:szCs w:val="24"/>
          <w:lang w:val="el-GR"/>
        </w:rPr>
        <w:fldChar w:fldCharType="end"/>
      </w:r>
      <w:r w:rsidRPr="00AA71C3">
        <w:rPr>
          <w:b/>
          <w:sz w:val="24"/>
          <w:szCs w:val="24"/>
          <w:lang w:val="el-GR"/>
        </w:rPr>
        <w:t>: Πληθυσμός (16-64 ετών) σε κίνδυνο φτώχειας ή σε κοινωνικό αποκλεισμό (Σοβαρή αναπηρία/χωρίς αναπηρία)</w:t>
      </w:r>
      <w:bookmarkEnd w:id="4"/>
    </w:p>
    <w:p w14:paraId="13DBA34B" w14:textId="77777777" w:rsidR="00E712BF" w:rsidRDefault="005F5798" w:rsidP="00E712BF">
      <w:pPr>
        <w:pStyle w:val="aa"/>
        <w:keepNext/>
        <w:ind w:left="426"/>
      </w:pPr>
      <w:r w:rsidRPr="005445A5">
        <w:rPr>
          <w:rFonts w:ascii="Times New Roman" w:hAnsi="Times New Roman"/>
          <w:b/>
          <w:noProof/>
          <w:color w:val="FF0000"/>
          <w:sz w:val="24"/>
          <w:szCs w:val="24"/>
          <w:lang w:val="el-GR" w:eastAsia="el-GR"/>
        </w:rPr>
        <w:drawing>
          <wp:inline distT="0" distB="0" distL="0" distR="0" wp14:anchorId="34C5387E" wp14:editId="707D5E9F">
            <wp:extent cx="5203581" cy="3033346"/>
            <wp:effectExtent l="0" t="0" r="0" b="0"/>
            <wp:docPr id="5" name="Γράφημα 1" descr="2010: σοβαρή αναπηρία 43,3 και χωρίς αναπηρία 26,7. &#10;2011: σοβαρή αναπηρία 56,5 και χωρίς αναπηρία 30,3. &#10;2012: σοβαρή αναπηρία 57 και χωρίς αναπηρία 36,6. &#10;2013: σοβαρή αναπηρία 60,7 και χωρίς αναπηρία 36,8. &#10;2014: σοβαρή αναπηρία 55,5 και χωρίς αναπηρία 38,6. &#10;2015: σοβαρή αναπηρία 54,5 και χωρίς αναπηρία 38,1. &#10;2016: σοβαρή αναπηρία 58,2 και χωρίς αναπηρία 37,9. &#10;2017: σοβαρή αναπηρία 59,4 και χωρίς αναπηρία 36,6.&#10;2018: σοβαρή αναπηρία 58,2 και χωρίς αναπηρία 33,4.&#10;2019: σοβαρή αναπηρία 57,2 και χωρίς αναπηρία 31.&#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142279" w14:textId="77777777" w:rsidR="00E712BF" w:rsidRPr="006B62F0" w:rsidRDefault="00E712BF" w:rsidP="00E712BF">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5B7B7EEE" w14:textId="77777777" w:rsidR="00F021AB" w:rsidRPr="00BD0FA7" w:rsidRDefault="00F021AB" w:rsidP="00F021AB">
      <w:pPr>
        <w:jc w:val="both"/>
        <w:rPr>
          <w:sz w:val="24"/>
          <w:szCs w:val="24"/>
        </w:rPr>
      </w:pPr>
    </w:p>
    <w:p w14:paraId="2BC15DC8" w14:textId="77777777" w:rsidR="00F34DE8" w:rsidRPr="00F55A5A" w:rsidRDefault="00F021AB" w:rsidP="00F021AB">
      <w:pPr>
        <w:jc w:val="both"/>
        <w:rPr>
          <w:sz w:val="24"/>
          <w:szCs w:val="24"/>
          <w:lang w:val="el-GR"/>
        </w:rPr>
      </w:pPr>
      <w:r w:rsidRPr="00F55A5A">
        <w:rPr>
          <w:sz w:val="24"/>
          <w:szCs w:val="24"/>
          <w:lang w:val="el-GR"/>
        </w:rPr>
        <w:t xml:space="preserve">Ιδιαίτερα ανησυχητικό είναι το εύρημα ότι, </w:t>
      </w:r>
      <w:r w:rsidR="005F5798" w:rsidRPr="00F55A5A">
        <w:rPr>
          <w:sz w:val="24"/>
          <w:szCs w:val="24"/>
          <w:lang w:val="el-GR"/>
        </w:rPr>
        <w:t xml:space="preserve">ενώ </w:t>
      </w:r>
      <w:r w:rsidR="00F34DE8" w:rsidRPr="00F55A5A">
        <w:rPr>
          <w:sz w:val="24"/>
          <w:szCs w:val="24"/>
          <w:lang w:val="el-GR"/>
        </w:rPr>
        <w:t xml:space="preserve">το διάστημα 2016-2019 </w:t>
      </w:r>
      <w:r w:rsidR="005F5798" w:rsidRPr="00F55A5A">
        <w:rPr>
          <w:sz w:val="24"/>
          <w:szCs w:val="24"/>
          <w:lang w:val="el-GR"/>
        </w:rPr>
        <w:t xml:space="preserve">παρατηρείται μια σταθερή αποκλιμάκωση του ποσοστού </w:t>
      </w:r>
      <w:r w:rsidR="003E6C76" w:rsidRPr="00F55A5A">
        <w:rPr>
          <w:sz w:val="24"/>
          <w:szCs w:val="24"/>
          <w:lang w:val="el-GR"/>
        </w:rPr>
        <w:t xml:space="preserve">κινδύνου φτώχειας ή </w:t>
      </w:r>
      <w:r w:rsidR="005F5798" w:rsidRPr="00F55A5A">
        <w:rPr>
          <w:sz w:val="24"/>
          <w:szCs w:val="24"/>
          <w:lang w:val="el-GR"/>
        </w:rPr>
        <w:t xml:space="preserve">κοινωνικού αποκλεισμού στον πληθυσμό των ατόμων χωρίς αναπηρία, η τάση αυτή δεν </w:t>
      </w:r>
      <w:r w:rsidR="00EF37BD" w:rsidRPr="00F55A5A">
        <w:rPr>
          <w:sz w:val="24"/>
          <w:szCs w:val="24"/>
          <w:lang w:val="el-GR"/>
        </w:rPr>
        <w:t>ακολουθείται</w:t>
      </w:r>
      <w:r w:rsidR="005F5798" w:rsidRPr="00F55A5A">
        <w:rPr>
          <w:sz w:val="24"/>
          <w:szCs w:val="24"/>
          <w:lang w:val="el-GR"/>
        </w:rPr>
        <w:t xml:space="preserve"> και στην κατηγορία του πληθυσμού με σοβαρή αναπηρία. </w:t>
      </w:r>
    </w:p>
    <w:p w14:paraId="34379C05" w14:textId="77777777" w:rsidR="005F5798" w:rsidRPr="00F55A5A" w:rsidRDefault="00EF37BD" w:rsidP="005F5798">
      <w:pPr>
        <w:jc w:val="both"/>
        <w:rPr>
          <w:sz w:val="24"/>
          <w:szCs w:val="24"/>
          <w:lang w:val="el-GR"/>
        </w:rPr>
      </w:pPr>
      <w:r w:rsidRPr="00F55A5A">
        <w:rPr>
          <w:sz w:val="24"/>
          <w:szCs w:val="24"/>
          <w:lang w:val="el-GR"/>
        </w:rPr>
        <w:t>Σ</w:t>
      </w:r>
      <w:r w:rsidR="001D2EDD" w:rsidRPr="00F55A5A">
        <w:rPr>
          <w:sz w:val="24"/>
          <w:szCs w:val="24"/>
          <w:lang w:val="el-GR"/>
        </w:rPr>
        <w:t xml:space="preserve">αν αποτέλεσμα </w:t>
      </w:r>
      <w:r w:rsidRPr="00F55A5A">
        <w:rPr>
          <w:sz w:val="24"/>
          <w:szCs w:val="24"/>
          <w:lang w:val="el-GR"/>
        </w:rPr>
        <w:t xml:space="preserve">έχουμε </w:t>
      </w:r>
      <w:r w:rsidR="001D2EDD" w:rsidRPr="00F55A5A">
        <w:rPr>
          <w:sz w:val="24"/>
          <w:szCs w:val="24"/>
          <w:lang w:val="el-GR"/>
        </w:rPr>
        <w:t xml:space="preserve">την εκ νέου διεύρυνση </w:t>
      </w:r>
      <w:r w:rsidRPr="00F55A5A">
        <w:rPr>
          <w:sz w:val="24"/>
          <w:szCs w:val="24"/>
          <w:lang w:val="el-GR"/>
        </w:rPr>
        <w:t xml:space="preserve">των ανισοτήτων, δηλαδή </w:t>
      </w:r>
      <w:r w:rsidR="001D2EDD" w:rsidRPr="00F55A5A">
        <w:rPr>
          <w:sz w:val="24"/>
          <w:szCs w:val="24"/>
          <w:lang w:val="el-GR"/>
        </w:rPr>
        <w:t>του χάσματος μεταξύ των ατόμων με σοβαρή αναπηρία και των ατόμων χωρίς αναπηρ</w:t>
      </w:r>
      <w:r w:rsidR="00F34DE8" w:rsidRPr="00F55A5A">
        <w:rPr>
          <w:sz w:val="24"/>
          <w:szCs w:val="24"/>
          <w:lang w:val="el-GR"/>
        </w:rPr>
        <w:t>ία</w:t>
      </w:r>
      <w:r w:rsidR="003E6C76" w:rsidRPr="00F55A5A">
        <w:rPr>
          <w:sz w:val="24"/>
          <w:szCs w:val="24"/>
          <w:lang w:val="el-GR"/>
        </w:rPr>
        <w:t>,</w:t>
      </w:r>
      <w:r w:rsidR="001D2EDD" w:rsidRPr="00F55A5A">
        <w:rPr>
          <w:sz w:val="24"/>
          <w:szCs w:val="24"/>
          <w:lang w:val="el-GR"/>
        </w:rPr>
        <w:t xml:space="preserve"> ως προς </w:t>
      </w:r>
      <w:r w:rsidR="003E6C76" w:rsidRPr="00F55A5A">
        <w:rPr>
          <w:sz w:val="24"/>
          <w:szCs w:val="24"/>
          <w:lang w:val="el-GR"/>
        </w:rPr>
        <w:t xml:space="preserve">τα επίπεδα της </w:t>
      </w:r>
      <w:r w:rsidR="00F34DE8" w:rsidRPr="00F55A5A">
        <w:rPr>
          <w:sz w:val="24"/>
          <w:szCs w:val="24"/>
          <w:lang w:val="el-GR"/>
        </w:rPr>
        <w:t xml:space="preserve"> φτώχεια</w:t>
      </w:r>
      <w:r w:rsidRPr="00F55A5A">
        <w:rPr>
          <w:sz w:val="24"/>
          <w:szCs w:val="24"/>
          <w:lang w:val="el-GR"/>
        </w:rPr>
        <w:t>ς</w:t>
      </w:r>
      <w:r w:rsidR="00F34DE8" w:rsidRPr="00F55A5A">
        <w:rPr>
          <w:sz w:val="24"/>
          <w:szCs w:val="24"/>
          <w:lang w:val="el-GR"/>
        </w:rPr>
        <w:t xml:space="preserve"> </w:t>
      </w:r>
      <w:r w:rsidR="003E6C76" w:rsidRPr="00F55A5A">
        <w:rPr>
          <w:sz w:val="24"/>
          <w:szCs w:val="24"/>
          <w:lang w:val="el-GR"/>
        </w:rPr>
        <w:t>και του</w:t>
      </w:r>
      <w:r w:rsidRPr="00F55A5A">
        <w:rPr>
          <w:sz w:val="24"/>
          <w:szCs w:val="24"/>
          <w:lang w:val="el-GR"/>
        </w:rPr>
        <w:t xml:space="preserve"> </w:t>
      </w:r>
      <w:r w:rsidR="00F34DE8" w:rsidRPr="00F55A5A">
        <w:rPr>
          <w:sz w:val="24"/>
          <w:szCs w:val="24"/>
          <w:lang w:val="el-GR"/>
        </w:rPr>
        <w:t>κοινωνικ</w:t>
      </w:r>
      <w:r w:rsidRPr="00F55A5A">
        <w:rPr>
          <w:sz w:val="24"/>
          <w:szCs w:val="24"/>
          <w:lang w:val="el-GR"/>
        </w:rPr>
        <w:t>ού</w:t>
      </w:r>
      <w:r w:rsidR="00F34DE8" w:rsidRPr="00F55A5A">
        <w:rPr>
          <w:sz w:val="24"/>
          <w:szCs w:val="24"/>
          <w:lang w:val="el-GR"/>
        </w:rPr>
        <w:t xml:space="preserve"> αποκλεισμ</w:t>
      </w:r>
      <w:r w:rsidRPr="00F55A5A">
        <w:rPr>
          <w:sz w:val="24"/>
          <w:szCs w:val="24"/>
          <w:lang w:val="el-GR"/>
        </w:rPr>
        <w:t>ού</w:t>
      </w:r>
      <w:r w:rsidR="00F34DE8" w:rsidRPr="00F55A5A">
        <w:rPr>
          <w:sz w:val="24"/>
          <w:szCs w:val="24"/>
          <w:lang w:val="el-GR"/>
        </w:rPr>
        <w:t xml:space="preserve">. Όπως γίνεται αντιληπτό στο </w:t>
      </w:r>
      <w:r w:rsidR="00F34DE8" w:rsidRPr="00EF5286">
        <w:rPr>
          <w:sz w:val="24"/>
          <w:szCs w:val="24"/>
          <w:lang w:val="el-GR"/>
        </w:rPr>
        <w:t>γράφημα 4</w:t>
      </w:r>
      <w:r w:rsidR="00691E1A" w:rsidRPr="00EF5286">
        <w:rPr>
          <w:sz w:val="24"/>
          <w:szCs w:val="24"/>
          <w:lang w:val="el-GR"/>
        </w:rPr>
        <w:t>,</w:t>
      </w:r>
      <w:r w:rsidR="00F34DE8" w:rsidRPr="00EF5286">
        <w:rPr>
          <w:sz w:val="24"/>
          <w:szCs w:val="24"/>
          <w:lang w:val="el-GR"/>
        </w:rPr>
        <w:t xml:space="preserve"> το</w:t>
      </w:r>
      <w:r w:rsidR="00F34DE8" w:rsidRPr="00F55A5A">
        <w:rPr>
          <w:sz w:val="24"/>
          <w:szCs w:val="24"/>
          <w:lang w:val="el-GR"/>
        </w:rPr>
        <w:t xml:space="preserve"> χάσμα διευρύνεται σταθερά </w:t>
      </w:r>
      <w:r w:rsidRPr="00F55A5A">
        <w:rPr>
          <w:sz w:val="24"/>
          <w:szCs w:val="24"/>
          <w:lang w:val="el-GR"/>
        </w:rPr>
        <w:t xml:space="preserve">από </w:t>
      </w:r>
      <w:r w:rsidR="00F34DE8" w:rsidRPr="00F55A5A">
        <w:rPr>
          <w:sz w:val="24"/>
          <w:szCs w:val="24"/>
          <w:lang w:val="el-GR"/>
        </w:rPr>
        <w:t xml:space="preserve">το </w:t>
      </w:r>
      <w:r w:rsidRPr="00F55A5A">
        <w:rPr>
          <w:sz w:val="24"/>
          <w:szCs w:val="24"/>
          <w:lang w:val="el-GR"/>
        </w:rPr>
        <w:t>2017</w:t>
      </w:r>
      <w:r w:rsidR="00691E1A" w:rsidRPr="00F55A5A">
        <w:rPr>
          <w:sz w:val="24"/>
          <w:szCs w:val="24"/>
          <w:lang w:val="el-GR"/>
        </w:rPr>
        <w:t xml:space="preserve"> (με έτος αναφοράς εισοδήματος το 2016)</w:t>
      </w:r>
      <w:r w:rsidRPr="00F55A5A">
        <w:rPr>
          <w:sz w:val="24"/>
          <w:szCs w:val="24"/>
          <w:lang w:val="el-GR"/>
        </w:rPr>
        <w:t xml:space="preserve"> και έπειτα, </w:t>
      </w:r>
      <w:r w:rsidR="00691E1A" w:rsidRPr="00F55A5A">
        <w:rPr>
          <w:sz w:val="24"/>
          <w:szCs w:val="24"/>
          <w:lang w:val="el-GR"/>
        </w:rPr>
        <w:t xml:space="preserve">όταν δηλαδή </w:t>
      </w:r>
      <w:r w:rsidR="00F34DE8" w:rsidRPr="00F55A5A">
        <w:rPr>
          <w:sz w:val="24"/>
          <w:szCs w:val="24"/>
          <w:lang w:val="el-GR"/>
        </w:rPr>
        <w:t>ξεκινάει</w:t>
      </w:r>
      <w:r w:rsidR="00691E1A" w:rsidRPr="00F55A5A">
        <w:rPr>
          <w:sz w:val="24"/>
          <w:szCs w:val="24"/>
          <w:lang w:val="el-GR"/>
        </w:rPr>
        <w:t xml:space="preserve"> κιόλας να καταγράφεται, </w:t>
      </w:r>
      <w:r w:rsidR="003E6C76" w:rsidRPr="00F55A5A">
        <w:rPr>
          <w:sz w:val="24"/>
          <w:szCs w:val="24"/>
          <w:lang w:val="el-GR"/>
        </w:rPr>
        <w:t>μια σταθερή</w:t>
      </w:r>
      <w:r w:rsidRPr="00F55A5A">
        <w:rPr>
          <w:sz w:val="24"/>
          <w:szCs w:val="24"/>
          <w:lang w:val="el-GR"/>
        </w:rPr>
        <w:t xml:space="preserve"> </w:t>
      </w:r>
      <w:r w:rsidR="00691E1A" w:rsidRPr="00F55A5A">
        <w:rPr>
          <w:sz w:val="24"/>
          <w:szCs w:val="24"/>
          <w:lang w:val="el-GR"/>
        </w:rPr>
        <w:t>(</w:t>
      </w:r>
      <w:r w:rsidR="003E6C76" w:rsidRPr="00F55A5A">
        <w:rPr>
          <w:sz w:val="24"/>
          <w:szCs w:val="24"/>
          <w:lang w:val="el-GR"/>
        </w:rPr>
        <w:t>μ</w:t>
      </w:r>
      <w:r w:rsidR="00691E1A" w:rsidRPr="00F55A5A">
        <w:rPr>
          <w:sz w:val="24"/>
          <w:szCs w:val="24"/>
          <w:lang w:val="el-GR"/>
        </w:rPr>
        <w:t>έχρι το 2019)</w:t>
      </w:r>
      <w:r w:rsidR="00F34DE8" w:rsidRPr="00F55A5A">
        <w:rPr>
          <w:sz w:val="24"/>
          <w:szCs w:val="24"/>
          <w:lang w:val="el-GR"/>
        </w:rPr>
        <w:t xml:space="preserve"> </w:t>
      </w:r>
      <w:r w:rsidR="00691E1A" w:rsidRPr="00F55A5A">
        <w:rPr>
          <w:sz w:val="24"/>
          <w:szCs w:val="24"/>
          <w:lang w:val="el-GR"/>
        </w:rPr>
        <w:t xml:space="preserve">αύξηση </w:t>
      </w:r>
      <w:r w:rsidR="00F34DE8" w:rsidRPr="00F55A5A">
        <w:rPr>
          <w:sz w:val="24"/>
          <w:szCs w:val="24"/>
          <w:lang w:val="el-GR"/>
        </w:rPr>
        <w:t xml:space="preserve">του </w:t>
      </w:r>
      <w:r w:rsidR="00A162A4" w:rsidRPr="00F55A5A">
        <w:rPr>
          <w:sz w:val="24"/>
          <w:szCs w:val="24"/>
          <w:lang w:val="el-GR"/>
        </w:rPr>
        <w:t xml:space="preserve">μέσου </w:t>
      </w:r>
      <w:r w:rsidR="003E6C76" w:rsidRPr="00F55A5A">
        <w:rPr>
          <w:sz w:val="24"/>
          <w:szCs w:val="24"/>
          <w:lang w:val="el-GR"/>
        </w:rPr>
        <w:t>διαθέσιμου εισοδήματος στη χώρα.</w:t>
      </w:r>
    </w:p>
    <w:p w14:paraId="546947E7" w14:textId="6108805B" w:rsidR="00E712BF" w:rsidRDefault="00E712BF" w:rsidP="006523C4">
      <w:pPr>
        <w:pStyle w:val="10"/>
        <w:ind w:left="851" w:right="651"/>
        <w:rPr>
          <w:b/>
          <w:sz w:val="24"/>
          <w:szCs w:val="24"/>
          <w:lang w:val="el-GR"/>
        </w:rPr>
      </w:pPr>
      <w:bookmarkStart w:id="5" w:name="_Toc59179441"/>
      <w:r w:rsidRPr="00E712BF">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DA4DF6">
        <w:rPr>
          <w:b/>
          <w:noProof/>
          <w:sz w:val="24"/>
          <w:szCs w:val="24"/>
          <w:lang w:val="el-GR"/>
        </w:rPr>
        <w:t>4</w:t>
      </w:r>
      <w:r w:rsidR="0084626E">
        <w:rPr>
          <w:b/>
          <w:sz w:val="24"/>
          <w:szCs w:val="24"/>
          <w:lang w:val="el-GR"/>
        </w:rPr>
        <w:fldChar w:fldCharType="end"/>
      </w:r>
      <w:r w:rsidRPr="00E712BF">
        <w:rPr>
          <w:b/>
          <w:sz w:val="24"/>
          <w:szCs w:val="24"/>
          <w:lang w:val="el-GR"/>
        </w:rPr>
        <w:t xml:space="preserve">: Χάσμα </w:t>
      </w:r>
      <w:r w:rsidR="00462C69">
        <w:rPr>
          <w:b/>
          <w:sz w:val="24"/>
          <w:szCs w:val="24"/>
          <w:lang w:val="el-GR"/>
        </w:rPr>
        <w:t>(</w:t>
      </w:r>
      <w:r w:rsidR="00462C69">
        <w:rPr>
          <w:b/>
          <w:sz w:val="24"/>
          <w:szCs w:val="24"/>
        </w:rPr>
        <w:t>gap</w:t>
      </w:r>
      <w:r w:rsidR="00462C69" w:rsidRPr="00462C69">
        <w:rPr>
          <w:b/>
          <w:sz w:val="24"/>
          <w:szCs w:val="24"/>
          <w:lang w:val="el-GR"/>
        </w:rPr>
        <w:t xml:space="preserve">) </w:t>
      </w:r>
      <w:r w:rsidRPr="00E712BF">
        <w:rPr>
          <w:b/>
          <w:sz w:val="24"/>
          <w:szCs w:val="24"/>
          <w:lang w:val="el-GR"/>
        </w:rPr>
        <w:t xml:space="preserve">κινδύνου Φτώχειας ή αποκλεισμού </w:t>
      </w:r>
      <w:r w:rsidR="00462C69">
        <w:rPr>
          <w:b/>
          <w:sz w:val="24"/>
          <w:szCs w:val="24"/>
          <w:lang w:val="el-GR"/>
        </w:rPr>
        <w:t xml:space="preserve">μεταξύ από με σοβαρή αναπηρία και χωρίς αναπηρία </w:t>
      </w:r>
      <w:r w:rsidRPr="00E712BF">
        <w:rPr>
          <w:b/>
          <w:sz w:val="24"/>
          <w:szCs w:val="24"/>
          <w:lang w:val="el-GR"/>
        </w:rPr>
        <w:t>(%πληθυσμού με σοβαρή αναπηρία-%πληθυσμού χωρίς αναπηρία)</w:t>
      </w:r>
      <w:bookmarkEnd w:id="5"/>
    </w:p>
    <w:p w14:paraId="65F84BD2" w14:textId="77777777" w:rsidR="00A31841" w:rsidRPr="00A31841" w:rsidRDefault="00A31841" w:rsidP="006523C4">
      <w:pPr>
        <w:ind w:left="709"/>
        <w:rPr>
          <w:lang w:val="el-GR"/>
        </w:rPr>
      </w:pPr>
      <w:r w:rsidRPr="00A31841">
        <w:rPr>
          <w:noProof/>
          <w:lang w:val="el-GR" w:eastAsia="el-GR"/>
        </w:rPr>
        <w:drawing>
          <wp:inline distT="0" distB="0" distL="0" distR="0" wp14:anchorId="7AF7B2B7" wp14:editId="68648DE1">
            <wp:extent cx="4931019" cy="3420208"/>
            <wp:effectExtent l="0" t="0" r="3175" b="8890"/>
            <wp:docPr id="20" name="Γράφημα 20" descr="2010: 16,6. &#10;2011: 26,2. &#10;2012: 20,4. &#10;2013: 23,9. &#10;2014: 16,9. &#10;2015: 16,4. &#10;2016: 20,3. &#10;2017: 22,8. &#10;2018: 24,8. &#10;2019: 26,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81AE81" w14:textId="77777777" w:rsidR="009668F1" w:rsidRPr="006B62F0" w:rsidRDefault="009668F1" w:rsidP="009668F1">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33002906" w14:textId="77777777" w:rsidR="00044D92" w:rsidRPr="00BD0FA7" w:rsidRDefault="00044D92" w:rsidP="007665EC">
      <w:pPr>
        <w:tabs>
          <w:tab w:val="left" w:pos="3372"/>
        </w:tabs>
        <w:ind w:right="142"/>
        <w:jc w:val="both"/>
      </w:pPr>
    </w:p>
    <w:p w14:paraId="283299EE" w14:textId="77777777" w:rsidR="00AA21A6" w:rsidRPr="009939FF" w:rsidRDefault="00FB4DCF" w:rsidP="002369C6">
      <w:pPr>
        <w:pStyle w:val="10"/>
        <w:numPr>
          <w:ilvl w:val="0"/>
          <w:numId w:val="11"/>
        </w:numPr>
        <w:spacing w:before="1440"/>
        <w:ind w:left="714" w:hanging="357"/>
        <w:rPr>
          <w:b/>
          <w:color w:val="auto"/>
          <w:lang w:val="el-GR"/>
        </w:rPr>
      </w:pPr>
      <w:bookmarkStart w:id="6" w:name="_Toc59179442"/>
      <w:r>
        <w:rPr>
          <w:b/>
          <w:color w:val="auto"/>
          <w:lang w:val="el-GR"/>
        </w:rPr>
        <w:t>Πληθυσμός σε κίνδυνο φτώχειας</w:t>
      </w:r>
      <w:bookmarkEnd w:id="6"/>
      <w:r>
        <w:rPr>
          <w:b/>
          <w:color w:val="auto"/>
          <w:lang w:val="el-GR"/>
        </w:rPr>
        <w:t xml:space="preserve"> </w:t>
      </w:r>
    </w:p>
    <w:p w14:paraId="384815A1" w14:textId="77777777" w:rsidR="00AA21A6" w:rsidRPr="0099736B" w:rsidRDefault="00AA21A6" w:rsidP="00AA21A6">
      <w:pPr>
        <w:pStyle w:val="Default"/>
        <w:ind w:right="142"/>
        <w:jc w:val="both"/>
        <w:rPr>
          <w:rFonts w:asciiTheme="minorHAnsi" w:hAnsiTheme="minorHAnsi"/>
          <w:b/>
          <w:sz w:val="32"/>
          <w:szCs w:val="32"/>
        </w:rPr>
      </w:pPr>
    </w:p>
    <w:p w14:paraId="407296FB" w14:textId="77777777" w:rsidR="006F6679" w:rsidRPr="00F55A5A" w:rsidRDefault="005F5798" w:rsidP="005F5798">
      <w:pPr>
        <w:jc w:val="both"/>
        <w:rPr>
          <w:sz w:val="24"/>
          <w:szCs w:val="24"/>
          <w:lang w:val="el-GR"/>
        </w:rPr>
      </w:pPr>
      <w:r w:rsidRPr="00F55A5A">
        <w:rPr>
          <w:sz w:val="24"/>
          <w:szCs w:val="24"/>
          <w:lang w:val="el-GR"/>
        </w:rPr>
        <w:t>Ως κίνδυνος φτώχειας (</w:t>
      </w:r>
      <w:r w:rsidRPr="00F55A5A">
        <w:rPr>
          <w:sz w:val="24"/>
          <w:szCs w:val="24"/>
        </w:rPr>
        <w:t>Poverty</w:t>
      </w:r>
      <w:r w:rsidRPr="00F55A5A">
        <w:rPr>
          <w:sz w:val="24"/>
          <w:szCs w:val="24"/>
          <w:lang w:val="el-GR"/>
        </w:rPr>
        <w:t xml:space="preserve"> </w:t>
      </w:r>
      <w:r w:rsidRPr="00F55A5A">
        <w:rPr>
          <w:sz w:val="24"/>
          <w:szCs w:val="24"/>
        </w:rPr>
        <w:t>Risk</w:t>
      </w:r>
      <w:r w:rsidRPr="00F55A5A">
        <w:rPr>
          <w:sz w:val="24"/>
          <w:szCs w:val="24"/>
          <w:lang w:val="el-GR"/>
        </w:rPr>
        <w:t xml:space="preserve">)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 </w:t>
      </w:r>
    </w:p>
    <w:p w14:paraId="0716FEB1" w14:textId="53B592B4" w:rsidR="005F5798" w:rsidRPr="00F55A5A" w:rsidRDefault="005F5798" w:rsidP="005F5798">
      <w:pPr>
        <w:jc w:val="both"/>
        <w:rPr>
          <w:sz w:val="24"/>
          <w:szCs w:val="24"/>
          <w:lang w:val="el-GR"/>
        </w:rPr>
      </w:pPr>
      <w:r w:rsidRPr="00F55A5A">
        <w:rPr>
          <w:sz w:val="24"/>
          <w:szCs w:val="24"/>
          <w:lang w:val="el-GR"/>
        </w:rPr>
        <w:t xml:space="preserve">Ο δείκτης κινδύνου φτώχειας μετράει τη σχετική εισοδηματική φτώχεια του πληθυσμού αναφορικά με ένα κυμαινόμενο κατώφλι φτώχειας το οποίο εξαρτάται από τη συνολική κατανομή του εθνικού εισοδήματος (βλ. </w:t>
      </w:r>
      <w:r w:rsidR="009E0982" w:rsidRPr="00F55A5A">
        <w:rPr>
          <w:sz w:val="24"/>
          <w:szCs w:val="24"/>
          <w:lang w:val="el-GR"/>
        </w:rPr>
        <w:t xml:space="preserve">Μεθοδολογικές σημειώσεις </w:t>
      </w:r>
      <w:r w:rsidRPr="00F55A5A">
        <w:rPr>
          <w:sz w:val="24"/>
          <w:szCs w:val="24"/>
          <w:lang w:val="el-GR"/>
        </w:rPr>
        <w:t>στο πλαίσιο).</w:t>
      </w:r>
    </w:p>
    <w:p w14:paraId="1835882C" w14:textId="77777777" w:rsidR="00133290" w:rsidRPr="005F5798" w:rsidRDefault="00133290" w:rsidP="005F5798">
      <w:pPr>
        <w:jc w:val="both"/>
        <w:rPr>
          <w:rFonts w:ascii="Times New Roman" w:hAnsi="Times New Roman"/>
          <w:sz w:val="24"/>
          <w:szCs w:val="24"/>
          <w:lang w:val="el-GR"/>
        </w:rPr>
      </w:pPr>
    </w:p>
    <w:p w14:paraId="58B5B87B" w14:textId="77777777" w:rsidR="005F5798" w:rsidRPr="00103585"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b/>
          <w:sz w:val="24"/>
          <w:szCs w:val="24"/>
          <w:lang w:val="el-GR"/>
        </w:rPr>
      </w:pPr>
      <w:r w:rsidRPr="005F5798">
        <w:rPr>
          <w:rFonts w:ascii="Times New Roman" w:hAnsi="Times New Roman"/>
          <w:b/>
          <w:sz w:val="24"/>
          <w:szCs w:val="24"/>
          <w:lang w:val="el-GR"/>
        </w:rPr>
        <w:lastRenderedPageBreak/>
        <w:t>Μεθοδολογικές σημειώσε</w:t>
      </w:r>
      <w:r w:rsidR="009E0982">
        <w:rPr>
          <w:rFonts w:ascii="Times New Roman" w:hAnsi="Times New Roman"/>
          <w:b/>
          <w:sz w:val="24"/>
          <w:szCs w:val="24"/>
          <w:lang w:val="el-GR"/>
        </w:rPr>
        <w:t xml:space="preserve">ις για την ερμηνεία του δείκτη </w:t>
      </w:r>
      <w:r w:rsidRPr="005F5798">
        <w:rPr>
          <w:rFonts w:ascii="Times New Roman" w:hAnsi="Times New Roman"/>
          <w:b/>
          <w:sz w:val="24"/>
          <w:szCs w:val="24"/>
          <w:lang w:val="el-GR"/>
        </w:rPr>
        <w:t>κινδύνου φτώχειας</w:t>
      </w:r>
      <w:r w:rsidR="00103585">
        <w:rPr>
          <w:rFonts w:ascii="Times New Roman" w:hAnsi="Times New Roman"/>
          <w:b/>
          <w:sz w:val="24"/>
          <w:szCs w:val="24"/>
          <w:lang w:val="el-GR"/>
        </w:rPr>
        <w:t xml:space="preserve"> (</w:t>
      </w:r>
      <w:r w:rsidR="00103585">
        <w:rPr>
          <w:rFonts w:ascii="Times New Roman" w:hAnsi="Times New Roman"/>
          <w:b/>
          <w:sz w:val="24"/>
          <w:szCs w:val="24"/>
        </w:rPr>
        <w:t>Poverty</w:t>
      </w:r>
      <w:r w:rsidR="00103585" w:rsidRPr="00103585">
        <w:rPr>
          <w:rFonts w:ascii="Times New Roman" w:hAnsi="Times New Roman"/>
          <w:b/>
          <w:sz w:val="24"/>
          <w:szCs w:val="24"/>
          <w:lang w:val="el-GR"/>
        </w:rPr>
        <w:t xml:space="preserve"> </w:t>
      </w:r>
      <w:r w:rsidR="00103585">
        <w:rPr>
          <w:rFonts w:ascii="Times New Roman" w:hAnsi="Times New Roman"/>
          <w:b/>
          <w:sz w:val="24"/>
          <w:szCs w:val="24"/>
        </w:rPr>
        <w:t>Risk</w:t>
      </w:r>
      <w:r w:rsidR="00103585" w:rsidRPr="00103585">
        <w:rPr>
          <w:rFonts w:ascii="Times New Roman" w:hAnsi="Times New Roman"/>
          <w:b/>
          <w:sz w:val="24"/>
          <w:szCs w:val="24"/>
          <w:lang w:val="el-GR"/>
        </w:rPr>
        <w:t>)</w:t>
      </w:r>
    </w:p>
    <w:p w14:paraId="4E731EE0" w14:textId="77777777" w:rsidR="00103585" w:rsidRPr="00074F40"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sidRPr="005F5798">
        <w:rPr>
          <w:rFonts w:ascii="Times New Roman" w:hAnsi="Times New Roman"/>
          <w:sz w:val="24"/>
          <w:szCs w:val="24"/>
          <w:lang w:val="el-GR"/>
        </w:rPr>
        <w:t xml:space="preserve">Ο δείκτης κινδύνου φτώχειας μετράει τη σχετική εισοδηματική φτώχεια του πληθυσμού αναφορικά με ένα κυμαινόμενο κατώφλι φτώχειας. Είναι σημαντικό να τονιστεί ότι ο δείκτης κινδύνου φτώχειας, έχοντας ως κατώφλι το διάμεσο ισοδύναμο εισόδημα επηρεάζεται δραστικά από τη συνολική κατανομή του εισοδήματος του πληθυσμού, </w:t>
      </w:r>
      <w:r w:rsidR="00074F40">
        <w:rPr>
          <w:rFonts w:ascii="Times New Roman" w:hAnsi="Times New Roman"/>
          <w:sz w:val="24"/>
          <w:szCs w:val="24"/>
          <w:lang w:val="el-GR"/>
        </w:rPr>
        <w:t>καθώς</w:t>
      </w:r>
      <w:r w:rsidRPr="005F5798">
        <w:rPr>
          <w:rFonts w:ascii="Times New Roman" w:hAnsi="Times New Roman"/>
          <w:sz w:val="24"/>
          <w:szCs w:val="24"/>
          <w:lang w:val="el-GR"/>
        </w:rPr>
        <w:t xml:space="preserve"> μεταβάλλεται σε συνάρτηση με τη γενική εισοδηματική μεταβολή. </w:t>
      </w:r>
    </w:p>
    <w:p w14:paraId="31744933" w14:textId="77777777" w:rsidR="00074F40"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sidRPr="005F5798">
        <w:rPr>
          <w:rFonts w:ascii="Times New Roman" w:hAnsi="Times New Roman"/>
          <w:sz w:val="24"/>
          <w:szCs w:val="24"/>
          <w:lang w:val="el-GR"/>
        </w:rPr>
        <w:t>Στην Ελλάδα, η συνολική φτωχοποίηση του πληθυσμού την τελευταία δεκαετία συνεπάγεται την προς τα κάτω συμπίεση της γραμμής της φτώχειας</w:t>
      </w:r>
      <w:r w:rsidRPr="00465ED6">
        <w:rPr>
          <w:rStyle w:val="a8"/>
          <w:rFonts w:ascii="Times New Roman" w:hAnsi="Times New Roman"/>
          <w:sz w:val="24"/>
          <w:szCs w:val="24"/>
        </w:rPr>
        <w:footnoteReference w:id="2"/>
      </w:r>
      <w:r w:rsidRPr="005F5798">
        <w:rPr>
          <w:rFonts w:ascii="Times New Roman" w:hAnsi="Times New Roman"/>
          <w:sz w:val="24"/>
          <w:szCs w:val="24"/>
          <w:lang w:val="el-GR"/>
        </w:rPr>
        <w:t xml:space="preserve">. </w:t>
      </w:r>
      <w:r w:rsidR="00074F40">
        <w:rPr>
          <w:rFonts w:ascii="Times New Roman" w:hAnsi="Times New Roman"/>
          <w:sz w:val="24"/>
          <w:szCs w:val="24"/>
          <w:lang w:val="el-GR"/>
        </w:rPr>
        <w:t>Ειδικότερα, τ</w:t>
      </w:r>
      <w:r w:rsidR="00074F40" w:rsidRPr="00074F40">
        <w:rPr>
          <w:rFonts w:ascii="Times New Roman" w:hAnsi="Times New Roman"/>
          <w:sz w:val="24"/>
          <w:szCs w:val="24"/>
          <w:lang w:val="el-GR"/>
        </w:rPr>
        <w:t xml:space="preserve">ο κατώφλι της φτώχειας ορίζεται σήμερα στα 4.917 ευρώ ανά άτομο ενώ το 2008 ήταν 6.480 ευρώ. Αυτή η μεταβολή συνεπάγεται ότι τμήματα του πληθυσμού με ένα δεδομένο σταθερό ετήσιο εισόδημα, για παράδειγμα της τάξεως των 5.000 ευρώ, ενώ το 2008 εντάσσονταν στην κατηγορία των φτωχών, το 2019 δεν εξακολουθούν να </w:t>
      </w:r>
      <w:r w:rsidR="00074F40">
        <w:rPr>
          <w:rFonts w:ascii="Times New Roman" w:hAnsi="Times New Roman"/>
          <w:sz w:val="24"/>
          <w:szCs w:val="24"/>
          <w:lang w:val="el-GR"/>
        </w:rPr>
        <w:t xml:space="preserve">βρίσκονται </w:t>
      </w:r>
      <w:r w:rsidR="00074F40" w:rsidRPr="00074F40">
        <w:rPr>
          <w:rFonts w:ascii="Times New Roman" w:hAnsi="Times New Roman"/>
          <w:sz w:val="24"/>
          <w:szCs w:val="24"/>
          <w:lang w:val="el-GR"/>
        </w:rPr>
        <w:t>κάτω από το όριο της φτώχειας.</w:t>
      </w:r>
    </w:p>
    <w:p w14:paraId="5528EA7D" w14:textId="18A495EC" w:rsidR="005F5798" w:rsidRPr="005F5798"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sidRPr="005F5798">
        <w:rPr>
          <w:rFonts w:ascii="Times New Roman" w:hAnsi="Times New Roman"/>
          <w:sz w:val="24"/>
          <w:szCs w:val="24"/>
          <w:lang w:val="el-GR"/>
        </w:rPr>
        <w:t xml:space="preserve">Οι σχετικά μικρές μεταβολές του δείκτη διαχρονικά, φανερώνουν τη μικρή ερμηνευτική του δύναμη αναφορικά με το φαινόμενο της </w:t>
      </w:r>
      <w:r w:rsidR="00D609F5">
        <w:rPr>
          <w:rFonts w:ascii="Times New Roman" w:hAnsi="Times New Roman"/>
          <w:sz w:val="24"/>
          <w:szCs w:val="24"/>
          <w:lang w:val="el-GR"/>
        </w:rPr>
        <w:t xml:space="preserve">πραγματικής </w:t>
      </w:r>
      <w:r w:rsidRPr="005F5798">
        <w:rPr>
          <w:rFonts w:ascii="Times New Roman" w:hAnsi="Times New Roman"/>
          <w:sz w:val="24"/>
          <w:szCs w:val="24"/>
          <w:lang w:val="el-GR"/>
        </w:rPr>
        <w:t>φτωχοπο</w:t>
      </w:r>
      <w:r w:rsidR="00D609F5">
        <w:rPr>
          <w:rFonts w:ascii="Times New Roman" w:hAnsi="Times New Roman"/>
          <w:sz w:val="24"/>
          <w:szCs w:val="24"/>
          <w:lang w:val="el-GR"/>
        </w:rPr>
        <w:t>ίησης του πληθυσμού της χώρας</w:t>
      </w:r>
      <w:r w:rsidR="008748D2">
        <w:rPr>
          <w:rFonts w:ascii="Times New Roman" w:hAnsi="Times New Roman"/>
          <w:sz w:val="24"/>
          <w:szCs w:val="24"/>
          <w:lang w:val="el-GR"/>
        </w:rPr>
        <w:t xml:space="preserve">. Επίσης </w:t>
      </w:r>
      <w:r w:rsidR="00451BC5">
        <w:rPr>
          <w:rFonts w:ascii="Times New Roman" w:hAnsi="Times New Roman"/>
          <w:sz w:val="24"/>
          <w:szCs w:val="24"/>
          <w:lang w:val="el-GR"/>
        </w:rPr>
        <w:t>ο</w:t>
      </w:r>
      <w:r w:rsidRPr="005F5798">
        <w:rPr>
          <w:rFonts w:ascii="Times New Roman" w:hAnsi="Times New Roman"/>
          <w:sz w:val="24"/>
          <w:szCs w:val="24"/>
          <w:lang w:val="el-GR"/>
        </w:rPr>
        <w:t xml:space="preserve"> δείκτης δεν λαμβάνει υπόψη την πραγματική αγοραστική δύναμη</w:t>
      </w:r>
      <w:r w:rsidRPr="00465ED6">
        <w:rPr>
          <w:rStyle w:val="a8"/>
          <w:rFonts w:ascii="Times New Roman" w:hAnsi="Times New Roman"/>
          <w:sz w:val="24"/>
          <w:szCs w:val="24"/>
        </w:rPr>
        <w:footnoteReference w:id="3"/>
      </w:r>
      <w:r w:rsidRPr="005F5798">
        <w:rPr>
          <w:rFonts w:ascii="Times New Roman" w:hAnsi="Times New Roman"/>
          <w:sz w:val="24"/>
          <w:szCs w:val="24"/>
          <w:lang w:val="el-GR"/>
        </w:rPr>
        <w:t xml:space="preserve"> και το κόστος διαβίωσης των ατόμων</w:t>
      </w:r>
      <w:r w:rsidR="00451BC5">
        <w:rPr>
          <w:rFonts w:ascii="Times New Roman" w:hAnsi="Times New Roman"/>
          <w:sz w:val="24"/>
          <w:szCs w:val="24"/>
          <w:lang w:val="el-GR"/>
        </w:rPr>
        <w:t xml:space="preserve">. </w:t>
      </w:r>
      <w:r w:rsidR="008748D2">
        <w:rPr>
          <w:rFonts w:ascii="Times New Roman" w:hAnsi="Times New Roman"/>
          <w:sz w:val="24"/>
          <w:szCs w:val="24"/>
          <w:lang w:val="el-GR"/>
        </w:rPr>
        <w:t xml:space="preserve">Για αυτούς τους λόγους, </w:t>
      </w:r>
      <w:r w:rsidRPr="005F5798">
        <w:rPr>
          <w:rFonts w:ascii="Times New Roman" w:hAnsi="Times New Roman"/>
          <w:sz w:val="24"/>
          <w:szCs w:val="24"/>
          <w:lang w:val="el-GR"/>
        </w:rPr>
        <w:t>ο σύνθετος δείκτης «Κίνδυνος φτώχειας και κοινωνικού αποκλεισμού» χρησιμοποιείται πλέον ως περισσότερο αντιπροσωπευτικός του φαινόμενου της φτώχειας.</w:t>
      </w:r>
    </w:p>
    <w:p w14:paraId="1DB8A9C2" w14:textId="23BE39A1" w:rsidR="005F5798" w:rsidRDefault="006A2B10"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Pr>
          <w:rFonts w:ascii="Times New Roman" w:hAnsi="Times New Roman"/>
          <w:sz w:val="24"/>
          <w:szCs w:val="24"/>
          <w:lang w:val="el-GR"/>
        </w:rPr>
        <w:t xml:space="preserve">Επιπροσθέτως, </w:t>
      </w:r>
      <w:r w:rsidR="005F5798" w:rsidRPr="005F5798">
        <w:rPr>
          <w:rFonts w:ascii="Times New Roman" w:hAnsi="Times New Roman"/>
          <w:sz w:val="24"/>
          <w:szCs w:val="24"/>
          <w:lang w:val="el-GR"/>
        </w:rPr>
        <w:t>για τον π</w:t>
      </w:r>
      <w:r w:rsidR="006A6A2A">
        <w:rPr>
          <w:rFonts w:ascii="Times New Roman" w:hAnsi="Times New Roman"/>
          <w:sz w:val="24"/>
          <w:szCs w:val="24"/>
          <w:lang w:val="el-GR"/>
        </w:rPr>
        <w:t xml:space="preserve">ληθυσμό των ατόμων με αναπηρία </w:t>
      </w:r>
      <w:r w:rsidR="005F5798" w:rsidRPr="005F5798">
        <w:rPr>
          <w:rFonts w:ascii="Times New Roman" w:hAnsi="Times New Roman"/>
          <w:sz w:val="24"/>
          <w:szCs w:val="24"/>
          <w:lang w:val="el-GR"/>
        </w:rPr>
        <w:t xml:space="preserve">πρέπει να ληφθεί υπόψη ότι επωμίζονται συχνά ένα πρόσθετο κόστος διαβίωσης που απορρέει από την αναπηρία. Συνεπώς το γενικώς οριζόμενο κατώφλι φτώχειας είναι ακόμα λιγότερο έγκυρο ως μέτρο για την φτωχοποίηση αυτής της ομάδας του πληθυσμού, </w:t>
      </w:r>
      <w:r w:rsidR="00451BC5">
        <w:rPr>
          <w:rFonts w:ascii="Times New Roman" w:hAnsi="Times New Roman"/>
          <w:sz w:val="24"/>
          <w:szCs w:val="24"/>
          <w:lang w:val="el-GR"/>
        </w:rPr>
        <w:t xml:space="preserve">και ιδίως </w:t>
      </w:r>
      <w:r w:rsidR="005F5798" w:rsidRPr="005F5798">
        <w:rPr>
          <w:rFonts w:ascii="Times New Roman" w:hAnsi="Times New Roman"/>
          <w:sz w:val="24"/>
          <w:szCs w:val="24"/>
          <w:lang w:val="el-GR"/>
        </w:rPr>
        <w:t xml:space="preserve">στο βαθμό που δεν εξαιρούνται από το συνολικό εισόδημα τα επιδόματα αναπηρίας τα οποία δαπανώνται για την κάλυψη πρόσθετων αναγκών σε εξειδικευμένες υπηρεσίες και αγαθά. </w:t>
      </w:r>
    </w:p>
    <w:p w14:paraId="505543FA" w14:textId="77777777" w:rsidR="00451BC5" w:rsidRPr="005F5798" w:rsidRDefault="00451BC5"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imes New Roman" w:hAnsi="Times New Roman"/>
          <w:sz w:val="24"/>
          <w:szCs w:val="24"/>
          <w:lang w:val="el-GR"/>
        </w:rPr>
      </w:pPr>
      <w:r>
        <w:rPr>
          <w:rFonts w:ascii="Times New Roman" w:hAnsi="Times New Roman"/>
          <w:sz w:val="24"/>
          <w:szCs w:val="24"/>
          <w:lang w:val="el-GR"/>
        </w:rPr>
        <w:t xml:space="preserve">Συνεπώς ο δείκτης </w:t>
      </w:r>
      <w:r w:rsidR="00902A7C">
        <w:rPr>
          <w:rFonts w:ascii="Times New Roman" w:hAnsi="Times New Roman"/>
          <w:sz w:val="24"/>
          <w:szCs w:val="24"/>
          <w:lang w:val="el-GR"/>
        </w:rPr>
        <w:t xml:space="preserve">θα πρέπει να ερμηνεύεται </w:t>
      </w:r>
      <w:r w:rsidR="00480C39">
        <w:rPr>
          <w:rFonts w:ascii="Times New Roman" w:hAnsi="Times New Roman"/>
          <w:sz w:val="24"/>
          <w:szCs w:val="24"/>
          <w:lang w:val="el-GR"/>
        </w:rPr>
        <w:t xml:space="preserve">περισσότερο </w:t>
      </w:r>
      <w:r w:rsidR="00902A7C">
        <w:rPr>
          <w:rFonts w:ascii="Times New Roman" w:hAnsi="Times New Roman"/>
          <w:sz w:val="24"/>
          <w:szCs w:val="24"/>
          <w:lang w:val="el-GR"/>
        </w:rPr>
        <w:t>με όρους εισοδηματικής ανισότητας (</w:t>
      </w:r>
      <w:r>
        <w:rPr>
          <w:rFonts w:ascii="Times New Roman" w:hAnsi="Times New Roman"/>
          <w:sz w:val="24"/>
          <w:szCs w:val="24"/>
          <w:lang w:val="el-GR"/>
        </w:rPr>
        <w:t>σχετικής φτώχειας σε όρους ονομαστικού εισοδήματος) των διαφόρων κατηγοριών του πληθυσμο</w:t>
      </w:r>
      <w:r w:rsidR="00902A7C">
        <w:rPr>
          <w:rFonts w:ascii="Times New Roman" w:hAnsi="Times New Roman"/>
          <w:sz w:val="24"/>
          <w:szCs w:val="24"/>
          <w:lang w:val="el-GR"/>
        </w:rPr>
        <w:t>ύ</w:t>
      </w:r>
      <w:r w:rsidR="00480C39">
        <w:rPr>
          <w:rFonts w:ascii="Times New Roman" w:hAnsi="Times New Roman"/>
          <w:sz w:val="24"/>
          <w:szCs w:val="24"/>
          <w:lang w:val="el-GR"/>
        </w:rPr>
        <w:t>,</w:t>
      </w:r>
      <w:r w:rsidR="00902A7C">
        <w:rPr>
          <w:rFonts w:ascii="Times New Roman" w:hAnsi="Times New Roman"/>
          <w:sz w:val="24"/>
          <w:szCs w:val="24"/>
          <w:lang w:val="el-GR"/>
        </w:rPr>
        <w:t xml:space="preserve"> παρά ως ένδειξη της φτώχειας και των πραγματικών υλικών συνθηκών διαβίωσης. </w:t>
      </w:r>
    </w:p>
    <w:p w14:paraId="721DB91D" w14:textId="77777777" w:rsidR="00480C39" w:rsidRDefault="00480C39" w:rsidP="005F5798">
      <w:pPr>
        <w:jc w:val="both"/>
        <w:rPr>
          <w:rFonts w:ascii="Times New Roman" w:hAnsi="Times New Roman"/>
          <w:sz w:val="24"/>
          <w:szCs w:val="24"/>
          <w:lang w:val="el-GR"/>
        </w:rPr>
      </w:pPr>
    </w:p>
    <w:p w14:paraId="11DFF491" w14:textId="77777777" w:rsidR="002369C6" w:rsidRDefault="002369C6">
      <w:pPr>
        <w:rPr>
          <w:sz w:val="24"/>
          <w:szCs w:val="24"/>
          <w:lang w:val="el-GR"/>
        </w:rPr>
      </w:pPr>
      <w:r>
        <w:rPr>
          <w:sz w:val="24"/>
          <w:szCs w:val="24"/>
          <w:lang w:val="el-GR"/>
        </w:rPr>
        <w:br w:type="page"/>
      </w:r>
    </w:p>
    <w:p w14:paraId="1612562B" w14:textId="3AFCDE11" w:rsidR="006F6679" w:rsidRPr="00F55A5A" w:rsidRDefault="006F6679" w:rsidP="005F5798">
      <w:pPr>
        <w:jc w:val="both"/>
        <w:rPr>
          <w:sz w:val="24"/>
          <w:szCs w:val="24"/>
          <w:lang w:val="el-GR"/>
        </w:rPr>
      </w:pPr>
      <w:r w:rsidRPr="00F55A5A">
        <w:rPr>
          <w:sz w:val="24"/>
          <w:szCs w:val="24"/>
          <w:lang w:val="el-GR"/>
        </w:rPr>
        <w:lastRenderedPageBreak/>
        <w:t>Για το έτος 2018 που είναι το έτος αναφοράς για τις εισοδηματικές μεταβλητές της έρευνας, το κατώφλι της φτώχειας ανέρχεται στο ποσό των 4.917 ευρώ ετησίως ανά μονοπρόσωπο νοικοκυριό, και ορίζεται δε στο 60% του διάμεσου συνολικού ισοδύναμου διαθέσιμ</w:t>
      </w:r>
      <w:r w:rsidR="00237E8E" w:rsidRPr="00F55A5A">
        <w:rPr>
          <w:sz w:val="24"/>
          <w:szCs w:val="24"/>
          <w:lang w:val="el-GR"/>
        </w:rPr>
        <w:t>ου εισοδήματος των νοικοκυριών (</w:t>
      </w:r>
      <w:r w:rsidRPr="00F55A5A">
        <w:rPr>
          <w:sz w:val="24"/>
          <w:szCs w:val="24"/>
          <w:lang w:val="el-GR"/>
        </w:rPr>
        <w:t>το οποίο εκτιμήθηκε σε 8.195 ευρώ</w:t>
      </w:r>
      <w:r w:rsidR="00237E8E" w:rsidRPr="00F55A5A">
        <w:rPr>
          <w:sz w:val="24"/>
          <w:szCs w:val="24"/>
          <w:lang w:val="el-GR"/>
        </w:rPr>
        <w:t>)</w:t>
      </w:r>
      <w:r w:rsidR="00AE6505" w:rsidRPr="00F55A5A">
        <w:rPr>
          <w:rStyle w:val="a8"/>
          <w:sz w:val="24"/>
          <w:szCs w:val="24"/>
          <w:lang w:val="el-GR"/>
        </w:rPr>
        <w:footnoteReference w:id="4"/>
      </w:r>
      <w:r w:rsidRPr="00F55A5A">
        <w:rPr>
          <w:sz w:val="24"/>
          <w:szCs w:val="24"/>
          <w:lang w:val="el-GR"/>
        </w:rPr>
        <w:t xml:space="preserve">. </w:t>
      </w:r>
    </w:p>
    <w:p w14:paraId="58806917" w14:textId="77777777" w:rsidR="00444E74" w:rsidRPr="00F55A5A" w:rsidRDefault="00444E74" w:rsidP="005F5798">
      <w:pPr>
        <w:jc w:val="both"/>
        <w:rPr>
          <w:sz w:val="24"/>
          <w:szCs w:val="24"/>
          <w:lang w:val="el-GR"/>
        </w:rPr>
      </w:pPr>
      <w:r w:rsidRPr="00F55A5A">
        <w:rPr>
          <w:sz w:val="24"/>
          <w:szCs w:val="24"/>
          <w:lang w:val="el-GR"/>
        </w:rPr>
        <w:t xml:space="preserve">Στο γράφημα 5 απεικονίζεται ο </w:t>
      </w:r>
      <w:r w:rsidR="005F5798" w:rsidRPr="00F55A5A">
        <w:rPr>
          <w:sz w:val="24"/>
          <w:szCs w:val="24"/>
          <w:lang w:val="el-GR"/>
        </w:rPr>
        <w:t>δείκτη</w:t>
      </w:r>
      <w:r w:rsidRPr="00F55A5A">
        <w:rPr>
          <w:sz w:val="24"/>
          <w:szCs w:val="24"/>
          <w:lang w:val="el-GR"/>
        </w:rPr>
        <w:t>ς</w:t>
      </w:r>
      <w:r w:rsidR="005F5798" w:rsidRPr="00F55A5A">
        <w:rPr>
          <w:sz w:val="24"/>
          <w:szCs w:val="24"/>
          <w:lang w:val="el-GR"/>
        </w:rPr>
        <w:t xml:space="preserve"> κινδύνου φτώχειας μετά τις κοινωνικές μεταβιβάσεις</w:t>
      </w:r>
      <w:r w:rsidR="005F5798" w:rsidRPr="00F55A5A">
        <w:rPr>
          <w:rStyle w:val="a8"/>
          <w:sz w:val="24"/>
          <w:szCs w:val="24"/>
        </w:rPr>
        <w:footnoteReference w:id="5"/>
      </w:r>
      <w:r w:rsidRPr="00F55A5A">
        <w:rPr>
          <w:sz w:val="24"/>
          <w:szCs w:val="24"/>
          <w:lang w:val="el-GR"/>
        </w:rPr>
        <w:t xml:space="preserve">, </w:t>
      </w:r>
      <w:r w:rsidR="005F5798" w:rsidRPr="00F55A5A">
        <w:rPr>
          <w:sz w:val="24"/>
          <w:szCs w:val="24"/>
          <w:lang w:val="el-GR"/>
        </w:rPr>
        <w:t>συμπεριλαμβάνοντας δηλαδή στο εισόδημα των νοικοκυριών τα κοινωνικά επιδόματα κ</w:t>
      </w:r>
      <w:r w:rsidRPr="00F55A5A">
        <w:rPr>
          <w:sz w:val="24"/>
          <w:szCs w:val="24"/>
          <w:lang w:val="el-GR"/>
        </w:rPr>
        <w:t>αι ενισχύσεις και τις συντάξεις</w:t>
      </w:r>
      <w:r w:rsidR="005F5798" w:rsidRPr="00F55A5A">
        <w:rPr>
          <w:sz w:val="24"/>
          <w:szCs w:val="24"/>
          <w:lang w:val="el-GR"/>
        </w:rPr>
        <w:t xml:space="preserve">,  ανά ηλικιακή </w:t>
      </w:r>
      <w:r w:rsidRPr="00F55A5A">
        <w:rPr>
          <w:sz w:val="24"/>
          <w:szCs w:val="24"/>
          <w:lang w:val="el-GR"/>
        </w:rPr>
        <w:t>ομάδα και κατάσταση αναπηρίας.</w:t>
      </w:r>
    </w:p>
    <w:p w14:paraId="514C7D68" w14:textId="77777777" w:rsidR="00444E74" w:rsidRPr="00F55A5A" w:rsidRDefault="00444E74" w:rsidP="005F5798">
      <w:pPr>
        <w:jc w:val="both"/>
        <w:rPr>
          <w:sz w:val="24"/>
          <w:szCs w:val="24"/>
          <w:lang w:val="el-GR"/>
        </w:rPr>
      </w:pPr>
      <w:r w:rsidRPr="00F55A5A">
        <w:rPr>
          <w:sz w:val="24"/>
          <w:szCs w:val="24"/>
          <w:lang w:val="el-GR"/>
        </w:rPr>
        <w:t xml:space="preserve">Σε όλες τις ηλικιακές ομάδες διαπιστώνεται ότι ο κίνδυνος φτώχειας είναι υψηλότερος στα άτομα με αναπηρία σε σύγκριση με τα άτομα χωρίς αναπηρίας. </w:t>
      </w:r>
    </w:p>
    <w:p w14:paraId="7E73E7C1" w14:textId="77777777" w:rsidR="00444E74" w:rsidRPr="00F55A5A" w:rsidRDefault="00444E74" w:rsidP="00444E74">
      <w:pPr>
        <w:rPr>
          <w:sz w:val="24"/>
          <w:szCs w:val="24"/>
          <w:lang w:val="el-GR"/>
        </w:rPr>
      </w:pPr>
      <w:r w:rsidRPr="00F55A5A">
        <w:rPr>
          <w:sz w:val="24"/>
          <w:szCs w:val="24"/>
          <w:lang w:val="el-GR"/>
        </w:rPr>
        <w:t xml:space="preserve">Ειδικότερα, σε κίνδυνο φτώχειας βρίσκεται: </w:t>
      </w:r>
    </w:p>
    <w:p w14:paraId="3F8EC34F" w14:textId="77777777" w:rsidR="00444E74" w:rsidRPr="00F55A5A" w:rsidRDefault="00444E74" w:rsidP="00444E74">
      <w:pPr>
        <w:pStyle w:val="a9"/>
        <w:numPr>
          <w:ilvl w:val="0"/>
          <w:numId w:val="12"/>
        </w:numPr>
        <w:jc w:val="both"/>
        <w:rPr>
          <w:sz w:val="24"/>
          <w:szCs w:val="24"/>
          <w:lang w:val="el-GR"/>
        </w:rPr>
      </w:pPr>
      <w:r w:rsidRPr="00F55A5A">
        <w:rPr>
          <w:sz w:val="24"/>
          <w:szCs w:val="24"/>
          <w:lang w:val="el-GR"/>
        </w:rPr>
        <w:t>Το 30,7% του πληθυσμού με αναπηρία 25-34 ετών (έναντι του 17,1% του πληθυσμού χωρίς αναπηρία),</w:t>
      </w:r>
    </w:p>
    <w:p w14:paraId="62E792A0" w14:textId="77777777" w:rsidR="00444E74" w:rsidRPr="00F55A5A" w:rsidRDefault="00444E74" w:rsidP="00444E74">
      <w:pPr>
        <w:pStyle w:val="a9"/>
        <w:numPr>
          <w:ilvl w:val="0"/>
          <w:numId w:val="12"/>
        </w:numPr>
        <w:jc w:val="both"/>
        <w:rPr>
          <w:sz w:val="24"/>
          <w:szCs w:val="24"/>
          <w:lang w:val="el-GR"/>
        </w:rPr>
      </w:pPr>
      <w:r w:rsidRPr="00F55A5A">
        <w:rPr>
          <w:sz w:val="24"/>
          <w:szCs w:val="24"/>
          <w:lang w:val="el-GR"/>
        </w:rPr>
        <w:t>Το 25,3% του πληθυσμού με αναπηρία 35-44 ετών (έναντι του 16,4% του πληθυσμού χωρίς αναπηρία),</w:t>
      </w:r>
    </w:p>
    <w:p w14:paraId="68F0F7AA" w14:textId="77777777" w:rsidR="00444E74" w:rsidRPr="00F55A5A" w:rsidRDefault="00444E74" w:rsidP="00444E74">
      <w:pPr>
        <w:pStyle w:val="a9"/>
        <w:numPr>
          <w:ilvl w:val="0"/>
          <w:numId w:val="12"/>
        </w:numPr>
        <w:jc w:val="both"/>
        <w:rPr>
          <w:sz w:val="24"/>
          <w:szCs w:val="24"/>
          <w:lang w:val="el-GR"/>
        </w:rPr>
      </w:pPr>
      <w:r w:rsidRPr="00F55A5A">
        <w:rPr>
          <w:sz w:val="24"/>
          <w:szCs w:val="24"/>
          <w:lang w:val="el-GR"/>
        </w:rPr>
        <w:t>Το 24,6% του πληθυσμού με αναπηρία 45-54 ετών (έναντι του 17,5% του πληθυσμού χωρίς αναπηρία),</w:t>
      </w:r>
    </w:p>
    <w:p w14:paraId="7F5A120A" w14:textId="77777777" w:rsidR="00444E74" w:rsidRPr="00F55A5A" w:rsidRDefault="00444E74" w:rsidP="00444E74">
      <w:pPr>
        <w:pStyle w:val="a9"/>
        <w:numPr>
          <w:ilvl w:val="0"/>
          <w:numId w:val="12"/>
        </w:numPr>
        <w:jc w:val="both"/>
        <w:rPr>
          <w:sz w:val="24"/>
          <w:szCs w:val="24"/>
          <w:lang w:val="el-GR"/>
        </w:rPr>
      </w:pPr>
      <w:r w:rsidRPr="00F55A5A">
        <w:rPr>
          <w:sz w:val="24"/>
          <w:szCs w:val="24"/>
          <w:lang w:val="el-GR"/>
        </w:rPr>
        <w:t>Το 24,3% του πληθυσμού με αναπηρία 55-64 ετών (έναντι του 16,7% του πληθυσμού χωρίς αναπηρία).</w:t>
      </w:r>
    </w:p>
    <w:p w14:paraId="3D730F4E" w14:textId="77777777" w:rsidR="00444E74" w:rsidRPr="00F55A5A" w:rsidRDefault="00444E74" w:rsidP="005F5798">
      <w:pPr>
        <w:jc w:val="both"/>
        <w:rPr>
          <w:sz w:val="24"/>
          <w:szCs w:val="24"/>
          <w:lang w:val="el-GR"/>
        </w:rPr>
      </w:pPr>
    </w:p>
    <w:p w14:paraId="021EFEFA" w14:textId="0F8D995D" w:rsidR="005F5798" w:rsidRPr="00237E8E" w:rsidRDefault="005F5798" w:rsidP="00237E8E">
      <w:pPr>
        <w:pStyle w:val="10"/>
        <w:ind w:left="851" w:right="651"/>
        <w:rPr>
          <w:b/>
          <w:sz w:val="24"/>
          <w:szCs w:val="24"/>
          <w:lang w:val="el-GR"/>
        </w:rPr>
      </w:pPr>
      <w:bookmarkStart w:id="7" w:name="_Toc59179443"/>
      <w:r w:rsidRPr="00237E8E">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DA4DF6">
        <w:rPr>
          <w:b/>
          <w:noProof/>
          <w:sz w:val="24"/>
          <w:szCs w:val="24"/>
          <w:lang w:val="el-GR"/>
        </w:rPr>
        <w:t>5</w:t>
      </w:r>
      <w:r w:rsidR="0084626E">
        <w:rPr>
          <w:b/>
          <w:sz w:val="24"/>
          <w:szCs w:val="24"/>
          <w:lang w:val="el-GR"/>
        </w:rPr>
        <w:fldChar w:fldCharType="end"/>
      </w:r>
      <w:r w:rsidRPr="00237E8E">
        <w:rPr>
          <w:b/>
          <w:sz w:val="24"/>
          <w:szCs w:val="24"/>
          <w:lang w:val="el-GR"/>
        </w:rPr>
        <w:t>: Κίνδυνος φτώχειας μετά τις κοινωνικές μεταβιβάσεις κατά ηλικιακή ομάδα και κατάσταση αναπηρίας (Σοβαρή &amp; μέτρια αναπηρία/χωρίς αναπηρία) το 2019</w:t>
      </w:r>
      <w:bookmarkEnd w:id="7"/>
    </w:p>
    <w:p w14:paraId="7A2875EA" w14:textId="77777777" w:rsidR="00450210" w:rsidRDefault="005F5798" w:rsidP="00450210">
      <w:pPr>
        <w:keepNext/>
        <w:ind w:left="567"/>
      </w:pPr>
      <w:r w:rsidRPr="008F2919">
        <w:rPr>
          <w:rFonts w:ascii="Times New Roman" w:hAnsi="Times New Roman"/>
          <w:b/>
          <w:noProof/>
          <w:color w:val="FF0000"/>
          <w:sz w:val="24"/>
          <w:szCs w:val="24"/>
          <w:lang w:val="el-GR" w:eastAsia="el-GR"/>
        </w:rPr>
        <w:drawing>
          <wp:inline distT="0" distB="0" distL="0" distR="0" wp14:anchorId="307E3803" wp14:editId="17EEB262">
            <wp:extent cx="5321593" cy="2681654"/>
            <wp:effectExtent l="0" t="0" r="0" b="4445"/>
            <wp:docPr id="10" name="Γράφημα 3" descr="16-24 ετών: 29,6 σοβαρή και μέτρια αναπηρία και 25,8 χωρίς αναπηρία.&#10;25-34 ετών: 30,7 σοβαρή και μέτρια αναπηρία και 17,1 χωρίς αναπηρία.&#10;35-44 ετών: 25,3 σοβαρή και μέτρια αναπηρία και 16,4 χωρίς αναπηρία.&#10;45-54 ετών: 24,6 σοβαρή και μέτρια αναπηρία και 17,5 χωρίς αναπηρία.&#10;55-64 ετών: 24,3 σοβαρή και μέτρια αναπηρία και 16,7 χωρίς αναπηρία.&#10;65+ ετών: 13,9 σοβαρή και μέτρια αναπηρία και 9,4 χωρίς αναπηρία."/>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407B95" w14:textId="77777777" w:rsidR="00450210" w:rsidRPr="006B62F0" w:rsidRDefault="00450210" w:rsidP="00450210">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2DD1F15A" w14:textId="77777777" w:rsidR="00237E8E" w:rsidRPr="00450210" w:rsidRDefault="00237E8E" w:rsidP="005F5798">
      <w:pPr>
        <w:rPr>
          <w:rFonts w:ascii="Times New Roman" w:hAnsi="Times New Roman"/>
          <w:sz w:val="24"/>
          <w:szCs w:val="24"/>
        </w:rPr>
      </w:pPr>
    </w:p>
    <w:p w14:paraId="6A24C4A9" w14:textId="77777777" w:rsidR="00450210" w:rsidRPr="005F4B26" w:rsidRDefault="00450210" w:rsidP="00450210">
      <w:pPr>
        <w:jc w:val="both"/>
        <w:rPr>
          <w:sz w:val="24"/>
          <w:szCs w:val="24"/>
          <w:lang w:val="el-GR"/>
        </w:rPr>
      </w:pPr>
      <w:r w:rsidRPr="005F4B26">
        <w:rPr>
          <w:sz w:val="24"/>
          <w:szCs w:val="24"/>
          <w:lang w:val="el-GR"/>
        </w:rPr>
        <w:t xml:space="preserve">Γίνεται φανερό ότι το χάσμα της φτώχειας, δηλαδή η διαφορά στο ποσοστό φτώχειας μεταξύ των ατόμων με αναπηρία και των ατόμων χωρίς αναπηρία, είναι περισσότερο σοβαρό στις ηλικίες 25-64 ετών. </w:t>
      </w:r>
    </w:p>
    <w:p w14:paraId="1F9985BA" w14:textId="77777777" w:rsidR="00450210" w:rsidRPr="005F4B26" w:rsidRDefault="00450210" w:rsidP="00450210">
      <w:pPr>
        <w:jc w:val="both"/>
        <w:rPr>
          <w:sz w:val="24"/>
          <w:szCs w:val="24"/>
          <w:lang w:val="el-GR"/>
        </w:rPr>
      </w:pPr>
      <w:r w:rsidRPr="005F4B26">
        <w:rPr>
          <w:sz w:val="24"/>
          <w:szCs w:val="24"/>
          <w:lang w:val="el-GR"/>
        </w:rPr>
        <w:t xml:space="preserve">Έχει ωστόσο ενδιαφέρον να εξετάσουμε την διαχρονική εξέλιξη του δείκτη κινδύνου φτώχειας μετά τις κοινωνικές μεταβιβάσεις, καθώς αποτυπώνει την μεταβολή των εισοδηματικών ανισοτήτων. Στο παρακάτω γράφημα αποτυπώνεται συνδυαστικά η εξέλιξη του δείκτη για τα άτομα με σοβαρή αναπηρία και τα άτομα χωρίς αναπηρία ηλικίας 16-64 ετών. </w:t>
      </w:r>
    </w:p>
    <w:p w14:paraId="5FABED7C" w14:textId="2C357301" w:rsidR="00450210" w:rsidRPr="00450210" w:rsidRDefault="00450210" w:rsidP="00450210">
      <w:pPr>
        <w:pStyle w:val="10"/>
        <w:ind w:left="284" w:right="651"/>
        <w:rPr>
          <w:b/>
          <w:sz w:val="24"/>
          <w:szCs w:val="24"/>
          <w:lang w:val="el-GR"/>
        </w:rPr>
      </w:pPr>
      <w:bookmarkStart w:id="8" w:name="_Toc59179444"/>
      <w:r w:rsidRPr="005F5798">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DA4DF6">
        <w:rPr>
          <w:b/>
          <w:noProof/>
          <w:sz w:val="24"/>
          <w:szCs w:val="24"/>
          <w:lang w:val="el-GR"/>
        </w:rPr>
        <w:t>6</w:t>
      </w:r>
      <w:r w:rsidR="0084626E">
        <w:rPr>
          <w:b/>
          <w:sz w:val="24"/>
          <w:szCs w:val="24"/>
          <w:lang w:val="el-GR"/>
        </w:rPr>
        <w:fldChar w:fldCharType="end"/>
      </w:r>
      <w:r w:rsidRPr="005F5798">
        <w:rPr>
          <w:b/>
          <w:sz w:val="24"/>
          <w:szCs w:val="24"/>
          <w:lang w:val="el-GR"/>
        </w:rPr>
        <w:t>: Διαχρονική εξέλιξη του ποσοστού πληθυσμού (16-64 ετών) σε κίνδυνο φτώχειας και κατάσταση αναπηρίας (Σοβαρή αναπηρία/χωρίς αναπηρία)</w:t>
      </w:r>
      <w:bookmarkEnd w:id="8"/>
    </w:p>
    <w:p w14:paraId="61C2A1BC" w14:textId="77777777" w:rsidR="00450210" w:rsidRPr="00D34ABE" w:rsidRDefault="00450210" w:rsidP="00450210">
      <w:pPr>
        <w:ind w:left="284"/>
      </w:pPr>
      <w:r w:rsidRPr="00DB70EB">
        <w:rPr>
          <w:noProof/>
          <w:color w:val="FF0000"/>
          <w:lang w:val="el-GR" w:eastAsia="el-GR"/>
        </w:rPr>
        <w:drawing>
          <wp:inline distT="0" distB="0" distL="0" distR="0" wp14:anchorId="6FD0D1E2" wp14:editId="65F594A8">
            <wp:extent cx="5183041" cy="3211926"/>
            <wp:effectExtent l="0" t="0" r="0" b="7620"/>
            <wp:docPr id="1" name="Γράφημα 5" descr="2010: σοβαρή αναπηρία 24,8 και χωρίς αναπηρία 18,7. &#10;2011: σοβαρή αναπηρία 34 και χωρίς αναπηρία 19,3. &#10;2012: σοβαρή αναπηρία 34,5 και χωρίς αναπηρία 23,5. &#10;2013: σοβαρή αναπηρία 31,3 και χωρίς αναπηρία 23,2. &#10;2014: σοβαρή αναπηρία 29,5 και χωρίς αναπηρία 23,2. &#10;2015: σοβαρή αναπηρία 27,9 και χωρίς αναπηρία 21,9. &#10;2016: σοβαρή αναπηρία 24,8 και χωρίς αναπηρία 22,3. &#10;2017: σοβαρή αναπηρία 29,4 και χωρίς αναπηρία 20,9. &#10;2018: σοβαρή αναπηρία 29,1 και χωρίς αναπηρία 19,2. &#10;2019: σοβαρή αναπηρία 26,9 και χωρίς αναπηρία 1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C39486" w14:textId="77777777" w:rsidR="00450210" w:rsidRPr="006B62F0" w:rsidRDefault="00450210" w:rsidP="00450210">
      <w:pPr>
        <w:pStyle w:val="aa"/>
        <w:ind w:left="851"/>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24258963" w14:textId="77777777" w:rsidR="00450210" w:rsidRPr="00450210" w:rsidRDefault="00450210" w:rsidP="00450210">
      <w:pPr>
        <w:jc w:val="both"/>
        <w:rPr>
          <w:rFonts w:ascii="Times New Roman" w:hAnsi="Times New Roman"/>
          <w:sz w:val="24"/>
          <w:szCs w:val="24"/>
        </w:rPr>
      </w:pPr>
    </w:p>
    <w:p w14:paraId="4F1450FD" w14:textId="77777777" w:rsidR="00450210" w:rsidRPr="00450210" w:rsidRDefault="00450210" w:rsidP="00450210">
      <w:pPr>
        <w:jc w:val="both"/>
        <w:rPr>
          <w:rFonts w:ascii="Times New Roman" w:hAnsi="Times New Roman"/>
          <w:sz w:val="24"/>
          <w:szCs w:val="24"/>
          <w:lang w:val="el-GR"/>
        </w:rPr>
      </w:pPr>
      <w:r w:rsidRPr="00450210">
        <w:rPr>
          <w:rFonts w:ascii="Times New Roman" w:hAnsi="Times New Roman"/>
          <w:sz w:val="24"/>
          <w:szCs w:val="24"/>
          <w:lang w:val="el-GR"/>
        </w:rPr>
        <w:t xml:space="preserve">Ένα βασικό συμπέρασμα που προκύπτει από τα δεδομένα είναι ότι </w:t>
      </w:r>
      <w:r w:rsidR="00FE194D">
        <w:rPr>
          <w:rFonts w:ascii="Times New Roman" w:hAnsi="Times New Roman"/>
          <w:sz w:val="24"/>
          <w:szCs w:val="24"/>
          <w:lang w:val="el-GR"/>
        </w:rPr>
        <w:t xml:space="preserve">όπως και στην εξέλιξη του σύνθετου δείκτη, </w:t>
      </w:r>
      <w:r w:rsidRPr="00450210">
        <w:rPr>
          <w:rFonts w:ascii="Times New Roman" w:hAnsi="Times New Roman"/>
          <w:sz w:val="24"/>
          <w:szCs w:val="24"/>
          <w:lang w:val="el-GR"/>
        </w:rPr>
        <w:t>κατά τα έτη 2012-2016 διαπιστώνεται άμβλυνση της ανισότητας ως αποτέλεσμα της συνολικής φτωχοποίησης του ελληνικού πληθυσμού και της προς τα κάτω συμπίεσης της γραμμής της φτώχειας</w:t>
      </w:r>
      <w:r w:rsidRPr="00FE194D">
        <w:rPr>
          <w:rFonts w:ascii="Times New Roman" w:hAnsi="Times New Roman"/>
          <w:sz w:val="24"/>
          <w:szCs w:val="24"/>
          <w:lang w:val="el-GR"/>
        </w:rPr>
        <w:t xml:space="preserve">. Μετά το 2016 όπου </w:t>
      </w:r>
      <w:r w:rsidR="00DE5CA1" w:rsidRPr="00FE194D">
        <w:rPr>
          <w:rFonts w:ascii="Times New Roman" w:hAnsi="Times New Roman"/>
          <w:sz w:val="24"/>
          <w:szCs w:val="24"/>
          <w:lang w:val="el-GR"/>
        </w:rPr>
        <w:t>ξεκινάει να καταγράφεται μια σταθερή</w:t>
      </w:r>
      <w:r w:rsidRPr="00FE194D">
        <w:rPr>
          <w:rFonts w:ascii="Times New Roman" w:hAnsi="Times New Roman"/>
          <w:sz w:val="24"/>
          <w:szCs w:val="24"/>
          <w:lang w:val="el-GR"/>
        </w:rPr>
        <w:t xml:space="preserve"> αύξηση του μέσου διαθέσιμου εισοδήματος των πολιτών</w:t>
      </w:r>
      <w:r w:rsidRPr="00FE194D">
        <w:rPr>
          <w:vertAlign w:val="superscript"/>
          <w:lang w:val="el-GR"/>
        </w:rPr>
        <w:footnoteReference w:id="6"/>
      </w:r>
      <w:r w:rsidR="00FE194D" w:rsidRPr="00FE194D">
        <w:rPr>
          <w:rFonts w:ascii="Times New Roman" w:hAnsi="Times New Roman"/>
          <w:sz w:val="24"/>
          <w:szCs w:val="24"/>
          <w:lang w:val="el-GR"/>
        </w:rPr>
        <w:t xml:space="preserve">, </w:t>
      </w:r>
      <w:r w:rsidRPr="00FE194D">
        <w:rPr>
          <w:rFonts w:ascii="Times New Roman" w:hAnsi="Times New Roman"/>
          <w:sz w:val="24"/>
          <w:szCs w:val="24"/>
          <w:lang w:val="el-GR"/>
        </w:rPr>
        <w:t xml:space="preserve">το χάσμα κινδύνου φτώχειας μεταξύ των ατόμων με σοβαρή και χωρίς αναπηρία διευρύνεται </w:t>
      </w:r>
      <w:r w:rsidR="00DE5CA1" w:rsidRPr="00FE194D">
        <w:rPr>
          <w:rFonts w:ascii="Times New Roman" w:hAnsi="Times New Roman"/>
          <w:sz w:val="24"/>
          <w:szCs w:val="24"/>
          <w:lang w:val="el-GR"/>
        </w:rPr>
        <w:t>εκ νέου</w:t>
      </w:r>
      <w:r w:rsidRPr="00FE194D">
        <w:rPr>
          <w:rFonts w:ascii="Times New Roman" w:hAnsi="Times New Roman"/>
          <w:sz w:val="24"/>
          <w:szCs w:val="24"/>
          <w:lang w:val="el-GR"/>
        </w:rPr>
        <w:t>.</w:t>
      </w:r>
      <w:r w:rsidRPr="00450210">
        <w:rPr>
          <w:rFonts w:ascii="Times New Roman" w:hAnsi="Times New Roman"/>
          <w:sz w:val="24"/>
          <w:szCs w:val="24"/>
          <w:lang w:val="el-GR"/>
        </w:rPr>
        <w:t xml:space="preserve"> </w:t>
      </w:r>
    </w:p>
    <w:p w14:paraId="5973E954" w14:textId="77777777" w:rsidR="005F5798" w:rsidRPr="005F5798" w:rsidRDefault="00C2773E" w:rsidP="005F5798">
      <w:pPr>
        <w:jc w:val="both"/>
        <w:rPr>
          <w:rFonts w:ascii="Times New Roman" w:hAnsi="Times New Roman"/>
          <w:sz w:val="24"/>
          <w:szCs w:val="24"/>
          <w:lang w:val="el-GR"/>
        </w:rPr>
      </w:pPr>
      <w:r>
        <w:rPr>
          <w:rFonts w:ascii="Times New Roman" w:hAnsi="Times New Roman"/>
          <w:sz w:val="24"/>
          <w:szCs w:val="24"/>
          <w:lang w:val="el-GR"/>
        </w:rPr>
        <w:t xml:space="preserve">Αυτή η εξέλιξη υποδεικνύει τις δομικές ανισότητες που αντιμετωπίζουν τα άτομα με αναπηρία οι οποίες γίνονται επίσης φανερές υπολογίζοντας τον δείκτη φτώχειας πριν τις κοινωνικές μεταβιβάσεις, </w:t>
      </w:r>
      <w:r w:rsidR="005F5798" w:rsidRPr="005F5798">
        <w:rPr>
          <w:rFonts w:ascii="Times New Roman" w:hAnsi="Times New Roman"/>
          <w:sz w:val="24"/>
          <w:szCs w:val="24"/>
          <w:lang w:val="el-GR"/>
        </w:rPr>
        <w:t>χωρίς δηλαδή να περιλαμβάνονται στο εισόδημα τα κοινωνικά επιδόματα και οι συντάξεις στο</w:t>
      </w:r>
      <w:r w:rsidR="00450210">
        <w:rPr>
          <w:rFonts w:ascii="Times New Roman" w:hAnsi="Times New Roman"/>
          <w:sz w:val="24"/>
          <w:szCs w:val="24"/>
          <w:lang w:val="el-GR"/>
        </w:rPr>
        <w:t xml:space="preserve"> διαθ</w:t>
      </w:r>
      <w:r w:rsidR="00B7729E">
        <w:rPr>
          <w:rFonts w:ascii="Times New Roman" w:hAnsi="Times New Roman"/>
          <w:sz w:val="24"/>
          <w:szCs w:val="24"/>
          <w:lang w:val="el-GR"/>
        </w:rPr>
        <w:t>έσιμο εισόδημα.</w:t>
      </w:r>
    </w:p>
    <w:p w14:paraId="4ECB192D" w14:textId="54E1D1FE" w:rsidR="005F5798" w:rsidRPr="00450210" w:rsidRDefault="005F5798" w:rsidP="00450210">
      <w:pPr>
        <w:pStyle w:val="10"/>
        <w:ind w:left="284" w:right="651"/>
        <w:rPr>
          <w:b/>
          <w:sz w:val="24"/>
          <w:szCs w:val="24"/>
          <w:lang w:val="el-GR"/>
        </w:rPr>
      </w:pPr>
      <w:bookmarkStart w:id="9" w:name="_Toc59179445"/>
      <w:r w:rsidRPr="00450210">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DA4DF6">
        <w:rPr>
          <w:b/>
          <w:noProof/>
          <w:sz w:val="24"/>
          <w:szCs w:val="24"/>
          <w:lang w:val="el-GR"/>
        </w:rPr>
        <w:t>7</w:t>
      </w:r>
      <w:r w:rsidR="0084626E">
        <w:rPr>
          <w:b/>
          <w:sz w:val="24"/>
          <w:szCs w:val="24"/>
          <w:lang w:val="el-GR"/>
        </w:rPr>
        <w:fldChar w:fldCharType="end"/>
      </w:r>
      <w:r w:rsidRPr="00450210">
        <w:rPr>
          <w:b/>
          <w:sz w:val="24"/>
          <w:szCs w:val="24"/>
          <w:lang w:val="el-GR"/>
        </w:rPr>
        <w:t>: Κίνδυνος φτώχειας πριν τις κοινωνικές μεταβιβάσεις κατά ηλικιακή ομάδα και κατάσταση αναπηρίας το 2019</w:t>
      </w:r>
      <w:bookmarkEnd w:id="9"/>
    </w:p>
    <w:p w14:paraId="6091AF22" w14:textId="77777777" w:rsidR="003A48E6" w:rsidRDefault="005F5798" w:rsidP="003A48E6">
      <w:pPr>
        <w:keepNext/>
      </w:pPr>
      <w:r w:rsidRPr="00A26FB2">
        <w:rPr>
          <w:noProof/>
          <w:lang w:val="el-GR" w:eastAsia="el-GR"/>
        </w:rPr>
        <w:drawing>
          <wp:inline distT="0" distB="0" distL="0" distR="0" wp14:anchorId="547C7F45" wp14:editId="25DEFFE0">
            <wp:extent cx="5383637" cy="3548130"/>
            <wp:effectExtent l="0" t="0" r="0" b="0"/>
            <wp:docPr id="11" name="Γράφημα 6" descr="16-24 ετών: σοβαρή αναπηρία 40,1, μέτρια αναπηρία 65,2 και χωρίς αναπηρία 40,9. &#10;25-34 ετών: σοβαρή αναπηρία 75,3, μέτρια αναπηρία 60,2 και χωρίς αναπηρία 33,7. &#10;35-44 ετών: σοβαρή αναπηρία 69,1, μέτρια αναπηρία 48,1 και χωρίς αναπηρία 29,6. &#10;45-54 ετών: σοβαρή αναπηρία 55,7, μέτρια αναπηρία 42,8 και χωρίς αναπηρία 31,4. &#10;55-64 ετών: σοβαρή αναπηρία 69,6, μέτρια αναπηρία 67,7 και χωρίς αναπηρία 49,5. &#10;65+ ετών: σοβαρή αναπηρία 88,3, μέτρια αναπηρία 88,6 και χωρίς αναπηρία 8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F898BF" w14:textId="77777777" w:rsidR="003A48E6" w:rsidRPr="006B62F0" w:rsidRDefault="003A48E6" w:rsidP="003A48E6">
      <w:pPr>
        <w:pStyle w:val="aa"/>
        <w:ind w:left="142"/>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0F08B8B9" w14:textId="77777777" w:rsidR="005F5798" w:rsidRDefault="005F5798" w:rsidP="005F5798">
      <w:pPr>
        <w:pStyle w:val="aa"/>
        <w:jc w:val="both"/>
        <w:rPr>
          <w:rFonts w:ascii="Times New Roman" w:hAnsi="Times New Roman"/>
          <w:color w:val="auto"/>
          <w:sz w:val="24"/>
          <w:szCs w:val="24"/>
        </w:rPr>
      </w:pPr>
    </w:p>
    <w:p w14:paraId="5CA342CF" w14:textId="77777777" w:rsidR="005F5798" w:rsidRPr="00C40C4B" w:rsidRDefault="005F5798" w:rsidP="005F5798">
      <w:pPr>
        <w:jc w:val="both"/>
        <w:rPr>
          <w:sz w:val="24"/>
          <w:szCs w:val="24"/>
          <w:lang w:val="el-GR"/>
        </w:rPr>
      </w:pPr>
      <w:r w:rsidRPr="00C40C4B">
        <w:rPr>
          <w:sz w:val="24"/>
          <w:szCs w:val="24"/>
          <w:lang w:val="el-GR"/>
        </w:rPr>
        <w:t xml:space="preserve">Συνολικά στην ομάδα 16-64 το ποσοστό κινδύνου φτώχειας πριν από όλες τις κοινωνικές μεταβιβάσεις αγγίζει το 65,4% στον πληθυσμό των ατόμων με σοβαρή αναπηρία και το 57,8% στην ομάδα με μετρίου βαθμού περιορισμό δραστηριότητας, ενώ στον πληθυσμό χωρίς αναπηρία ανέρχεται στο 36,1%. </w:t>
      </w:r>
    </w:p>
    <w:p w14:paraId="7E46E27A" w14:textId="77777777" w:rsidR="005F5798" w:rsidRPr="00D34ABE" w:rsidRDefault="00FE194D" w:rsidP="005F5798">
      <w:pPr>
        <w:rPr>
          <w:sz w:val="24"/>
          <w:szCs w:val="24"/>
          <w:lang w:val="el-GR"/>
        </w:rPr>
      </w:pPr>
      <w:r w:rsidRPr="00D34ABE">
        <w:rPr>
          <w:sz w:val="24"/>
          <w:szCs w:val="24"/>
          <w:lang w:val="el-GR"/>
        </w:rPr>
        <w:t xml:space="preserve">Ειδικότερα: </w:t>
      </w:r>
    </w:p>
    <w:p w14:paraId="006B5604" w14:textId="77777777" w:rsidR="005F5798" w:rsidRPr="00C40C4B" w:rsidRDefault="005F5798" w:rsidP="00D34ABE">
      <w:pPr>
        <w:pStyle w:val="a9"/>
        <w:numPr>
          <w:ilvl w:val="0"/>
          <w:numId w:val="13"/>
        </w:numPr>
        <w:spacing w:after="200" w:line="276" w:lineRule="auto"/>
        <w:rPr>
          <w:sz w:val="24"/>
          <w:szCs w:val="24"/>
          <w:lang w:val="el-GR"/>
        </w:rPr>
      </w:pPr>
      <w:r w:rsidRPr="00C40C4B">
        <w:rPr>
          <w:sz w:val="24"/>
          <w:szCs w:val="24"/>
          <w:lang w:val="el-GR"/>
        </w:rPr>
        <w:t xml:space="preserve">στην ομάδα «25-34 ετών» το ποσοστό των ατόμων με σοβαρή αναπηρία που αντιμετωπίζουν τον κίνδυνο φτώχειας ανέρχεται σε 75,3% όντας 42 ποσοστιαίες μονάδες υψηλότερος από το αντίστοιχο ποσοστό στα άτομα χωρίς αναπηρία. </w:t>
      </w:r>
    </w:p>
    <w:p w14:paraId="30CF75F3" w14:textId="77777777" w:rsidR="005F5798" w:rsidRPr="00C40C4B" w:rsidRDefault="005F5798" w:rsidP="00D34ABE">
      <w:pPr>
        <w:pStyle w:val="a9"/>
        <w:numPr>
          <w:ilvl w:val="0"/>
          <w:numId w:val="13"/>
        </w:numPr>
        <w:spacing w:after="200" w:line="276" w:lineRule="auto"/>
        <w:rPr>
          <w:sz w:val="24"/>
          <w:szCs w:val="24"/>
          <w:lang w:val="el-GR"/>
        </w:rPr>
      </w:pPr>
      <w:r w:rsidRPr="00C40C4B">
        <w:rPr>
          <w:sz w:val="24"/>
          <w:szCs w:val="24"/>
          <w:lang w:val="el-GR"/>
        </w:rPr>
        <w:t xml:space="preserve">στην ομάδα «35-44 ετών» το ποσοστό των ατόμων με σοβαρή αναπηρία που αντιμετωπίζουν τον κίνδυνο φτώχειας ανέρχεται σε 69,1%, σχεδόν 40 ποσοστιαίες μονάδες υψηλότερος από το αντίστοιχο ποσοστό στα άτομα χωρίς αναπηρία. </w:t>
      </w:r>
    </w:p>
    <w:p w14:paraId="21ECC259" w14:textId="77777777" w:rsidR="005F5798" w:rsidRPr="00C40C4B" w:rsidRDefault="005F5798" w:rsidP="00D34ABE">
      <w:pPr>
        <w:pStyle w:val="a9"/>
        <w:numPr>
          <w:ilvl w:val="0"/>
          <w:numId w:val="13"/>
        </w:numPr>
        <w:spacing w:after="200" w:line="276" w:lineRule="auto"/>
        <w:rPr>
          <w:sz w:val="24"/>
          <w:szCs w:val="24"/>
          <w:lang w:val="el-GR"/>
        </w:rPr>
      </w:pPr>
      <w:r w:rsidRPr="00C40C4B">
        <w:rPr>
          <w:sz w:val="24"/>
          <w:szCs w:val="24"/>
          <w:lang w:val="el-GR"/>
        </w:rPr>
        <w:t>στην ομάδα «45-54 ετών» το ποσοστό των ατόμων με σοβαρή αναπηρία που αντιμετωπίζουν τον κίνδυνο φτώχειας ανέρχεται σε 55,7%, ενώ το αντίστοιχο ποσοστό στα άτομα χωρίς αναπηρία βρίσκεται στο 31,4%.</w:t>
      </w:r>
    </w:p>
    <w:p w14:paraId="12E891DC" w14:textId="77777777" w:rsidR="005F5798" w:rsidRPr="005F5798" w:rsidRDefault="005F5798" w:rsidP="005F5798">
      <w:pPr>
        <w:rPr>
          <w:rFonts w:ascii="Times New Roman" w:hAnsi="Times New Roman"/>
          <w:sz w:val="24"/>
          <w:szCs w:val="24"/>
          <w:lang w:val="el-GR"/>
        </w:rPr>
      </w:pPr>
    </w:p>
    <w:p w14:paraId="7F30659E" w14:textId="77777777" w:rsidR="00C40C4B" w:rsidRPr="00C40C4B" w:rsidRDefault="005F5798" w:rsidP="00B7729E">
      <w:pPr>
        <w:jc w:val="both"/>
        <w:rPr>
          <w:sz w:val="24"/>
          <w:szCs w:val="24"/>
          <w:lang w:val="el-GR"/>
        </w:rPr>
      </w:pPr>
      <w:r w:rsidRPr="00C40C4B">
        <w:rPr>
          <w:sz w:val="24"/>
          <w:szCs w:val="24"/>
          <w:lang w:val="el-GR"/>
        </w:rPr>
        <w:t>Τα εν λόγω επίπεδα είναι σαφώς ανησυχητικά, και υποδεικνύουν ότι σημαντικό τμήμα του παραγωγικού πληθυσμού με αναπηρία βρίσκεται εντελώς αποκλεισμένο από την πρωταρχική πηγή εισοδήματος</w:t>
      </w:r>
      <w:r w:rsidR="00C40C4B" w:rsidRPr="00C40C4B">
        <w:rPr>
          <w:sz w:val="24"/>
          <w:szCs w:val="24"/>
          <w:lang w:val="el-GR"/>
        </w:rPr>
        <w:t>,</w:t>
      </w:r>
      <w:r w:rsidRPr="00C40C4B">
        <w:rPr>
          <w:sz w:val="24"/>
          <w:szCs w:val="24"/>
          <w:lang w:val="el-GR"/>
        </w:rPr>
        <w:t xml:space="preserve"> δηλαδή την εργασία, ή όπ</w:t>
      </w:r>
      <w:r w:rsidR="00C40C4B" w:rsidRPr="00C40C4B">
        <w:rPr>
          <w:sz w:val="24"/>
          <w:szCs w:val="24"/>
          <w:lang w:val="el-GR"/>
        </w:rPr>
        <w:t xml:space="preserve">ως περιγράφεται στη συνέχεια </w:t>
      </w:r>
      <w:r w:rsidRPr="00C40C4B">
        <w:rPr>
          <w:sz w:val="24"/>
          <w:szCs w:val="24"/>
          <w:lang w:val="el-GR"/>
        </w:rPr>
        <w:t xml:space="preserve">διαβιούν σε νοικοκυριά με χαμηλή ένταση εργασίας. </w:t>
      </w:r>
    </w:p>
    <w:p w14:paraId="7EB76BE6" w14:textId="77777777" w:rsidR="005F5798" w:rsidRPr="00C40C4B" w:rsidRDefault="005F5798" w:rsidP="00B7729E">
      <w:pPr>
        <w:jc w:val="both"/>
        <w:rPr>
          <w:sz w:val="24"/>
          <w:szCs w:val="24"/>
          <w:lang w:val="el-GR"/>
        </w:rPr>
      </w:pPr>
      <w:r w:rsidRPr="00C40C4B">
        <w:rPr>
          <w:sz w:val="24"/>
          <w:szCs w:val="24"/>
          <w:lang w:val="el-GR"/>
        </w:rPr>
        <w:t>Είναι προφανές ότι τα δεδομένα αφενός αποδεικνύουν την αδήριτη αναγκαιότητα των κοινωνικών μεταβιβάσεων, αφετέρου φαίνεται</w:t>
      </w:r>
      <w:r w:rsidR="00B7729E" w:rsidRPr="00C40C4B">
        <w:rPr>
          <w:sz w:val="24"/>
          <w:szCs w:val="24"/>
          <w:lang w:val="el-GR"/>
        </w:rPr>
        <w:t xml:space="preserve"> ότι οι κοινωνικές μεταβιβάσεις</w:t>
      </w:r>
      <w:r w:rsidRPr="00C40C4B">
        <w:rPr>
          <w:sz w:val="24"/>
          <w:szCs w:val="24"/>
          <w:lang w:val="el-GR"/>
        </w:rPr>
        <w:t xml:space="preserve"> επανορθώνουν μόνο μερικώς τις ανισότητες που αντιμετωπίζουν τα άτομα με αναπηρία ως προς την κοινωνική </w:t>
      </w:r>
      <w:r w:rsidR="00B7729E" w:rsidRPr="00C40C4B">
        <w:rPr>
          <w:sz w:val="24"/>
          <w:szCs w:val="24"/>
          <w:lang w:val="el-GR"/>
        </w:rPr>
        <w:t xml:space="preserve">και εργασιακή </w:t>
      </w:r>
      <w:r w:rsidRPr="00C40C4B">
        <w:rPr>
          <w:sz w:val="24"/>
          <w:szCs w:val="24"/>
          <w:lang w:val="el-GR"/>
        </w:rPr>
        <w:t xml:space="preserve">τους ένταξη.  </w:t>
      </w:r>
    </w:p>
    <w:p w14:paraId="5DB344C6" w14:textId="77777777" w:rsidR="00AA21A6" w:rsidRPr="00C40C4B" w:rsidRDefault="005F5798" w:rsidP="00FE194D">
      <w:pPr>
        <w:rPr>
          <w:b/>
          <w:sz w:val="32"/>
          <w:szCs w:val="32"/>
          <w:lang w:val="el-GR"/>
        </w:rPr>
      </w:pPr>
      <w:r w:rsidRPr="005F5798">
        <w:rPr>
          <w:color w:val="FF0000"/>
          <w:lang w:val="el-GR"/>
        </w:rPr>
        <w:t xml:space="preserve"> </w:t>
      </w:r>
    </w:p>
    <w:p w14:paraId="41624143" w14:textId="77777777" w:rsidR="003A006D" w:rsidRPr="00076819" w:rsidRDefault="009B19D6" w:rsidP="00076819">
      <w:pPr>
        <w:pStyle w:val="10"/>
        <w:numPr>
          <w:ilvl w:val="0"/>
          <w:numId w:val="11"/>
        </w:numPr>
        <w:rPr>
          <w:b/>
          <w:color w:val="auto"/>
          <w:lang w:val="el-GR"/>
        </w:rPr>
      </w:pPr>
      <w:bookmarkStart w:id="10" w:name="_Toc59179446"/>
      <w:r>
        <w:rPr>
          <w:b/>
          <w:color w:val="auto"/>
          <w:lang w:val="el-GR"/>
        </w:rPr>
        <w:t xml:space="preserve">Πληθυσμός </w:t>
      </w:r>
      <w:r w:rsidR="005F5798" w:rsidRPr="005F5798">
        <w:rPr>
          <w:b/>
          <w:color w:val="auto"/>
          <w:lang w:val="el-GR"/>
        </w:rPr>
        <w:t>που διαβιεί σε νοικοκυριά με υλική στέρηση</w:t>
      </w:r>
      <w:bookmarkEnd w:id="10"/>
    </w:p>
    <w:p w14:paraId="716E7F4E" w14:textId="77777777" w:rsidR="003A006D" w:rsidRPr="009B19D6" w:rsidRDefault="003A006D" w:rsidP="009B19D6">
      <w:pPr>
        <w:jc w:val="both"/>
        <w:rPr>
          <w:rFonts w:ascii="Times New Roman" w:hAnsi="Times New Roman"/>
          <w:sz w:val="24"/>
          <w:szCs w:val="24"/>
          <w:lang w:val="el-GR"/>
        </w:rPr>
      </w:pPr>
    </w:p>
    <w:p w14:paraId="3716B69E" w14:textId="77777777" w:rsidR="00076819" w:rsidRPr="00C40C4B" w:rsidRDefault="00076819" w:rsidP="009C4D36">
      <w:pPr>
        <w:jc w:val="both"/>
        <w:rPr>
          <w:sz w:val="24"/>
          <w:szCs w:val="24"/>
          <w:lang w:val="el-GR"/>
        </w:rPr>
      </w:pPr>
      <w:r w:rsidRPr="00C40C4B">
        <w:rPr>
          <w:sz w:val="24"/>
          <w:szCs w:val="24"/>
          <w:lang w:val="el-GR"/>
        </w:rPr>
        <w:t>Ο δείκτης «ποσοστό ατόμων με υλικές στερήσεις» εκτιμά το επίπεδο διαβίωσης μετρώντας το ποσοστό του πληθυσμού που στερείται τουλάχιστον 4 από έναν κατάλογο  9 βασικών αγαθών και υπηρεσιών</w:t>
      </w:r>
      <w:r w:rsidR="009B19D6" w:rsidRPr="00C40C4B">
        <w:rPr>
          <w:rStyle w:val="a8"/>
          <w:sz w:val="24"/>
          <w:szCs w:val="24"/>
          <w:lang w:val="el-GR"/>
        </w:rPr>
        <w:footnoteReference w:id="7"/>
      </w:r>
      <w:r w:rsidRPr="00C40C4B">
        <w:rPr>
          <w:sz w:val="24"/>
          <w:szCs w:val="24"/>
          <w:lang w:val="el-GR"/>
        </w:rPr>
        <w:t xml:space="preserve">, λόγω οικονομικής αδυναμίας απόκτησής τους. </w:t>
      </w:r>
    </w:p>
    <w:p w14:paraId="7D6898CC" w14:textId="77777777" w:rsidR="009B19D6" w:rsidRPr="00C40C4B" w:rsidRDefault="009B19D6" w:rsidP="009C4D36">
      <w:pPr>
        <w:jc w:val="both"/>
        <w:rPr>
          <w:sz w:val="24"/>
          <w:szCs w:val="24"/>
          <w:lang w:val="el-GR"/>
        </w:rPr>
      </w:pPr>
      <w:r w:rsidRPr="00C40C4B">
        <w:rPr>
          <w:sz w:val="24"/>
          <w:szCs w:val="24"/>
          <w:lang w:val="el-GR"/>
        </w:rPr>
        <w:t xml:space="preserve">Τα στοιχεία </w:t>
      </w:r>
      <w:r w:rsidR="009C4D36" w:rsidRPr="00C40C4B">
        <w:rPr>
          <w:sz w:val="24"/>
          <w:szCs w:val="24"/>
          <w:lang w:val="el-GR"/>
        </w:rPr>
        <w:t xml:space="preserve">και εδώ </w:t>
      </w:r>
      <w:r w:rsidRPr="00C40C4B">
        <w:rPr>
          <w:sz w:val="24"/>
          <w:szCs w:val="24"/>
          <w:lang w:val="el-GR"/>
        </w:rPr>
        <w:t xml:space="preserve">επιβεβαιώνουν τη </w:t>
      </w:r>
      <w:r w:rsidR="009C4D36" w:rsidRPr="00C40C4B">
        <w:rPr>
          <w:sz w:val="24"/>
          <w:szCs w:val="24"/>
          <w:lang w:val="el-GR"/>
        </w:rPr>
        <w:t xml:space="preserve">ισχυρή </w:t>
      </w:r>
      <w:r w:rsidRPr="00C40C4B">
        <w:rPr>
          <w:sz w:val="24"/>
          <w:szCs w:val="24"/>
          <w:lang w:val="el-GR"/>
        </w:rPr>
        <w:t xml:space="preserve">σχέση της αναπηρίας με τη φτώχεια καθώς και την επίδραση της βαρύτητας της αναπηρίας στην εν λόγω συσχέτιση. </w:t>
      </w:r>
    </w:p>
    <w:p w14:paraId="30BABC4D" w14:textId="77777777" w:rsidR="009C4D36" w:rsidRPr="00C40C4B" w:rsidRDefault="009C4D36" w:rsidP="009C4D36">
      <w:pPr>
        <w:jc w:val="both"/>
        <w:rPr>
          <w:sz w:val="24"/>
          <w:szCs w:val="24"/>
          <w:lang w:val="el-GR"/>
        </w:rPr>
      </w:pPr>
      <w:r w:rsidRPr="00C40C4B">
        <w:rPr>
          <w:sz w:val="24"/>
          <w:szCs w:val="24"/>
          <w:lang w:val="el-GR"/>
        </w:rPr>
        <w:t xml:space="preserve">Η διαχρονική εξέλιξη του δείκτη καταδεικνύει τη σταθερή αύξηση της υλικής στέρησης κατά τη διάρκεια των ετών από το 2010 και μετά, σε όλες τις κατηγορίες πληθυσμού,  ενώ τα έτη 2018 και 2019 διαπιστώνεται αποκλιμάκωση του φαινομένου με σημαντική μείωση των τιμών του δείκτη. </w:t>
      </w:r>
    </w:p>
    <w:p w14:paraId="06D6A8EC" w14:textId="77777777" w:rsidR="009C4D36" w:rsidRPr="00076819" w:rsidRDefault="009C4D36" w:rsidP="009C4D36">
      <w:pPr>
        <w:jc w:val="both"/>
        <w:rPr>
          <w:rFonts w:ascii="Times New Roman" w:hAnsi="Times New Roman"/>
          <w:sz w:val="24"/>
          <w:szCs w:val="24"/>
          <w:lang w:val="el-GR"/>
        </w:rPr>
      </w:pPr>
    </w:p>
    <w:p w14:paraId="741B1C21" w14:textId="56594BAD" w:rsidR="00076819" w:rsidRPr="009B19D6" w:rsidRDefault="00076819" w:rsidP="009B19D6">
      <w:pPr>
        <w:pStyle w:val="10"/>
        <w:ind w:left="284" w:right="651"/>
        <w:rPr>
          <w:b/>
          <w:sz w:val="24"/>
          <w:szCs w:val="24"/>
          <w:lang w:val="el-GR"/>
        </w:rPr>
      </w:pPr>
      <w:bookmarkStart w:id="11" w:name="_Toc59179447"/>
      <w:r w:rsidRPr="009B19D6">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DA4DF6">
        <w:rPr>
          <w:b/>
          <w:noProof/>
          <w:sz w:val="24"/>
          <w:szCs w:val="24"/>
          <w:lang w:val="el-GR"/>
        </w:rPr>
        <w:t>8</w:t>
      </w:r>
      <w:r w:rsidR="0084626E">
        <w:rPr>
          <w:b/>
          <w:sz w:val="24"/>
          <w:szCs w:val="24"/>
          <w:lang w:val="el-GR"/>
        </w:rPr>
        <w:fldChar w:fldCharType="end"/>
      </w:r>
      <w:r w:rsidRPr="009B19D6">
        <w:rPr>
          <w:b/>
          <w:sz w:val="24"/>
          <w:szCs w:val="24"/>
          <w:lang w:val="el-GR"/>
        </w:rPr>
        <w:t>: Πληθυσμός 16 ετών και άνω που αντιμετωπίζει υλικές στερήσεις και κατάσταση αναπηρίας</w:t>
      </w:r>
      <w:bookmarkEnd w:id="11"/>
      <w:r w:rsidRPr="009B19D6">
        <w:rPr>
          <w:b/>
          <w:sz w:val="24"/>
          <w:szCs w:val="24"/>
          <w:lang w:val="el-GR"/>
        </w:rPr>
        <w:t xml:space="preserve"> </w:t>
      </w:r>
    </w:p>
    <w:p w14:paraId="4F13193F" w14:textId="77777777" w:rsidR="009B19D6" w:rsidRDefault="00076819" w:rsidP="009B19D6">
      <w:pPr>
        <w:keepNext/>
        <w:ind w:left="284"/>
      </w:pPr>
      <w:r w:rsidRPr="00B11B71">
        <w:rPr>
          <w:noProof/>
          <w:lang w:val="el-GR" w:eastAsia="el-GR"/>
        </w:rPr>
        <w:drawing>
          <wp:inline distT="0" distB="0" distL="0" distR="0" wp14:anchorId="6812F0DA" wp14:editId="7888DBF0">
            <wp:extent cx="5274310" cy="3244555"/>
            <wp:effectExtent l="0" t="0" r="2540" b="0"/>
            <wp:docPr id="15" name="Γράφημα 3" descr="2010: σοβαρή αναπηρία 18,8, μέτρια αναπηρία 16,2 και χωρίς αναπηρία 10,2. &#10;2011: σοβαρή αναπηρία 21,2, μέτρια αναπηρία 14,7 και χωρίς αναπηρία 14,2. &#10;2012: σοβαρή αναπηρία 25,2, μέτρια αναπηρία 21 και χωρίς αναπηρία 18,6. &#10;2013: σοβαρή αναπηρία 23,5, μέτρια αναπηρία 21 και χωρίς αναπηρία 19,2. &#10;2014: σοβαρή αναπηρία 26, μέτρια αναπηρία 20 και χωρίς αναπηρία 20,7. &#10;2015: σοβαρή αναπηρία 27,1, μέτρια αναπηρία 20,2 και χωρίς αναπηρία 20,9. &#10;2016: σοβαρή αναπηρία 25,7, μέτρια αναπηρία 22,4 και χωρίς αναπηρία 21,1. &#10;2017: σοβαρή αναπηρία 27,5, μέτρια αναπηρία 21,9 και χωρίς αναπηρία 19,4. &#10;2018: σοβαρή αναπηρία 21,9, μέτρια αναπηρία 17,6 και χωρίς αναπηρία 15,6. &#10;2019: σοβαρή αναπηρία 22,1, μέτρια αναπηρία 17,5 και χωρίς αναπηρία 15,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BC5816" w14:textId="77777777" w:rsidR="009B19D6" w:rsidRPr="006B62F0" w:rsidRDefault="009B19D6" w:rsidP="009B19D6">
      <w:pPr>
        <w:pStyle w:val="aa"/>
        <w:ind w:left="426"/>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5E773DC0" w14:textId="77777777" w:rsidR="00D34ABE" w:rsidRDefault="00D34ABE" w:rsidP="00DD35FE">
      <w:pPr>
        <w:jc w:val="both"/>
        <w:rPr>
          <w:sz w:val="24"/>
          <w:szCs w:val="24"/>
          <w:lang w:val="el-GR"/>
        </w:rPr>
      </w:pPr>
    </w:p>
    <w:p w14:paraId="168C0170" w14:textId="15C5C084" w:rsidR="00DD35FE" w:rsidRPr="00C40C4B" w:rsidRDefault="00DD35FE" w:rsidP="00DD35FE">
      <w:pPr>
        <w:jc w:val="both"/>
        <w:rPr>
          <w:sz w:val="24"/>
          <w:szCs w:val="24"/>
          <w:lang w:val="el-GR"/>
        </w:rPr>
      </w:pPr>
      <w:r w:rsidRPr="00C40C4B">
        <w:rPr>
          <w:sz w:val="24"/>
          <w:szCs w:val="24"/>
          <w:lang w:val="el-GR"/>
        </w:rPr>
        <w:t>Όπως διαπιστώνεται και στις υπόλοιπες συνιστώσες της φτώχειας</w:t>
      </w:r>
      <w:r w:rsidR="00C40C4B">
        <w:rPr>
          <w:sz w:val="24"/>
          <w:szCs w:val="24"/>
          <w:lang w:val="el-GR"/>
        </w:rPr>
        <w:t>,</w:t>
      </w:r>
      <w:r w:rsidRPr="00C40C4B">
        <w:rPr>
          <w:sz w:val="24"/>
          <w:szCs w:val="24"/>
          <w:lang w:val="el-GR"/>
        </w:rPr>
        <w:t xml:space="preserve"> και το φαινόμενο της υλικής στέρησης είναι δραματικά εντονότερο στα άτομα με σοβαρή αναπηρία που βρίσκονται στο ηλικιακό φάσμα 16-64 ετών.</w:t>
      </w:r>
    </w:p>
    <w:p w14:paraId="141FD711" w14:textId="77777777" w:rsidR="00DD35FE" w:rsidRPr="00C40C4B" w:rsidRDefault="00DD35FE" w:rsidP="00DD35FE">
      <w:pPr>
        <w:jc w:val="both"/>
        <w:rPr>
          <w:sz w:val="24"/>
          <w:szCs w:val="24"/>
          <w:lang w:val="el-GR"/>
        </w:rPr>
      </w:pPr>
      <w:r w:rsidRPr="00C40C4B">
        <w:rPr>
          <w:sz w:val="24"/>
          <w:szCs w:val="24"/>
          <w:lang w:val="el-GR"/>
        </w:rPr>
        <w:t>Το 2019, σοβαρές υλικές στερήσεις αντιμετωπίζει το 31% των ατόμων ηλικίας 16-64 ετών με σοβαρή αναπηρία, και το 17,6% των ατόμων με σοβαρή αναπηρία ηλικίας 65+. Ωστόσο, και στις δύο ηλικιακές ομάδες τα ποσοστά ατόμων που διαβιούν σε υλική στέρηση είναι σχεδόν διπλάσια από τα αντίστοιχα που καταγράφονται στα άτομα χωρίς αναπηρία.</w:t>
      </w:r>
    </w:p>
    <w:p w14:paraId="6ECC7BE9" w14:textId="1F88D8A0" w:rsidR="009C4D36" w:rsidRPr="00481743" w:rsidRDefault="00DD35FE" w:rsidP="00D34ABE">
      <w:pPr>
        <w:jc w:val="both"/>
        <w:rPr>
          <w:sz w:val="24"/>
          <w:szCs w:val="24"/>
          <w:lang w:val="el-GR"/>
        </w:rPr>
      </w:pPr>
      <w:r w:rsidRPr="00C40C4B">
        <w:rPr>
          <w:sz w:val="24"/>
          <w:szCs w:val="24"/>
          <w:lang w:val="el-GR"/>
        </w:rPr>
        <w:t xml:space="preserve">Το γράφημα 9 αποτυπώνει τη διαχρονική εξέλιξη του ποσοστού πληθυσμού </w:t>
      </w:r>
      <w:r w:rsidR="00AB2107" w:rsidRPr="00C40C4B">
        <w:rPr>
          <w:sz w:val="24"/>
          <w:szCs w:val="24"/>
          <w:lang w:val="el-GR"/>
        </w:rPr>
        <w:t>ηλικίας 16-64 ετών που διαβιεί</w:t>
      </w:r>
      <w:r w:rsidRPr="00C40C4B">
        <w:rPr>
          <w:sz w:val="24"/>
          <w:szCs w:val="24"/>
          <w:lang w:val="el-GR"/>
        </w:rPr>
        <w:t xml:space="preserve"> σε υλική στέρηση, συγκριτικά για τις κατηγορίες με σοβαρή και χωρίς  αναπηρία.</w:t>
      </w:r>
      <w:r w:rsidR="00661D12" w:rsidRPr="00C40C4B">
        <w:rPr>
          <w:sz w:val="24"/>
          <w:szCs w:val="24"/>
          <w:lang w:val="el-GR"/>
        </w:rPr>
        <w:t xml:space="preserve"> Η διαγραμματική απεικόνιση, καθιστά εμφανές το σταθερό διαχρονικό χάσμα στο επίπεδο των υλικών συνθηκών διαβίωσης μεταξύ των ατόμων</w:t>
      </w:r>
      <w:r w:rsidR="00C40C4B">
        <w:rPr>
          <w:sz w:val="24"/>
          <w:szCs w:val="24"/>
          <w:lang w:val="el-GR"/>
        </w:rPr>
        <w:t>, σε συνάρτηση με την αναπηρία.</w:t>
      </w:r>
    </w:p>
    <w:p w14:paraId="35BA83BE" w14:textId="77777777" w:rsidR="009C4D36" w:rsidRPr="00481743" w:rsidRDefault="009C4D36" w:rsidP="00076819">
      <w:pPr>
        <w:rPr>
          <w:sz w:val="24"/>
          <w:szCs w:val="24"/>
          <w:lang w:val="el-GR"/>
        </w:rPr>
      </w:pPr>
    </w:p>
    <w:p w14:paraId="4F5CF1A8" w14:textId="51CF513F" w:rsidR="00076819" w:rsidRPr="00DD35FE" w:rsidRDefault="00076819" w:rsidP="00DD35FE">
      <w:pPr>
        <w:pStyle w:val="10"/>
        <w:ind w:left="284" w:right="651"/>
        <w:rPr>
          <w:b/>
          <w:sz w:val="24"/>
          <w:szCs w:val="24"/>
          <w:lang w:val="el-GR"/>
        </w:rPr>
      </w:pPr>
      <w:bookmarkStart w:id="12" w:name="_Toc59179448"/>
      <w:r w:rsidRPr="00DD35FE">
        <w:rPr>
          <w:b/>
          <w:sz w:val="24"/>
          <w:szCs w:val="24"/>
          <w:lang w:val="el-GR"/>
        </w:rPr>
        <w:lastRenderedPageBreak/>
        <w:t xml:space="preserve">Γράφημα </w:t>
      </w:r>
      <w:r w:rsidR="0084626E">
        <w:rPr>
          <w:b/>
          <w:sz w:val="24"/>
          <w:szCs w:val="24"/>
          <w:lang w:val="el-GR"/>
        </w:rPr>
        <w:fldChar w:fldCharType="begin"/>
      </w:r>
      <w:r w:rsidR="006634A5">
        <w:rPr>
          <w:b/>
          <w:sz w:val="24"/>
          <w:szCs w:val="24"/>
          <w:lang w:val="el-GR"/>
        </w:rPr>
        <w:instrText xml:space="preserve"> SEQ Γράφημα \* ARABIC </w:instrText>
      </w:r>
      <w:r w:rsidR="0084626E">
        <w:rPr>
          <w:b/>
          <w:sz w:val="24"/>
          <w:szCs w:val="24"/>
          <w:lang w:val="el-GR"/>
        </w:rPr>
        <w:fldChar w:fldCharType="separate"/>
      </w:r>
      <w:r w:rsidR="00DA4DF6">
        <w:rPr>
          <w:b/>
          <w:noProof/>
          <w:sz w:val="24"/>
          <w:szCs w:val="24"/>
          <w:lang w:val="el-GR"/>
        </w:rPr>
        <w:t>9</w:t>
      </w:r>
      <w:r w:rsidR="0084626E">
        <w:rPr>
          <w:b/>
          <w:sz w:val="24"/>
          <w:szCs w:val="24"/>
          <w:lang w:val="el-GR"/>
        </w:rPr>
        <w:fldChar w:fldCharType="end"/>
      </w:r>
      <w:r w:rsidRPr="00DD35FE">
        <w:rPr>
          <w:b/>
          <w:sz w:val="24"/>
          <w:szCs w:val="24"/>
          <w:lang w:val="el-GR"/>
        </w:rPr>
        <w:t>: Διαχρονική εξέλιξη ποσοστού πληθυσμού (16-64 ετών) σε υλική στέρηση και κατάσταση αναπηρίας</w:t>
      </w:r>
      <w:bookmarkEnd w:id="12"/>
      <w:r w:rsidRPr="00DD35FE">
        <w:rPr>
          <w:b/>
          <w:sz w:val="24"/>
          <w:szCs w:val="24"/>
          <w:lang w:val="el-GR"/>
        </w:rPr>
        <w:t xml:space="preserve"> </w:t>
      </w:r>
    </w:p>
    <w:p w14:paraId="3BAF8782" w14:textId="77777777" w:rsidR="00DD35FE" w:rsidRDefault="00076819" w:rsidP="00DD35FE">
      <w:pPr>
        <w:keepNext/>
        <w:ind w:left="142"/>
      </w:pPr>
      <w:r w:rsidRPr="00A1183D">
        <w:rPr>
          <w:noProof/>
          <w:color w:val="FF0000"/>
          <w:lang w:val="el-GR" w:eastAsia="el-GR"/>
        </w:rPr>
        <w:drawing>
          <wp:inline distT="0" distB="0" distL="0" distR="0" wp14:anchorId="0071F447" wp14:editId="02861146">
            <wp:extent cx="5274310" cy="2756804"/>
            <wp:effectExtent l="0" t="0" r="2540" b="5715"/>
            <wp:docPr id="16" name="Γράφημα 6" descr="2010: σοβαρή αναπηρία 22,3 και χωρίς αναπηρία 10,4. &#10;2011: σοβαρή αναπηρία 27,4 και χωρίς αναπηρία 14,9. &#10;2012: σοβαρή αναπηρία 35 και χωρίς αναπηρία 20,1. &#10;2013: σοβαρή αναπηρία 32,8 και χωρίς αναπηρία 20,7. &#10;2014: σοβαρή αναπηρία 35,1 και χωρίς αναπηρία 22. &#10;2015: σοβαρή αναπηρία 36,1 και χωρίς αναπηρία 22,4. &#10;2016: σοβαρή αναπηρία 36,9 και χωρίς αναπηρία 22,5. &#10;2017: σοβαρή αναπηρία 37,1 και χωρίς αναπηρία 20,7. &#10;2018: σοβαρή αναπηρία 29,9 και χωρίς αναπηρία 16,4. &#10;2019: σοβαρή αναπηρία 30,8 και χωρίς αναπηρία 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EE5905" w14:textId="77777777" w:rsidR="00DD35FE" w:rsidRPr="006B62F0" w:rsidRDefault="00DD35FE" w:rsidP="00DD35FE">
      <w:pPr>
        <w:pStyle w:val="aa"/>
        <w:ind w:left="426"/>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6DDA0A00" w14:textId="77777777" w:rsidR="00076819" w:rsidRPr="00F4074C" w:rsidRDefault="00076819" w:rsidP="00F4074C">
      <w:pPr>
        <w:jc w:val="both"/>
        <w:rPr>
          <w:sz w:val="24"/>
          <w:szCs w:val="24"/>
          <w:lang w:val="el-GR"/>
        </w:rPr>
      </w:pPr>
    </w:p>
    <w:p w14:paraId="60BEA57F" w14:textId="238C8E75" w:rsidR="00076819" w:rsidRPr="00C40C4B" w:rsidRDefault="00076819" w:rsidP="002F00F5">
      <w:pPr>
        <w:jc w:val="both"/>
        <w:rPr>
          <w:sz w:val="24"/>
          <w:szCs w:val="24"/>
          <w:lang w:val="el-GR"/>
        </w:rPr>
      </w:pPr>
      <w:r w:rsidRPr="00C40C4B">
        <w:rPr>
          <w:sz w:val="24"/>
          <w:szCs w:val="24"/>
          <w:lang w:val="el-GR"/>
        </w:rPr>
        <w:t>Εντούτοις, η έννοια της υλικής στέρησης</w:t>
      </w:r>
      <w:r w:rsidR="00C40C4B">
        <w:rPr>
          <w:sz w:val="24"/>
          <w:szCs w:val="24"/>
          <w:lang w:val="el-GR"/>
        </w:rPr>
        <w:t xml:space="preserve"> εδώ</w:t>
      </w:r>
      <w:r w:rsidRPr="00C40C4B">
        <w:rPr>
          <w:sz w:val="24"/>
          <w:szCs w:val="24"/>
          <w:lang w:val="el-GR"/>
        </w:rPr>
        <w:t xml:space="preserve"> </w:t>
      </w:r>
      <w:r w:rsidR="00C40C4B">
        <w:rPr>
          <w:sz w:val="24"/>
          <w:szCs w:val="24"/>
          <w:lang w:val="el-GR"/>
        </w:rPr>
        <w:t xml:space="preserve">δεν </w:t>
      </w:r>
      <w:r w:rsidRPr="00C40C4B">
        <w:rPr>
          <w:sz w:val="24"/>
          <w:szCs w:val="24"/>
          <w:lang w:val="el-GR"/>
        </w:rPr>
        <w:t xml:space="preserve">λαμβάνει υπόψη τις ανελαστικές ανάγκες σε εξειδικευμένα αγαθά και υπηρεσίες (υγείας, αποκατάστασης </w:t>
      </w:r>
      <w:r w:rsidR="003B4D49">
        <w:rPr>
          <w:sz w:val="24"/>
          <w:szCs w:val="24"/>
          <w:lang w:val="el-GR"/>
        </w:rPr>
        <w:t>κ.λπ</w:t>
      </w:r>
      <w:r w:rsidR="00F4074C">
        <w:rPr>
          <w:sz w:val="24"/>
          <w:szCs w:val="24"/>
          <w:lang w:val="el-GR"/>
        </w:rPr>
        <w:t>.</w:t>
      </w:r>
      <w:r w:rsidRPr="00C40C4B">
        <w:rPr>
          <w:sz w:val="24"/>
          <w:szCs w:val="24"/>
          <w:lang w:val="el-GR"/>
        </w:rPr>
        <w:t xml:space="preserve">) που απορρέουν από την κατάσταση της αναπηρίας. Η μη ικανοποίηση αυτών των αναγκών αποτελεί προφανώς κατάσταση σημαντικής υλικής αποστέρησης για τον πληθυσμό με αναπηρία, και δεν αποτυπώνεται στον εν λόγω δείκτη. </w:t>
      </w:r>
      <w:r w:rsidRPr="00C40C4B">
        <w:rPr>
          <w:b/>
          <w:sz w:val="24"/>
          <w:szCs w:val="24"/>
          <w:lang w:val="el-GR"/>
        </w:rPr>
        <w:t xml:space="preserve">Υπό αυτή την έννοια, το ποσοστό του πληθυσμού των ατόμων με αναπηρία που στερούνται τη δυνατότητα ενός ανεκτού επιπέδου υποεκτιμάται </w:t>
      </w:r>
      <w:r w:rsidRPr="00C40C4B">
        <w:rPr>
          <w:sz w:val="24"/>
          <w:szCs w:val="24"/>
          <w:lang w:val="el-GR"/>
        </w:rPr>
        <w:t xml:space="preserve">στα διαθέσιμα δεδομένα. </w:t>
      </w:r>
    </w:p>
    <w:p w14:paraId="1C5A46A6" w14:textId="77777777" w:rsidR="00F4074C" w:rsidRDefault="00F4074C">
      <w:pPr>
        <w:rPr>
          <w:rFonts w:asciiTheme="majorHAnsi" w:eastAsiaTheme="majorEastAsia" w:hAnsiTheme="majorHAnsi" w:cstheme="majorBidi"/>
          <w:b/>
          <w:sz w:val="32"/>
          <w:szCs w:val="32"/>
          <w:lang w:val="el-GR"/>
        </w:rPr>
      </w:pPr>
      <w:bookmarkStart w:id="13" w:name="_Toc59179449"/>
      <w:r>
        <w:rPr>
          <w:b/>
          <w:lang w:val="el-GR"/>
        </w:rPr>
        <w:br w:type="page"/>
      </w:r>
    </w:p>
    <w:p w14:paraId="10E272C9" w14:textId="4E550B5F" w:rsidR="005F5798" w:rsidRDefault="00886744" w:rsidP="003A006D">
      <w:pPr>
        <w:pStyle w:val="10"/>
        <w:numPr>
          <w:ilvl w:val="0"/>
          <w:numId w:val="11"/>
        </w:numPr>
        <w:rPr>
          <w:b/>
          <w:color w:val="auto"/>
          <w:lang w:val="el-GR"/>
        </w:rPr>
      </w:pPr>
      <w:r>
        <w:rPr>
          <w:b/>
          <w:color w:val="auto"/>
          <w:lang w:val="el-GR"/>
        </w:rPr>
        <w:lastRenderedPageBreak/>
        <w:t xml:space="preserve">Πληθυσμός </w:t>
      </w:r>
      <w:r w:rsidRPr="00886744">
        <w:rPr>
          <w:b/>
          <w:color w:val="auto"/>
          <w:lang w:val="el-GR"/>
        </w:rPr>
        <w:t>που διαβιεί σε νοικοκυριά με χαμηλή ένταση εργασίας</w:t>
      </w:r>
      <w:bookmarkEnd w:id="13"/>
    </w:p>
    <w:p w14:paraId="5A5A46E9" w14:textId="77777777" w:rsidR="00CD0EA9" w:rsidRPr="00C40C4B" w:rsidRDefault="00CD0EA9" w:rsidP="002F00F5">
      <w:pPr>
        <w:jc w:val="both"/>
        <w:rPr>
          <w:sz w:val="24"/>
          <w:szCs w:val="24"/>
          <w:lang w:val="el-GR"/>
        </w:rPr>
      </w:pPr>
      <w:r w:rsidRPr="00C40C4B">
        <w:rPr>
          <w:sz w:val="24"/>
          <w:szCs w:val="24"/>
          <w:lang w:val="el-GR"/>
        </w:rPr>
        <w:t>Ο δείκτης «</w:t>
      </w:r>
      <w:r w:rsidR="00886744" w:rsidRPr="00C40C4B">
        <w:rPr>
          <w:sz w:val="24"/>
          <w:szCs w:val="24"/>
          <w:lang w:val="el-GR"/>
        </w:rPr>
        <w:t>Ποσοστό πληθυσμού που διαβιεί σε νοικοκυριά με χαμηλή ένταση</w:t>
      </w:r>
      <w:r w:rsidRPr="00C40C4B">
        <w:rPr>
          <w:sz w:val="24"/>
          <w:szCs w:val="24"/>
          <w:lang w:val="el-GR"/>
        </w:rPr>
        <w:t xml:space="preserve"> εργασία</w:t>
      </w:r>
      <w:r w:rsidR="00886744" w:rsidRPr="00C40C4B">
        <w:rPr>
          <w:sz w:val="24"/>
          <w:szCs w:val="24"/>
          <w:lang w:val="el-GR"/>
        </w:rPr>
        <w:t>ς</w:t>
      </w:r>
      <w:r w:rsidRPr="00C40C4B">
        <w:rPr>
          <w:sz w:val="24"/>
          <w:szCs w:val="24"/>
          <w:lang w:val="el-GR"/>
        </w:rPr>
        <w:t>» αποτυπώνει το ποσοστό των ατόμων που διαβιούν σε νοικοκυριά με εξαιρετικό χαμηλό επίπεδο συμμετοχής στην απασχόληση. Ειδικότερα, ο δείκτης αναφέρεται στο ποσοστό του πληθυσμού ηλικίας 0-59 που διαβιεί σε νοικοκυριά των οποίων τα μέλη εργάστηκαν συνολικά λιγότερο από το 20% της συνήθους απασχόλησης κατά τη διάρκεια του προηγούμενου έτους.</w:t>
      </w:r>
    </w:p>
    <w:p w14:paraId="545F33D5" w14:textId="77777777" w:rsidR="00CD0EA9" w:rsidRPr="00C40C4B" w:rsidRDefault="00CD0EA9" w:rsidP="006C774A">
      <w:pPr>
        <w:jc w:val="both"/>
        <w:rPr>
          <w:sz w:val="24"/>
          <w:szCs w:val="24"/>
          <w:lang w:val="el-GR"/>
        </w:rPr>
      </w:pPr>
      <w:r w:rsidRPr="00C40C4B">
        <w:rPr>
          <w:sz w:val="24"/>
          <w:szCs w:val="24"/>
          <w:lang w:val="el-GR"/>
        </w:rPr>
        <w:t xml:space="preserve">Η ανάλυση του δείκτη  στον πληθυσμό των ατόμων με αναπηρία καθιστά εμφανές ότι ο τομέας της απασχόλησης αποτελεί το κατεξοχήν πεδίο ύπαρξης εμποδίων και αναπαραγωγής διακρίσεων εις βάρος του πληθυσμού των ατόμων με αναπηρία και των οικογενειών τους. </w:t>
      </w:r>
    </w:p>
    <w:p w14:paraId="63544E64" w14:textId="77777777" w:rsidR="003A006D" w:rsidRPr="00C40C4B" w:rsidRDefault="001B38E7" w:rsidP="001B38E7">
      <w:pPr>
        <w:jc w:val="both"/>
        <w:rPr>
          <w:sz w:val="24"/>
          <w:szCs w:val="24"/>
          <w:lang w:val="el-GR"/>
        </w:rPr>
      </w:pPr>
      <w:r w:rsidRPr="00C40C4B">
        <w:rPr>
          <w:b/>
          <w:sz w:val="24"/>
          <w:szCs w:val="24"/>
          <w:lang w:val="el-GR"/>
        </w:rPr>
        <w:t>Το 2019 σχεδόν οι  5 στους 10 με σοβαρή αναπηρία διαβιούν σε νοικοκυριά των οποίων τα μέλη υποαπασχολούνται</w:t>
      </w:r>
      <w:r w:rsidR="002B59B0" w:rsidRPr="00C40C4B">
        <w:rPr>
          <w:b/>
          <w:sz w:val="24"/>
          <w:szCs w:val="24"/>
          <w:lang w:val="el-GR"/>
        </w:rPr>
        <w:t xml:space="preserve">  ή και βρίσκονται σε καθεστώς ανεργίας</w:t>
      </w:r>
      <w:r w:rsidR="002B59B0" w:rsidRPr="00C40C4B">
        <w:rPr>
          <w:sz w:val="24"/>
          <w:szCs w:val="24"/>
          <w:lang w:val="el-GR"/>
        </w:rPr>
        <w:t>. Μάλιστα από το έτος 2016 και έπειτα διαπιστώνεται αύξηση των ποσοστών ατόμων με αναπηρία που διαβιούν σε νοικοκυριά με χαμηλή ένταση εργασίας όταν στον πληθυσμό χωρίς αναπηρ</w:t>
      </w:r>
      <w:r w:rsidR="00A549D0" w:rsidRPr="00C40C4B">
        <w:rPr>
          <w:sz w:val="24"/>
          <w:szCs w:val="24"/>
          <w:lang w:val="el-GR"/>
        </w:rPr>
        <w:t>ία</w:t>
      </w:r>
      <w:r w:rsidR="002B59B0" w:rsidRPr="00C40C4B">
        <w:rPr>
          <w:sz w:val="24"/>
          <w:szCs w:val="24"/>
          <w:lang w:val="el-GR"/>
        </w:rPr>
        <w:t xml:space="preserve"> σημειώνεται σταθερή κάμψη του εν λόγω δείκτη. </w:t>
      </w:r>
    </w:p>
    <w:p w14:paraId="34502E44" w14:textId="6EE65C03" w:rsidR="006634A5" w:rsidRPr="00DD35FE" w:rsidRDefault="006634A5" w:rsidP="006634A5">
      <w:pPr>
        <w:pStyle w:val="10"/>
        <w:ind w:left="284" w:right="651"/>
        <w:rPr>
          <w:b/>
          <w:sz w:val="24"/>
          <w:szCs w:val="24"/>
          <w:lang w:val="el-GR"/>
        </w:rPr>
      </w:pPr>
      <w:bookmarkStart w:id="14" w:name="_Toc59179450"/>
      <w:r w:rsidRPr="006634A5">
        <w:rPr>
          <w:b/>
          <w:sz w:val="24"/>
          <w:szCs w:val="24"/>
          <w:lang w:val="el-GR"/>
        </w:rPr>
        <w:t xml:space="preserve">Γράφημα </w:t>
      </w:r>
      <w:r w:rsidR="0084626E" w:rsidRPr="006634A5">
        <w:rPr>
          <w:b/>
          <w:sz w:val="24"/>
          <w:szCs w:val="24"/>
          <w:lang w:val="el-GR"/>
        </w:rPr>
        <w:fldChar w:fldCharType="begin"/>
      </w:r>
      <w:r w:rsidRPr="006634A5">
        <w:rPr>
          <w:b/>
          <w:sz w:val="24"/>
          <w:szCs w:val="24"/>
          <w:lang w:val="el-GR"/>
        </w:rPr>
        <w:instrText xml:space="preserve"> SEQ Γράφημα \* ARABIC </w:instrText>
      </w:r>
      <w:r w:rsidR="0084626E" w:rsidRPr="006634A5">
        <w:rPr>
          <w:b/>
          <w:sz w:val="24"/>
          <w:szCs w:val="24"/>
          <w:lang w:val="el-GR"/>
        </w:rPr>
        <w:fldChar w:fldCharType="separate"/>
      </w:r>
      <w:r w:rsidR="00DA4DF6">
        <w:rPr>
          <w:b/>
          <w:noProof/>
          <w:sz w:val="24"/>
          <w:szCs w:val="24"/>
          <w:lang w:val="el-GR"/>
        </w:rPr>
        <w:t>10</w:t>
      </w:r>
      <w:r w:rsidR="0084626E" w:rsidRPr="006634A5">
        <w:rPr>
          <w:b/>
          <w:sz w:val="24"/>
          <w:szCs w:val="24"/>
          <w:lang w:val="el-GR"/>
        </w:rPr>
        <w:fldChar w:fldCharType="end"/>
      </w:r>
      <w:r w:rsidRPr="006634A5">
        <w:rPr>
          <w:b/>
          <w:sz w:val="24"/>
          <w:szCs w:val="24"/>
          <w:lang w:val="el-GR"/>
        </w:rPr>
        <w:t xml:space="preserve">:  </w:t>
      </w:r>
      <w:r w:rsidRPr="00DD35FE">
        <w:rPr>
          <w:b/>
          <w:sz w:val="24"/>
          <w:szCs w:val="24"/>
          <w:lang w:val="el-GR"/>
        </w:rPr>
        <w:t>Διαχρονική ε</w:t>
      </w:r>
      <w:r>
        <w:rPr>
          <w:b/>
          <w:sz w:val="24"/>
          <w:szCs w:val="24"/>
          <w:lang w:val="el-GR"/>
        </w:rPr>
        <w:t>ξέλιξη ποσοστού πληθυσμού (16-59</w:t>
      </w:r>
      <w:r w:rsidRPr="00DD35FE">
        <w:rPr>
          <w:b/>
          <w:sz w:val="24"/>
          <w:szCs w:val="24"/>
          <w:lang w:val="el-GR"/>
        </w:rPr>
        <w:t xml:space="preserve"> ετών) </w:t>
      </w:r>
      <w:r>
        <w:rPr>
          <w:b/>
          <w:sz w:val="24"/>
          <w:szCs w:val="24"/>
          <w:lang w:val="el-GR"/>
        </w:rPr>
        <w:t xml:space="preserve">που διαβιεί </w:t>
      </w:r>
      <w:r w:rsidRPr="00DD35FE">
        <w:rPr>
          <w:b/>
          <w:sz w:val="24"/>
          <w:szCs w:val="24"/>
          <w:lang w:val="el-GR"/>
        </w:rPr>
        <w:t xml:space="preserve">σε </w:t>
      </w:r>
      <w:r w:rsidR="00301FD6">
        <w:rPr>
          <w:b/>
          <w:sz w:val="24"/>
          <w:szCs w:val="24"/>
          <w:lang w:val="el-GR"/>
        </w:rPr>
        <w:t>νοικοκυριά με χαμηλή ένταση</w:t>
      </w:r>
      <w:r>
        <w:rPr>
          <w:b/>
          <w:sz w:val="24"/>
          <w:szCs w:val="24"/>
          <w:lang w:val="el-GR"/>
        </w:rPr>
        <w:t xml:space="preserve"> εργασία</w:t>
      </w:r>
      <w:r w:rsidR="00301FD6">
        <w:rPr>
          <w:b/>
          <w:sz w:val="24"/>
          <w:szCs w:val="24"/>
          <w:lang w:val="el-GR"/>
        </w:rPr>
        <w:t>ς</w:t>
      </w:r>
      <w:bookmarkEnd w:id="14"/>
      <w:r>
        <w:rPr>
          <w:b/>
          <w:sz w:val="24"/>
          <w:szCs w:val="24"/>
          <w:lang w:val="el-GR"/>
        </w:rPr>
        <w:t xml:space="preserve"> </w:t>
      </w:r>
      <w:r w:rsidRPr="00DD35FE">
        <w:rPr>
          <w:b/>
          <w:sz w:val="24"/>
          <w:szCs w:val="24"/>
          <w:lang w:val="el-GR"/>
        </w:rPr>
        <w:t xml:space="preserve"> </w:t>
      </w:r>
    </w:p>
    <w:p w14:paraId="030BBBAD" w14:textId="77777777" w:rsidR="00104126" w:rsidRDefault="00CD0EA9" w:rsidP="00104126">
      <w:pPr>
        <w:keepNext/>
        <w:ind w:left="284"/>
      </w:pPr>
      <w:r w:rsidRPr="00CD0EA9">
        <w:rPr>
          <w:noProof/>
          <w:lang w:val="el-GR" w:eastAsia="el-GR"/>
        </w:rPr>
        <w:drawing>
          <wp:inline distT="0" distB="0" distL="0" distR="0" wp14:anchorId="71FE21E1" wp14:editId="041918DF">
            <wp:extent cx="5042347" cy="2955702"/>
            <wp:effectExtent l="0" t="0" r="6350" b="0"/>
            <wp:docPr id="17" name="Γράφημα 7" descr="2010: σοβαρή αναπηρία 30,7, μέτρια αναπηρία 22,7 και χωρίς αναπηρία 7,4.&#10;2011: σοβαρή αναπηρία 46,1, μέτρια αναπηρία 22,6 και χωρίς αναπηρία 11,6.&#10;2012: σοβαρή αναπηρία 41,7, μέτρια αναπηρία 31,6 και χωρίς αναπηρία 13,8.&#10;2013: σοβαρή αναπηρία 42,9, μέτρια αναπηρία 37,8 και χωρίς αναπηρία 16,9.&#10;2014: σοβαρή αναπηρία 42,9, μέτρια αναπηρία 32,1 και χωρίς αναπηρία 17. &#10;2015: σοβαρή αναπηρία 34,8, μέτρια αναπηρία 27 και χωρίς αναπηρία 17.&#10;2016: σοβαρή αναπηρία 42,6, μέτρια αναπηρία 27,9 και χωρίς αναπηρία 17. &#10;2017: σοβαρή αναπηρία 41,4, μέτρια αναπηρία 26,3 και χωρίς αναπηρία 15,4. &#10;2018: σοβαρή αναπηρία 42,9, μέτρια αναπηρία 29,3 και χωρίς αναπηρία 14,3. &#10;2019: σοβαρή αναπηρία 48,3, μέτρια αναπηρία 32,8 και χωρίς αναπηρία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2B8E92" w14:textId="77777777" w:rsidR="00104126" w:rsidRPr="006B62F0" w:rsidRDefault="00104126" w:rsidP="00104126">
      <w:pPr>
        <w:pStyle w:val="aa"/>
        <w:ind w:left="426"/>
        <w:jc w:val="both"/>
        <w:rPr>
          <w:rFonts w:ascii="Constantia" w:eastAsia="Georgia" w:hAnsi="Constantia" w:cstheme="majorHAnsi"/>
          <w:bCs/>
          <w:sz w:val="24"/>
          <w:szCs w:val="24"/>
        </w:rPr>
      </w:pPr>
      <w:r w:rsidRPr="006B62F0">
        <w:rPr>
          <w:lang w:val="el-GR"/>
        </w:rPr>
        <w:t>Πηγή</w:t>
      </w:r>
      <w:r w:rsidRPr="006B62F0">
        <w:t xml:space="preserve"> </w:t>
      </w:r>
      <w:r w:rsidRPr="006B62F0">
        <w:rPr>
          <w:lang w:val="el-GR"/>
        </w:rPr>
        <w:t>δεδομένων</w:t>
      </w:r>
      <w:r w:rsidRPr="006B62F0">
        <w:t xml:space="preserve">: </w:t>
      </w:r>
      <w:r>
        <w:t>Eurostat database, EU-SILC (</w:t>
      </w:r>
      <w:r w:rsidRPr="006B62F0">
        <w:t>Statistics on Income and Living Conditions</w:t>
      </w:r>
      <w:r>
        <w:t>)</w:t>
      </w:r>
    </w:p>
    <w:p w14:paraId="4609761F" w14:textId="77777777" w:rsidR="003A006D" w:rsidRPr="00104126" w:rsidRDefault="003A006D" w:rsidP="003A006D"/>
    <w:p w14:paraId="74055036" w14:textId="77777777" w:rsidR="00AA21A6" w:rsidRDefault="00AA21A6" w:rsidP="00AA21A6">
      <w:pPr>
        <w:ind w:right="142"/>
        <w:rPr>
          <w:rFonts w:asciiTheme="majorHAnsi" w:hAnsiTheme="majorHAnsi"/>
          <w:b/>
          <w:lang w:val="el-GR"/>
        </w:rPr>
      </w:pPr>
      <w:r w:rsidRPr="002640C3">
        <w:rPr>
          <w:rFonts w:asciiTheme="majorHAnsi" w:hAnsiTheme="majorHAnsi"/>
          <w:b/>
          <w:lang w:val="el-GR"/>
        </w:rPr>
        <w:lastRenderedPageBreak/>
        <w:t>ΟΡΙΣΜΟΙ</w:t>
      </w:r>
      <w:r w:rsidR="002640C3">
        <w:rPr>
          <w:rStyle w:val="a8"/>
          <w:rFonts w:asciiTheme="majorHAnsi" w:hAnsiTheme="majorHAnsi"/>
          <w:b/>
          <w:lang w:val="el-GR"/>
        </w:rPr>
        <w:footnoteReference w:id="8"/>
      </w:r>
    </w:p>
    <w:p w14:paraId="0AE3165D" w14:textId="6CA5F840" w:rsidR="00381A73" w:rsidRDefault="00381A73" w:rsidP="00381A73">
      <w:pPr>
        <w:tabs>
          <w:tab w:val="left" w:pos="1410"/>
        </w:tabs>
        <w:ind w:right="142"/>
        <w:rPr>
          <w:rFonts w:asciiTheme="majorHAnsi" w:hAnsiTheme="majorHAnsi"/>
          <w:b/>
          <w:lang w:val="el-GR"/>
        </w:rPr>
      </w:pPr>
    </w:p>
    <w:p w14:paraId="44DDB33E" w14:textId="77777777" w:rsidR="00381A73" w:rsidRPr="00381A73" w:rsidRDefault="00381A73" w:rsidP="00F007B6">
      <w:pPr>
        <w:ind w:right="142"/>
        <w:jc w:val="both"/>
        <w:rPr>
          <w:rFonts w:asciiTheme="majorHAnsi" w:hAnsiTheme="majorHAnsi"/>
          <w:b/>
          <w:lang w:val="el-GR"/>
        </w:rPr>
      </w:pPr>
      <w:r w:rsidRPr="002C7C23">
        <w:rPr>
          <w:b/>
          <w:i/>
          <w:lang w:val="el-GR"/>
        </w:rPr>
        <w:t xml:space="preserve">Πληθυσμός σε κίνδυνο φτώχειας ή </w:t>
      </w:r>
      <w:r w:rsidR="002C7C23">
        <w:rPr>
          <w:b/>
          <w:i/>
          <w:lang w:val="el-GR"/>
        </w:rPr>
        <w:t xml:space="preserve">σε </w:t>
      </w:r>
      <w:r w:rsidRPr="002C7C23">
        <w:rPr>
          <w:b/>
          <w:i/>
          <w:lang w:val="el-GR"/>
        </w:rPr>
        <w:t>κοινωνικό αποκλεισμό</w:t>
      </w:r>
      <w:r w:rsidRPr="00381A73">
        <w:rPr>
          <w:lang w:val="el-GR"/>
        </w:rPr>
        <w:t xml:space="preserve">: </w:t>
      </w:r>
      <w:r w:rsidR="0020260D">
        <w:rPr>
          <w:lang w:val="el-GR"/>
        </w:rPr>
        <w:t>ε</w:t>
      </w:r>
      <w:r w:rsidR="002C7C23">
        <w:rPr>
          <w:lang w:val="el-GR"/>
        </w:rPr>
        <w:t xml:space="preserve">ίναι ο </w:t>
      </w:r>
      <w:r w:rsidRPr="00381A73">
        <w:rPr>
          <w:lang w:val="el-GR"/>
        </w:rPr>
        <w:t xml:space="preserve">πληθυσμός </w:t>
      </w:r>
      <w:r w:rsidR="002C7C23">
        <w:rPr>
          <w:lang w:val="el-GR"/>
        </w:rPr>
        <w:t xml:space="preserve">που βρίσκεται </w:t>
      </w:r>
      <w:r w:rsidRPr="00381A73">
        <w:rPr>
          <w:lang w:val="el-GR"/>
        </w:rPr>
        <w:t xml:space="preserve">σε κίνδυνο φτώχειας ή </w:t>
      </w:r>
      <w:r w:rsidR="002C7C23">
        <w:rPr>
          <w:lang w:val="el-GR"/>
        </w:rPr>
        <w:t xml:space="preserve">διαβιεί σε νοικοκυριά </w:t>
      </w:r>
      <w:r w:rsidRPr="00381A73">
        <w:rPr>
          <w:lang w:val="el-GR"/>
        </w:rPr>
        <w:t>με υλικές στερήσεις (δηλαδή πληθυσμός που στερείται τουλάχιστον 4 από έναν κατάλογο 9 αγαθών και υπηρεσιών) ή διαβιεί σε νοικοκυριά με χαμηλή ένταση εργασίας (περισσότερες πληροφορίες στις επεξηγηματικές σημειώσεις).</w:t>
      </w:r>
    </w:p>
    <w:p w14:paraId="083239FA" w14:textId="77777777" w:rsidR="00D50F21" w:rsidRPr="00B55C58" w:rsidRDefault="00F007B6" w:rsidP="003A006D">
      <w:pPr>
        <w:ind w:right="142"/>
        <w:jc w:val="both"/>
        <w:rPr>
          <w:rFonts w:asciiTheme="majorHAnsi" w:eastAsia="Times New Roman" w:hAnsiTheme="majorHAnsi" w:cs="Arial"/>
          <w:i/>
          <w:lang w:val="el-GR" w:eastAsia="el-GR"/>
        </w:rPr>
      </w:pPr>
      <w:r>
        <w:rPr>
          <w:b/>
          <w:i/>
          <w:lang w:val="el-GR"/>
        </w:rPr>
        <w:t>Γ</w:t>
      </w:r>
      <w:r w:rsidR="00B55C58" w:rsidRPr="00B55C58">
        <w:rPr>
          <w:b/>
          <w:i/>
          <w:lang w:val="el-GR"/>
        </w:rPr>
        <w:t>ραμμή φτώχειας (το κατώφλι της φτώχειας)</w:t>
      </w:r>
      <w:r>
        <w:rPr>
          <w:b/>
          <w:i/>
          <w:lang w:val="el-GR"/>
        </w:rPr>
        <w:t xml:space="preserve">: </w:t>
      </w:r>
      <w:r w:rsidR="0020260D">
        <w:rPr>
          <w:lang w:val="el-GR"/>
        </w:rPr>
        <w:t>η</w:t>
      </w:r>
      <w:r w:rsidRPr="00F007B6">
        <w:rPr>
          <w:lang w:val="el-GR"/>
        </w:rPr>
        <w:t xml:space="preserve"> γραμμή της</w:t>
      </w:r>
      <w:r>
        <w:rPr>
          <w:lang w:val="el-GR"/>
        </w:rPr>
        <w:t xml:space="preserve"> </w:t>
      </w:r>
      <w:r w:rsidRPr="00F007B6">
        <w:rPr>
          <w:lang w:val="el-GR"/>
        </w:rPr>
        <w:t>φτώχειας</w:t>
      </w:r>
      <w:r w:rsidR="00B55C58" w:rsidRPr="00B55C58">
        <w:rPr>
          <w:lang w:val="el-GR"/>
        </w:rPr>
        <w:t xml:space="preserve"> </w:t>
      </w:r>
      <w:r>
        <w:rPr>
          <w:lang w:val="el-GR"/>
        </w:rPr>
        <w:t xml:space="preserve">(πρόκειται για τη σχετική φτώχεια: </w:t>
      </w:r>
      <w:r w:rsidR="00B55C58" w:rsidRPr="00B55C58">
        <w:rPr>
          <w:lang w:val="el-GR"/>
        </w:rPr>
        <w:t xml:space="preserve">φτωχός σε </w:t>
      </w:r>
      <w:r w:rsidR="0020260D">
        <w:rPr>
          <w:lang w:val="el-GR"/>
        </w:rPr>
        <w:t>σύγκριση</w:t>
      </w:r>
      <w:r w:rsidR="00B55C58" w:rsidRPr="00B55C58">
        <w:rPr>
          <w:lang w:val="el-GR"/>
        </w:rPr>
        <w:t xml:space="preserve"> με τους άλλους) ορίζεται στο 60% του διάμεσου ισοδύναμου συνολικού διαθέσιμου εισοδήματος του νοικοκυριού, με βάση την τροποποιημένη κλίμακα ισοδυναμίας του ΟΟΣΑ, διαφοροποιούμενη από την έννοια του κινδύνου της απόλυτης φτώχειας (ο φτωχός που στερείται βασικών μέσων επιβίωσης). Για τον υπολογισμό του συνολικού ισοδύναμου διαθέσιμου εισοδήματος του νοικοκυριού λαμβάνεται υπόψη το συνολικό καθαρό εισόδημα, δηλαδή το εισόδημα που προκύπτει μετά την αφαίρεση των φόρων και των εισφορών για κοινωνική ασφάλιση, που λαμβάνεται από όλα τα μέλη του νοικοκυριού.</w:t>
      </w:r>
    </w:p>
    <w:p w14:paraId="09E6E73E" w14:textId="77777777" w:rsidR="00D50F21" w:rsidRDefault="00F007B6" w:rsidP="003A006D">
      <w:pPr>
        <w:ind w:right="142"/>
        <w:jc w:val="both"/>
        <w:rPr>
          <w:lang w:val="el-GR"/>
        </w:rPr>
      </w:pPr>
      <w:r>
        <w:rPr>
          <w:b/>
          <w:i/>
          <w:lang w:val="el-GR"/>
        </w:rPr>
        <w:t>Ι</w:t>
      </w:r>
      <w:r w:rsidR="00D50F21" w:rsidRPr="00D50F21">
        <w:rPr>
          <w:b/>
          <w:i/>
          <w:lang w:val="el-GR"/>
        </w:rPr>
        <w:t>σοδύναμο διαθέσιμο ατομικό εισόδημα</w:t>
      </w:r>
      <w:r>
        <w:rPr>
          <w:b/>
          <w:i/>
          <w:lang w:val="el-GR"/>
        </w:rPr>
        <w:t>:</w:t>
      </w:r>
      <w:r w:rsidR="00D50F21" w:rsidRPr="00D50F21">
        <w:rPr>
          <w:lang w:val="el-GR"/>
        </w:rPr>
        <w:t xml:space="preserve"> ορίζεται το συνολικό διαθέσιμο εισόδημα του νοικοκυριού μετά τη διαίρεσή του με το ισοδύναμο μέγεθος του νοικοκυριού. Το ισοδύναμο μέγεθος του νοικοκυριού υπολογίζεται σύμφωνα με την τροποποιημένη κλίμακα του ΟΟΣΑ. Επισημαίνεται ότι στην κατανομή κατά άτομο θεωρείται, με βάση τον παραπάνω ορισμό, ότι το κάθε μέλος του νοικοκυριού κατέχει το ίδιο εισόδημα που αντιστοιχεί στο ισοδύναμο διαθέσιμο εισόδημα. Αυτό σημαίνει ότι το κάθε μέλος του νοικοκυριού απολαμβάνει το ίδιο επίπεδο διαβίωσης. Συνεπώς, στην κατά άτομο κατανομή, το εισόδημα που αποδίδεται σε κάθε άτομο δεν αντιπροσωπεύει χρηματική απολαβή, αλλά έναν δείκτη επιπέδου διαβίωσης. Το συνολικό διαθέσιμο εισόδημα ενός νοικοκυριού υπολογίζεται ως το άθροισμα των εισοδημάτων των μελών των νοικοκυριών (εισόδημα από μισθωτές υπηρεσίες, από αυτοαπασχόληση, συντάξεις, επιδόματα ανεργίας, εισόδημα από ακίνητη περιουσία, οικογενειακά επιδόματα, τακτικές χρηματικές </w:t>
      </w:r>
      <w:r w:rsidR="00D50F21" w:rsidRPr="00F4074C">
        <w:rPr>
          <w:lang w:val="el-GR"/>
        </w:rPr>
        <w:t>μεταβιβάσεις κ</w:t>
      </w:r>
      <w:r w:rsidR="00F15BC3" w:rsidRPr="00F4074C">
        <w:rPr>
          <w:lang w:val="el-GR"/>
        </w:rPr>
        <w:t>.</w:t>
      </w:r>
      <w:r w:rsidR="00D50F21" w:rsidRPr="00F4074C">
        <w:rPr>
          <w:lang w:val="el-GR"/>
        </w:rPr>
        <w:t xml:space="preserve">λπ.), </w:t>
      </w:r>
      <w:r w:rsidR="00D50F21" w:rsidRPr="00D50F21">
        <w:rPr>
          <w:lang w:val="el-GR"/>
        </w:rPr>
        <w:t>δηλαδή του συνόλου των καθαρών αποδοχών από όλες τις πηγές εισοδήματος μετά την αφαίρεση των τυχόν παροχών προς άλλα νοικοκυριά. Στο ποσό αυτό πρέπει να προστεθεί και ο φόρος που, ενδεχομένως, επιστράφηκε και αφορούσε στην εκκαθάριση των εισοδημάτων του προηγούμενου έτους.</w:t>
      </w:r>
    </w:p>
    <w:p w14:paraId="7A41EA92" w14:textId="77777777" w:rsidR="00F007B6" w:rsidRDefault="00F007B6" w:rsidP="00F007B6">
      <w:pPr>
        <w:ind w:right="142"/>
        <w:jc w:val="both"/>
        <w:rPr>
          <w:lang w:val="el-GR"/>
        </w:rPr>
      </w:pPr>
      <w:r w:rsidRPr="00F007B6">
        <w:rPr>
          <w:b/>
          <w:i/>
          <w:lang w:val="el-GR"/>
        </w:rPr>
        <w:t>Κοινωνικές μεταβιβάσεις</w:t>
      </w:r>
      <w:r>
        <w:rPr>
          <w:b/>
          <w:i/>
          <w:lang w:val="el-GR"/>
        </w:rPr>
        <w:t>:</w:t>
      </w:r>
      <w:r w:rsidRPr="002144EA">
        <w:rPr>
          <w:lang w:val="el-GR"/>
        </w:rPr>
        <w:t xml:space="preserve"> θεωρούνται τα κοινωνικά επιδόματα, δηλαδή η κοινωνική βοήθεια (Κοινωνικό Μέρισμα, Κοινωνικό Εισόδημα Αλληλεγγύης, ΕΚΑΣ, εισοδηματικές ενισχύσεις σε νοικοκυριά μόνιμων κατοίκων ορεινών και μειονεκτικών περιοχών, επίδομα μακροχρόνια ανέργων ηλικίας 20-66 </w:t>
      </w:r>
      <w:r w:rsidRPr="00F4074C">
        <w:rPr>
          <w:lang w:val="el-GR"/>
        </w:rPr>
        <w:t>ετών κ</w:t>
      </w:r>
      <w:r w:rsidR="00F15BC3" w:rsidRPr="00F4074C">
        <w:rPr>
          <w:lang w:val="el-GR"/>
        </w:rPr>
        <w:t>.</w:t>
      </w:r>
      <w:r w:rsidRPr="00F4074C">
        <w:rPr>
          <w:lang w:val="el-GR"/>
        </w:rPr>
        <w:t xml:space="preserve">λπ.), </w:t>
      </w:r>
      <w:r w:rsidRPr="002144EA">
        <w:rPr>
          <w:lang w:val="el-GR"/>
        </w:rPr>
        <w:t>τα οικογενειακά επιδόματα, τα επιδόματα/βοηθήματα ανεργίας, τα επιδόματα/βοηθήματα ασθένειας, τα επιδόματα/βοηθήματα αναπηρίας - ανικανότητας και οι εκπαιδευτικές παροχές και οι συντάξεις (δηλαδή συντάξεις γήρατος από εργασία και συντάξεις/βοηθήματα από τον/ τη σύζυγο).</w:t>
      </w:r>
    </w:p>
    <w:p w14:paraId="4DD0D3F5" w14:textId="77777777" w:rsidR="000514F1" w:rsidRDefault="000514F1" w:rsidP="003A006D">
      <w:pPr>
        <w:ind w:right="142"/>
        <w:jc w:val="both"/>
        <w:rPr>
          <w:lang w:val="el-GR"/>
        </w:rPr>
      </w:pPr>
      <w:r w:rsidRPr="00F007B6">
        <w:rPr>
          <w:b/>
          <w:i/>
          <w:lang w:val="el-GR"/>
        </w:rPr>
        <w:lastRenderedPageBreak/>
        <w:t>Κίνδυνος φτώχειας μετά τις κοινωνικές μεταβιβάσεις</w:t>
      </w:r>
      <w:r w:rsidR="00F007B6" w:rsidRPr="00F007B6">
        <w:rPr>
          <w:b/>
          <w:i/>
          <w:lang w:val="el-GR"/>
        </w:rPr>
        <w:t>:</w:t>
      </w:r>
      <w:r w:rsidR="00F007B6" w:rsidRPr="00F007B6">
        <w:rPr>
          <w:lang w:val="el-GR"/>
        </w:rPr>
        <w:t xml:space="preserve"> </w:t>
      </w:r>
      <w:r w:rsidRPr="000514F1">
        <w:rPr>
          <w:lang w:val="el-GR"/>
        </w:rPr>
        <w:t xml:space="preserve"> Ως κίνδυνος φτώχειας μετά τις κοινωνικές μεταβιβάσεις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w:t>
      </w:r>
      <w:r w:rsidR="00F007B6">
        <w:rPr>
          <w:lang w:val="el-GR"/>
        </w:rPr>
        <w:t>.</w:t>
      </w:r>
    </w:p>
    <w:p w14:paraId="5F602DA7" w14:textId="07F46C22" w:rsidR="00F007B6" w:rsidRDefault="002144EA" w:rsidP="003A006D">
      <w:pPr>
        <w:ind w:right="142"/>
        <w:jc w:val="both"/>
        <w:rPr>
          <w:lang w:val="el-GR"/>
        </w:rPr>
      </w:pPr>
      <w:r w:rsidRPr="00F007B6">
        <w:rPr>
          <w:b/>
          <w:i/>
          <w:lang w:val="el-GR"/>
        </w:rPr>
        <w:t>Κίνδυνος φτώχειας πριν τις κοινωνικές μεταβιβάσεις</w:t>
      </w:r>
      <w:r w:rsidR="00F007B6">
        <w:rPr>
          <w:b/>
          <w:i/>
          <w:lang w:val="el-GR"/>
        </w:rPr>
        <w:t>:</w:t>
      </w:r>
      <w:r w:rsidRPr="002144EA">
        <w:rPr>
          <w:lang w:val="el-GR"/>
        </w:rPr>
        <w:t xml:space="preserve"> Ως κίνδυνος φτώχειας π</w:t>
      </w:r>
      <w:r w:rsidR="00F007B6">
        <w:rPr>
          <w:lang w:val="el-GR"/>
        </w:rPr>
        <w:t xml:space="preserve">ριν τις κοινωνικές μεταβιβάσεις, </w:t>
      </w:r>
      <w:r w:rsidRPr="002144EA">
        <w:rPr>
          <w:lang w:val="el-GR"/>
        </w:rPr>
        <w:t xml:space="preserve">ορίζεται το ποσοστό των ατόμων που διαβιούν σε νοικοκυριά των οποίων το συνολικό ισοδύναμο διαθέσιμο εισόδημα </w:t>
      </w:r>
      <w:r w:rsidR="00F007B6" w:rsidRPr="002144EA">
        <w:rPr>
          <w:lang w:val="el-GR"/>
        </w:rPr>
        <w:t>(</w:t>
      </w:r>
      <w:r w:rsidR="00F007B6">
        <w:rPr>
          <w:lang w:val="el-GR"/>
        </w:rPr>
        <w:t>αφαιρώντας από αυτό τις κοινωνικές μεταβιβάσεις</w:t>
      </w:r>
      <w:r w:rsidR="00F007B6" w:rsidRPr="002144EA">
        <w:rPr>
          <w:lang w:val="el-GR"/>
        </w:rPr>
        <w:t xml:space="preserve">) </w:t>
      </w:r>
      <w:r w:rsidRPr="002144EA">
        <w:rPr>
          <w:lang w:val="el-GR"/>
        </w:rPr>
        <w:t>είναι μικρότερο του 60% του εθνικού διάμεσου ισοδύναμου διαθέσιμου εισοδήματος.</w:t>
      </w:r>
    </w:p>
    <w:p w14:paraId="07C43CBC" w14:textId="427DBC1A" w:rsidR="00F007B6" w:rsidRDefault="00381A73" w:rsidP="00381A73">
      <w:pPr>
        <w:ind w:right="142"/>
        <w:jc w:val="both"/>
        <w:rPr>
          <w:lang w:val="el-GR"/>
        </w:rPr>
      </w:pPr>
      <w:r w:rsidRPr="00F007B6">
        <w:rPr>
          <w:b/>
          <w:i/>
          <w:lang w:val="el-GR"/>
        </w:rPr>
        <w:t>Ποσοστό ατόμων με υλικές στερήσεις</w:t>
      </w:r>
      <w:r w:rsidR="00F007B6" w:rsidRPr="00F007B6">
        <w:rPr>
          <w:b/>
          <w:i/>
          <w:lang w:val="el-GR"/>
        </w:rPr>
        <w:t>:</w:t>
      </w:r>
      <w:r w:rsidR="00F007B6">
        <w:rPr>
          <w:b/>
          <w:lang w:val="el-GR"/>
        </w:rPr>
        <w:t xml:space="preserve"> </w:t>
      </w:r>
      <w:r w:rsidRPr="00381A73">
        <w:rPr>
          <w:lang w:val="el-GR"/>
        </w:rPr>
        <w:t xml:space="preserve"> Ο δείκτης «ποσοστό ατόμων με υλικές στερήσεις» εκτιμά τα επίπεδα διαβίωσης μετρώντας το ποσοστό του πληθυσμού που στερείται τουλάχιστον 4 από ένα κατάλογο 9 αγαθών και υπηρεσιών. - Δυσκολίες ανταπόκρισης στην πληρωμή πάγιων λογαριασμών όπως ενοίκιο ή δόση δανείου της κύριας κατοικίας, λογαριασμοί ηλεκτρικού ρεύματος, νερού, αερίου </w:t>
      </w:r>
      <w:r w:rsidRPr="00F4074C">
        <w:rPr>
          <w:lang w:val="el-GR"/>
        </w:rPr>
        <w:t>κ</w:t>
      </w:r>
      <w:r w:rsidR="00F15BC3" w:rsidRPr="00F4074C">
        <w:rPr>
          <w:lang w:val="el-GR"/>
        </w:rPr>
        <w:t>.</w:t>
      </w:r>
      <w:r w:rsidRPr="00F4074C">
        <w:rPr>
          <w:lang w:val="el-GR"/>
        </w:rPr>
        <w:t xml:space="preserve">λπ., δόσεις </w:t>
      </w:r>
      <w:r w:rsidRPr="00381A73">
        <w:rPr>
          <w:lang w:val="el-GR"/>
        </w:rPr>
        <w:t>πιστωτικών καρτών ή δόσεις δανείου για οικοσκευή, διακοπές κ.ά., ή αγορές με δόσεις - Οικονομική αδυναμία για πληρωμή μιας εβδομάδας διακοπών - Οικονομική αδυναμία για διατροφή που να περιλαμβάνει κάθε δεύτερη ημέρα κοτόπουλο, κρέας, ψάρι ή λαχανικά ίσης θρεπτικής αξίας - Οικονομική αδυναμία για αντιμετώπιση έκτακτων, αλλά αναγκαίων δαπανών αξίας περίπου 380 ευρώ - Οικονομική αδυναμία να διαθέτουν τηλέφωνο (περιλαμβάνεται και το κινητό τηλέφωνο) - Οικονομική αδυναμία να διαθέτουν έγχρωμη τηλεόραση - Οικονομική αδυναμία να διαθέτουν πλυντήριο ρούχων - Οικονομική αδυναμία να διαθέτουν ΙΧ επιβατηγό αυτοκίνητο και - Οικονομική αδυναμία για ικανοποιητική θέρμανση το χειμώνα και δροσιά το καλοκαίρι</w:t>
      </w:r>
      <w:r w:rsidR="00F4074C">
        <w:rPr>
          <w:lang w:val="el-GR"/>
        </w:rPr>
        <w:t>.</w:t>
      </w:r>
    </w:p>
    <w:p w14:paraId="0E5A9C57" w14:textId="77777777" w:rsidR="00381A73" w:rsidRPr="00381A73" w:rsidRDefault="00381A73" w:rsidP="00381A73">
      <w:pPr>
        <w:ind w:right="142"/>
        <w:jc w:val="both"/>
        <w:rPr>
          <w:rFonts w:asciiTheme="majorHAnsi" w:eastAsia="Times New Roman" w:hAnsiTheme="majorHAnsi" w:cs="Arial"/>
          <w:i/>
          <w:lang w:val="el-GR" w:eastAsia="el-GR"/>
        </w:rPr>
      </w:pPr>
      <w:r w:rsidRPr="00F007B6">
        <w:rPr>
          <w:b/>
          <w:i/>
          <w:lang w:val="el-GR"/>
        </w:rPr>
        <w:t>Ποσοστό πληθυσμού που διαβιεί σε νοικοκυρ</w:t>
      </w:r>
      <w:r w:rsidR="00F007B6" w:rsidRPr="00F007B6">
        <w:rPr>
          <w:b/>
          <w:i/>
          <w:lang w:val="el-GR"/>
        </w:rPr>
        <w:t>ιά με χαμηλή ένταση εργασίας:</w:t>
      </w:r>
      <w:r w:rsidR="00F007B6">
        <w:rPr>
          <w:lang w:val="el-GR"/>
        </w:rPr>
        <w:t xml:space="preserve"> Ο </w:t>
      </w:r>
      <w:r w:rsidRPr="00381A73">
        <w:rPr>
          <w:lang w:val="el-GR"/>
        </w:rPr>
        <w:t>δείκτης αναφέρεται στο ποσοστό πληθυσμού ηλικίας 0-59 που διαβιούν σε νοικοκυριά που τα μέλη τους εργάστηκαν λιγότερο από 20% της συνήθους απασχόλησης κατά τη διάρκεια του προηγούμενου έτους. Η ένταση εργασίας του νοικοκυριού ορίζεται ως ο λόγος μεταξύ του αριθμού των μηνών που όλα τα μέλη εργάζονται κατά το προηγούμενο έτος και του συνολικού αριθμού των μηνών που θα μπορούσαν θεωρητικά να έχουν εργαστεί κατά την ίδια περίοδο. Οικονομικά ενεργά μέλη θεωρούνται τα μέλη του νοικοκυριού ηλικίας 18-59 ετών. Τα νοικοκυριά που αποτελούνται μόνο από μαθητές ή σπουδαστές κ.λπ. κάτω των 25 ετών ή και άτομα ηλικίας 60 ετών και άνω εξαιρούνται από τον υπολογισμό του δείκτη.</w:t>
      </w:r>
    </w:p>
    <w:sectPr w:rsidR="00381A73" w:rsidRPr="00381A73" w:rsidSect="001B2554">
      <w:headerReference w:type="default" r:id="rId20"/>
      <w:footerReference w:type="default" r:id="rId21"/>
      <w:headerReference w:type="first" r:id="rId22"/>
      <w:footerReference w:type="first" r:id="rId23"/>
      <w:pgSz w:w="11906" w:h="16838" w:code="9"/>
      <w:pgMar w:top="2977" w:right="1559"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82DA6" w14:textId="77777777" w:rsidR="000326C8" w:rsidRDefault="000326C8" w:rsidP="00B14FB2">
      <w:pPr>
        <w:spacing w:after="0" w:line="240" w:lineRule="auto"/>
      </w:pPr>
      <w:r>
        <w:separator/>
      </w:r>
    </w:p>
  </w:endnote>
  <w:endnote w:type="continuationSeparator" w:id="0">
    <w:p w14:paraId="653CA895" w14:textId="77777777" w:rsidR="000326C8" w:rsidRDefault="000326C8"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altName w:val="﷽﷽﷽﷽﷽﷽﷽﷽Ϣ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DBEC" w14:textId="77777777" w:rsidR="00757025" w:rsidRPr="006C7DBD" w:rsidRDefault="00757025" w:rsidP="00C975F8">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0084626E" w:rsidRPr="006C7DBD">
      <w:rPr>
        <w:rFonts w:eastAsiaTheme="minorEastAsia"/>
        <w:sz w:val="20"/>
        <w:szCs w:val="20"/>
        <w:lang w:val="el-GR"/>
      </w:rPr>
      <w:fldChar w:fldCharType="begin"/>
    </w:r>
    <w:r w:rsidRPr="006C7DBD">
      <w:rPr>
        <w:sz w:val="20"/>
        <w:szCs w:val="20"/>
        <w:lang w:val="el-GR"/>
      </w:rPr>
      <w:instrText>PAGE    \* MERGEFORMAT</w:instrText>
    </w:r>
    <w:r w:rsidR="0084626E" w:rsidRPr="006C7DBD">
      <w:rPr>
        <w:rFonts w:eastAsiaTheme="minorEastAsia"/>
        <w:sz w:val="20"/>
        <w:szCs w:val="20"/>
        <w:lang w:val="el-GR"/>
      </w:rPr>
      <w:fldChar w:fldCharType="separate"/>
    </w:r>
    <w:r w:rsidR="00343769" w:rsidRPr="00343769">
      <w:rPr>
        <w:rFonts w:eastAsiaTheme="minorEastAsia"/>
        <w:noProof/>
        <w:sz w:val="20"/>
        <w:szCs w:val="20"/>
        <w:lang w:val="el-GR"/>
      </w:rPr>
      <w:t>23</w:t>
    </w:r>
    <w:r w:rsidR="0084626E" w:rsidRPr="006C7DBD">
      <w:rPr>
        <w:rFonts w:asciiTheme="majorHAnsi" w:eastAsiaTheme="majorEastAsia" w:hAnsiTheme="majorHAnsi" w:cstheme="majorBidi"/>
        <w:sz w:val="20"/>
        <w:szCs w:val="20"/>
        <w:lang w:val="el-GR"/>
      </w:rPr>
      <w:fldChar w:fldCharType="end"/>
    </w:r>
  </w:p>
  <w:p w14:paraId="548FA707" w14:textId="77777777" w:rsidR="00757025" w:rsidRDefault="00757025">
    <w:pPr>
      <w:pStyle w:val="a4"/>
    </w:pPr>
    <w:r>
      <w:rPr>
        <w:noProof/>
        <w:lang w:val="el-GR" w:eastAsia="el-GR"/>
      </w:rPr>
      <w:drawing>
        <wp:inline distT="0" distB="0" distL="0" distR="0" wp14:anchorId="553B4ED2" wp14:editId="5F4B9E63">
          <wp:extent cx="5490845" cy="698986"/>
          <wp:effectExtent l="0" t="0" r="0" b="0"/>
          <wp:docPr id="39" name="Εικόνα 39"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635C" w14:textId="77777777" w:rsidR="00757025" w:rsidRDefault="00757025">
    <w:pPr>
      <w:pStyle w:val="a4"/>
    </w:pPr>
    <w:r>
      <w:rPr>
        <w:noProof/>
        <w:lang w:val="el-GR" w:eastAsia="el-GR"/>
      </w:rPr>
      <w:drawing>
        <wp:inline distT="0" distB="0" distL="0" distR="0" wp14:anchorId="77A5479B" wp14:editId="1AB8FF98">
          <wp:extent cx="5490845" cy="698986"/>
          <wp:effectExtent l="0" t="0" r="0" b="0"/>
          <wp:docPr id="42" name="Εικόνα 4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7708B7A1" w14:textId="77777777" w:rsidR="00757025" w:rsidRPr="00C975F8" w:rsidRDefault="00757025">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06EA2" w14:textId="77777777" w:rsidR="000326C8" w:rsidRDefault="000326C8" w:rsidP="00B14FB2">
      <w:pPr>
        <w:spacing w:after="0" w:line="240" w:lineRule="auto"/>
      </w:pPr>
      <w:r>
        <w:separator/>
      </w:r>
    </w:p>
  </w:footnote>
  <w:footnote w:type="continuationSeparator" w:id="0">
    <w:p w14:paraId="15B657EF" w14:textId="77777777" w:rsidR="000326C8" w:rsidRDefault="000326C8" w:rsidP="00B14FB2">
      <w:pPr>
        <w:spacing w:after="0" w:line="240" w:lineRule="auto"/>
      </w:pPr>
      <w:r>
        <w:continuationSeparator/>
      </w:r>
    </w:p>
  </w:footnote>
  <w:footnote w:id="1">
    <w:p w14:paraId="0E2DEA5F" w14:textId="16E3A017" w:rsidR="00757025" w:rsidRPr="00F4074C" w:rsidRDefault="00757025" w:rsidP="00F4074C">
      <w:pPr>
        <w:spacing w:after="120" w:line="240" w:lineRule="auto"/>
        <w:jc w:val="both"/>
        <w:rPr>
          <w:rFonts w:cstheme="minorHAnsi"/>
          <w:sz w:val="20"/>
          <w:szCs w:val="20"/>
          <w:lang w:val="el-GR"/>
        </w:rPr>
      </w:pPr>
      <w:r w:rsidRPr="00F4074C">
        <w:rPr>
          <w:rStyle w:val="a8"/>
          <w:rFonts w:cstheme="minorHAnsi"/>
          <w:sz w:val="20"/>
          <w:szCs w:val="20"/>
        </w:rPr>
        <w:footnoteRef/>
      </w:r>
      <w:r w:rsidRPr="00F4074C">
        <w:rPr>
          <w:rFonts w:cstheme="minorHAnsi"/>
          <w:sz w:val="20"/>
          <w:szCs w:val="20"/>
          <w:lang w:val="el-GR"/>
        </w:rPr>
        <w:t xml:space="preserve"> </w:t>
      </w:r>
      <w:r w:rsidRPr="00F4074C">
        <w:rPr>
          <w:rFonts w:eastAsia="Georgia" w:cstheme="minorHAnsi"/>
          <w:bCs/>
          <w:sz w:val="20"/>
          <w:szCs w:val="20"/>
          <w:lang w:val="el-GR"/>
        </w:rPr>
        <w:t>Οι συνταξιούχοι με και χωρίς αναπηρία δέχθηκαν σε σημαντικά μικρότερο βαθμό τις επιπτώσεις της οικονομικής κρίσης στην Ελλάδα συγκριτικά με τους μισθωτούς και τον άνεργο πληθυσμό. Τόσο στο γενικό πληθυσμό όσο και στα άτομα με αναπηρία- ο κίνδυνος φτώχειας ή κοινωνικού αποκλεισμού μειώνεται δραστικά μετά την ηλικία των 60 ετών.  Ωστόσο, η εκ των πραγμάτων υπερ-εκπροσώπηση των ηλικιών 65+ στον πληθυσμό των ατόμων με αναπηρία (καθώς η αναπηρία επέρχεται και ως απόρροια της γήρανσης), έχει ως συνέπεια ένα γενικό ποσοστό του δείκτη να συσκοτίζει την πραγματική εικόνα της φτώχειας και του αποκλεισμού στην κοινωνική κατηγορία των ατόμων με αναπηρία.</w:t>
      </w:r>
    </w:p>
  </w:footnote>
  <w:footnote w:id="2">
    <w:p w14:paraId="1284EF25" w14:textId="57B60F9A" w:rsidR="00757025" w:rsidRPr="00F4074C" w:rsidRDefault="00757025" w:rsidP="00F4074C">
      <w:pPr>
        <w:pStyle w:val="a7"/>
        <w:spacing w:after="120"/>
        <w:jc w:val="both"/>
        <w:rPr>
          <w:rFonts w:cstheme="minorHAnsi"/>
          <w:lang w:val="el-GR"/>
        </w:rPr>
      </w:pPr>
      <w:r w:rsidRPr="00F4074C">
        <w:rPr>
          <w:rFonts w:cstheme="minorHAnsi"/>
          <w:vertAlign w:val="superscript"/>
          <w:lang w:val="el-GR"/>
        </w:rPr>
        <w:footnoteRef/>
      </w:r>
      <w:r w:rsidRPr="00F4074C">
        <w:rPr>
          <w:rFonts w:cstheme="minorHAnsi"/>
          <w:lang w:val="el-GR"/>
        </w:rPr>
        <w:t xml:space="preserve"> </w:t>
      </w:r>
      <w:r w:rsidRPr="00F4074C">
        <w:rPr>
          <w:rFonts w:cstheme="minorHAnsi"/>
          <w:lang w:val="el-GR"/>
        </w:rPr>
        <w:t>Το κατώφλι της φτώχειας ορίζεται σήμερα στα 4.917 ευρώ ανά άτομο ενώ το 2008 ήταν 6.480 ευρώ. Αυτή η μεταβολή συνεπάγεται ότι τμήματα του πληθυσμού με ένα δεδομένο σταθερό ετήσιο εισόδημα, για παράδειγμα της τάξεως των 5.000 ευρώ, ενώ το 2008 εντάσσονταν στην κατηγορία των φτωχών, το 2019 δεν εξακολουθούν να κατατάσσονται κάτω από το όριο της φτώχειας.</w:t>
      </w:r>
    </w:p>
  </w:footnote>
  <w:footnote w:id="3">
    <w:p w14:paraId="10D70D80" w14:textId="77777777" w:rsidR="00757025" w:rsidRPr="00F4074C" w:rsidRDefault="00757025" w:rsidP="00F4074C">
      <w:pPr>
        <w:pStyle w:val="a7"/>
        <w:spacing w:after="120"/>
        <w:jc w:val="both"/>
        <w:rPr>
          <w:rFonts w:cstheme="minorHAnsi"/>
          <w:lang w:val="el-GR"/>
        </w:rPr>
      </w:pPr>
      <w:r w:rsidRPr="00F4074C">
        <w:rPr>
          <w:rFonts w:cstheme="minorHAnsi"/>
          <w:vertAlign w:val="superscript"/>
          <w:lang w:val="el-GR"/>
        </w:rPr>
        <w:footnoteRef/>
      </w:r>
      <w:r w:rsidRPr="00F4074C">
        <w:rPr>
          <w:rFonts w:cstheme="minorHAnsi"/>
          <w:lang w:val="el-GR"/>
        </w:rPr>
        <w:t>Προκειμένου να αντισταθμιστούν οι περιορισμοί του δείκτη γίνεται αρκετές φορές χρήση εναλλακτικών μεθόδων μέτρησης όπως ο υπολογισμός του δείκτη με σταθερό όριο φτώχειας όπως  το κατώφλι του έτους 2008, πληθωρισμένο με στοιχεία από τον εναρμονισμένο δείκτη τιμών καταναλωτή.</w:t>
      </w:r>
    </w:p>
  </w:footnote>
  <w:footnote w:id="4">
    <w:p w14:paraId="252D9DAD" w14:textId="77777777" w:rsidR="00757025" w:rsidRPr="00F4074C" w:rsidRDefault="00757025" w:rsidP="00F4074C">
      <w:pPr>
        <w:pStyle w:val="a7"/>
        <w:spacing w:after="120"/>
        <w:rPr>
          <w:rFonts w:cstheme="minorHAnsi"/>
          <w:lang w:val="el-GR"/>
        </w:rPr>
      </w:pPr>
      <w:r w:rsidRPr="00F4074C">
        <w:rPr>
          <w:rStyle w:val="a8"/>
          <w:rFonts w:cstheme="minorHAnsi"/>
        </w:rPr>
        <w:footnoteRef/>
      </w:r>
      <w:r w:rsidRPr="00F4074C">
        <w:rPr>
          <w:rFonts w:cstheme="minorHAnsi"/>
          <w:lang w:val="el-GR"/>
        </w:rPr>
        <w:t xml:space="preserve"> </w:t>
      </w:r>
      <w:r w:rsidR="00F55A5A" w:rsidRPr="00F4074C">
        <w:rPr>
          <w:rFonts w:cstheme="minorHAnsi"/>
          <w:lang w:val="el-GR"/>
        </w:rPr>
        <w:t>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 w:id="5">
    <w:p w14:paraId="6206B5D6" w14:textId="77777777" w:rsidR="00757025" w:rsidRPr="00F4074C" w:rsidRDefault="00757025" w:rsidP="00F4074C">
      <w:pPr>
        <w:pStyle w:val="a7"/>
        <w:spacing w:after="120"/>
        <w:jc w:val="both"/>
        <w:rPr>
          <w:rFonts w:cstheme="minorHAnsi"/>
          <w:lang w:val="el-GR"/>
        </w:rPr>
      </w:pPr>
      <w:r w:rsidRPr="00F4074C">
        <w:rPr>
          <w:rFonts w:cstheme="minorHAnsi"/>
          <w:vertAlign w:val="superscript"/>
          <w:lang w:val="el-GR"/>
        </w:rPr>
        <w:footnoteRef/>
      </w:r>
      <w:r w:rsidRPr="00F4074C">
        <w:rPr>
          <w:rFonts w:cstheme="minorHAnsi"/>
          <w:lang w:val="el-GR"/>
        </w:rPr>
        <w:t>Κοινωνικές μεταβιβάσεις θεωρούνται τα κοινωνικά επιδόματα, δηλαδή η κοινωνική  βοήθεια (Κοινωνικό Μέρισμα, Κοινωνικό Εισόδημα Αλληλεγγύης, ΕΚΑΣ, εισοδηματικές ενισχύσεις σε νοικοκυριά μόνιμων κατοίκων ορεινών και μειονεκτικών περιοχών, επίδομα μακροχρόνια ανέργων ηλικίας 20-66 ετών κλπ.), τα οικογενειακά επιδόματα, τα επιδόματα/βοηθήματα ανεργίας, τα επιδόματα/βοηθήματα ασθένειας, τα επιδόματα/  βοηθήματα αναπηρίας - ανικανότητας και οι εκπαιδευτικές παροχές και οι συντάξεις (δηλαδή συντάξεις γήρατος από εργασία και συντάξεις/βοηθήματα από τον/ τη σύζυγο)</w:t>
      </w:r>
      <w:r w:rsidR="00F55A5A" w:rsidRPr="00F4074C">
        <w:rPr>
          <w:rFonts w:cstheme="minorHAnsi"/>
          <w:lang w:val="el-GR"/>
        </w:rPr>
        <w:t>: Πηγή: 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 w:id="6">
    <w:p w14:paraId="1BEDD9C9" w14:textId="66A4F5D3" w:rsidR="00757025" w:rsidRPr="00F4074C" w:rsidRDefault="00757025" w:rsidP="005F1F28">
      <w:pPr>
        <w:pStyle w:val="a7"/>
        <w:spacing w:after="120"/>
        <w:jc w:val="both"/>
        <w:rPr>
          <w:rFonts w:cstheme="minorHAnsi"/>
          <w:lang w:val="el-GR"/>
        </w:rPr>
      </w:pPr>
      <w:r w:rsidRPr="00F4074C">
        <w:rPr>
          <w:rStyle w:val="a8"/>
          <w:rFonts w:cstheme="minorHAnsi"/>
        </w:rPr>
        <w:footnoteRef/>
      </w:r>
      <w:r w:rsidRPr="00F4074C">
        <w:rPr>
          <w:rFonts w:cstheme="minorHAnsi"/>
          <w:lang w:val="el-GR"/>
        </w:rPr>
        <w:t xml:space="preserve"> </w:t>
      </w:r>
      <w:r w:rsidR="005F4B26" w:rsidRPr="00F4074C">
        <w:rPr>
          <w:rStyle w:val="tlid-translation"/>
          <w:rFonts w:cstheme="minorHAnsi"/>
          <w:lang w:val="el-GR"/>
        </w:rPr>
        <w:t>Πηγή</w:t>
      </w:r>
      <w:r w:rsidR="00FE194D" w:rsidRPr="00F4074C">
        <w:rPr>
          <w:rStyle w:val="tlid-translation"/>
          <w:rFonts w:cstheme="minorHAnsi"/>
          <w:lang w:val="el-GR"/>
        </w:rPr>
        <w:t xml:space="preserve"> δεδομένων για το Μέσο Διαθέσιμο Εισόδημα</w:t>
      </w:r>
      <w:r w:rsidR="005F4B26" w:rsidRPr="00F4074C">
        <w:rPr>
          <w:rStyle w:val="tlid-translation"/>
          <w:rFonts w:cstheme="minorHAnsi"/>
          <w:lang w:val="el-GR"/>
        </w:rPr>
        <w:t>: 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 w:id="7">
    <w:p w14:paraId="44B16F15" w14:textId="1ECDE5BC" w:rsidR="00757025" w:rsidRPr="00F4074C" w:rsidRDefault="00757025" w:rsidP="00F4074C">
      <w:pPr>
        <w:spacing w:after="120" w:line="240" w:lineRule="auto"/>
        <w:jc w:val="both"/>
        <w:rPr>
          <w:rFonts w:cstheme="minorHAnsi"/>
          <w:sz w:val="20"/>
          <w:szCs w:val="20"/>
          <w:lang w:val="el-GR"/>
        </w:rPr>
      </w:pPr>
      <w:r w:rsidRPr="00F4074C">
        <w:rPr>
          <w:rStyle w:val="a8"/>
          <w:rFonts w:cstheme="minorHAnsi"/>
          <w:sz w:val="20"/>
          <w:szCs w:val="20"/>
        </w:rPr>
        <w:footnoteRef/>
      </w:r>
      <w:r w:rsidRPr="00F4074C">
        <w:rPr>
          <w:rFonts w:cstheme="minorHAnsi"/>
          <w:sz w:val="20"/>
          <w:szCs w:val="20"/>
          <w:lang w:val="el-GR"/>
        </w:rPr>
        <w:t xml:space="preserve"> </w:t>
      </w:r>
      <w:r w:rsidRPr="00F4074C">
        <w:rPr>
          <w:rFonts w:cstheme="minorHAnsi"/>
          <w:sz w:val="20"/>
          <w:szCs w:val="20"/>
          <w:lang w:val="el-GR"/>
        </w:rPr>
        <w:t>Τα αγαθά και οι υπηρεσίες που περιλαμβάνονται στον δείκτη είναι οι εξής: Δυσκολίες ανταπόκρισης στην πληρωμή πάγιων λογαριασμών, διακοπές μια εβδομάδα το χρόνο, κατανάλωση κρέατος ή ψαριού (ή λαχανικών ίσης θρεπτικής αξίας) κάθε δεύτερη μέρα, αντιμετώπιση έκτακτων δαπανών, τηλεφωνική σύνδεση (περιλαμβάνεται και το κινητό τηλέφωνο), έγχρωμη τηλεόραση, πλυντήριο ρούχων, Ι.Χ., ικανοποιητική θέρμανση τον χειμώνα και δροσιά το καλοκαίρι.</w:t>
      </w:r>
    </w:p>
  </w:footnote>
  <w:footnote w:id="8">
    <w:p w14:paraId="0EB55B26" w14:textId="2E17898D" w:rsidR="00757025" w:rsidRPr="00F4074C" w:rsidRDefault="00757025" w:rsidP="00F4074C">
      <w:pPr>
        <w:pStyle w:val="a7"/>
        <w:spacing w:after="120"/>
        <w:jc w:val="both"/>
        <w:rPr>
          <w:rFonts w:cstheme="minorHAnsi"/>
          <w:lang w:val="el-GR"/>
        </w:rPr>
      </w:pPr>
      <w:r w:rsidRPr="00F4074C">
        <w:rPr>
          <w:rStyle w:val="a8"/>
          <w:rFonts w:cstheme="minorHAnsi"/>
        </w:rPr>
        <w:footnoteRef/>
      </w:r>
      <w:r w:rsidRPr="00F4074C">
        <w:rPr>
          <w:rFonts w:cstheme="minorHAnsi"/>
          <w:lang w:val="el-GR"/>
        </w:rPr>
        <w:t xml:space="preserve"> </w:t>
      </w:r>
      <w:r w:rsidRPr="00F4074C">
        <w:rPr>
          <w:rStyle w:val="tlid-translation"/>
          <w:rFonts w:cstheme="minorHAnsi"/>
          <w:lang w:val="el-GR"/>
        </w:rPr>
        <w:t>Πηγή ορισμών: 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6FD1" w14:textId="77777777" w:rsidR="00757025" w:rsidRPr="00C975F8" w:rsidRDefault="00757025" w:rsidP="00D86E20">
    <w:pPr>
      <w:pStyle w:val="a3"/>
      <w:jc w:val="center"/>
    </w:pPr>
    <w:r>
      <w:rPr>
        <w:noProof/>
        <w:lang w:val="el-GR" w:eastAsia="el-GR"/>
      </w:rPr>
      <w:drawing>
        <wp:inline distT="0" distB="0" distL="0" distR="0" wp14:anchorId="2639B028" wp14:editId="0E27B724">
          <wp:extent cx="5490210" cy="947097"/>
          <wp:effectExtent l="0" t="0" r="0" b="0"/>
          <wp:docPr id="37" name="Εικόνα 37"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5490210" cy="947097"/>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24A993EE" wp14:editId="189CDF9D">
          <wp:extent cx="5400040" cy="647700"/>
          <wp:effectExtent l="0" t="0" r="0" b="0"/>
          <wp:docPr id="38" name="Εικόνα 38"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647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D953" w14:textId="77777777" w:rsidR="00757025" w:rsidRDefault="00757025" w:rsidP="001E4AC0">
    <w:pPr>
      <w:pStyle w:val="a3"/>
      <w:spacing w:before="360"/>
      <w:ind w:left="-1701" w:right="-1298"/>
      <w:jc w:val="center"/>
    </w:pPr>
    <w:r>
      <w:rPr>
        <w:noProof/>
        <w:lang w:val="el-GR" w:eastAsia="el-GR"/>
      </w:rPr>
      <w:drawing>
        <wp:inline distT="0" distB="0" distL="0" distR="0" wp14:anchorId="73081C78" wp14:editId="19392600">
          <wp:extent cx="6644640" cy="906780"/>
          <wp:effectExtent l="0" t="0" r="3810" b="0"/>
          <wp:docPr id="40" name="Εικόνα 40"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407391F6" wp14:editId="2CB35A8B">
          <wp:extent cx="6187440" cy="876300"/>
          <wp:effectExtent l="0" t="0" r="3810" b="0"/>
          <wp:docPr id="41" name="Εικόνα 41"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07C"/>
    <w:multiLevelType w:val="hybridMultilevel"/>
    <w:tmpl w:val="6C58DF08"/>
    <w:lvl w:ilvl="0" w:tplc="04080001">
      <w:start w:val="1"/>
      <w:numFmt w:val="bullet"/>
      <w:lvlText w:val=""/>
      <w:lvlJc w:val="left"/>
      <w:pPr>
        <w:ind w:left="360" w:hanging="360"/>
      </w:pPr>
      <w:rPr>
        <w:rFonts w:ascii="Symbol" w:hAnsi="Symbol" w:hint="default"/>
      </w:rPr>
    </w:lvl>
    <w:lvl w:ilvl="1" w:tplc="78028984" w:tentative="1">
      <w:start w:val="1"/>
      <w:numFmt w:val="bullet"/>
      <w:lvlText w:val="o"/>
      <w:lvlJc w:val="left"/>
      <w:pPr>
        <w:ind w:left="1080" w:hanging="360"/>
      </w:pPr>
      <w:rPr>
        <w:rFonts w:ascii="Courier New" w:hAnsi="Courier New" w:cs="Courier New" w:hint="default"/>
      </w:rPr>
    </w:lvl>
    <w:lvl w:ilvl="2" w:tplc="1D2C6532" w:tentative="1">
      <w:start w:val="1"/>
      <w:numFmt w:val="bullet"/>
      <w:lvlText w:val=""/>
      <w:lvlJc w:val="left"/>
      <w:pPr>
        <w:ind w:left="1800" w:hanging="360"/>
      </w:pPr>
      <w:rPr>
        <w:rFonts w:ascii="Wingdings" w:hAnsi="Wingdings" w:hint="default"/>
      </w:rPr>
    </w:lvl>
    <w:lvl w:ilvl="3" w:tplc="B6ECF536" w:tentative="1">
      <w:start w:val="1"/>
      <w:numFmt w:val="bullet"/>
      <w:lvlText w:val=""/>
      <w:lvlJc w:val="left"/>
      <w:pPr>
        <w:ind w:left="2520" w:hanging="360"/>
      </w:pPr>
      <w:rPr>
        <w:rFonts w:ascii="Symbol" w:hAnsi="Symbol" w:hint="default"/>
      </w:rPr>
    </w:lvl>
    <w:lvl w:ilvl="4" w:tplc="DE1A2D3C" w:tentative="1">
      <w:start w:val="1"/>
      <w:numFmt w:val="bullet"/>
      <w:lvlText w:val="o"/>
      <w:lvlJc w:val="left"/>
      <w:pPr>
        <w:ind w:left="3240" w:hanging="360"/>
      </w:pPr>
      <w:rPr>
        <w:rFonts w:ascii="Courier New" w:hAnsi="Courier New" w:cs="Courier New" w:hint="default"/>
      </w:rPr>
    </w:lvl>
    <w:lvl w:ilvl="5" w:tplc="BCC2DAEC" w:tentative="1">
      <w:start w:val="1"/>
      <w:numFmt w:val="bullet"/>
      <w:lvlText w:val=""/>
      <w:lvlJc w:val="left"/>
      <w:pPr>
        <w:ind w:left="3960" w:hanging="360"/>
      </w:pPr>
      <w:rPr>
        <w:rFonts w:ascii="Wingdings" w:hAnsi="Wingdings" w:hint="default"/>
      </w:rPr>
    </w:lvl>
    <w:lvl w:ilvl="6" w:tplc="3F4814AA" w:tentative="1">
      <w:start w:val="1"/>
      <w:numFmt w:val="bullet"/>
      <w:lvlText w:val=""/>
      <w:lvlJc w:val="left"/>
      <w:pPr>
        <w:ind w:left="4680" w:hanging="360"/>
      </w:pPr>
      <w:rPr>
        <w:rFonts w:ascii="Symbol" w:hAnsi="Symbol" w:hint="default"/>
      </w:rPr>
    </w:lvl>
    <w:lvl w:ilvl="7" w:tplc="2612DFFA" w:tentative="1">
      <w:start w:val="1"/>
      <w:numFmt w:val="bullet"/>
      <w:lvlText w:val="o"/>
      <w:lvlJc w:val="left"/>
      <w:pPr>
        <w:ind w:left="5400" w:hanging="360"/>
      </w:pPr>
      <w:rPr>
        <w:rFonts w:ascii="Courier New" w:hAnsi="Courier New" w:cs="Courier New" w:hint="default"/>
      </w:rPr>
    </w:lvl>
    <w:lvl w:ilvl="8" w:tplc="29981300" w:tentative="1">
      <w:start w:val="1"/>
      <w:numFmt w:val="bullet"/>
      <w:lvlText w:val=""/>
      <w:lvlJc w:val="left"/>
      <w:pPr>
        <w:ind w:left="6120" w:hanging="360"/>
      </w:pPr>
      <w:rPr>
        <w:rFonts w:ascii="Wingdings" w:hAnsi="Wingdings" w:hint="default"/>
      </w:rPr>
    </w:lvl>
  </w:abstractNum>
  <w:abstractNum w:abstractNumId="1" w15:restartNumberingAfterBreak="0">
    <w:nsid w:val="05BC30AA"/>
    <w:multiLevelType w:val="hybridMultilevel"/>
    <w:tmpl w:val="462A404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57323"/>
    <w:multiLevelType w:val="hybridMultilevel"/>
    <w:tmpl w:val="B51A4546"/>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184B2018"/>
    <w:multiLevelType w:val="hybridMultilevel"/>
    <w:tmpl w:val="FC305F9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C67EBE"/>
    <w:multiLevelType w:val="hybridMultilevel"/>
    <w:tmpl w:val="0FD47D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4A6FDE"/>
    <w:multiLevelType w:val="multilevel"/>
    <w:tmpl w:val="BA18D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147D72"/>
    <w:multiLevelType w:val="hybridMultilevel"/>
    <w:tmpl w:val="CA14F43C"/>
    <w:lvl w:ilvl="0" w:tplc="3634C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F6198"/>
    <w:multiLevelType w:val="hybridMultilevel"/>
    <w:tmpl w:val="9E3AA980"/>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8"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B9C7062"/>
    <w:multiLevelType w:val="hybridMultilevel"/>
    <w:tmpl w:val="22C646A6"/>
    <w:lvl w:ilvl="0" w:tplc="BFDAB0E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F3A1F16"/>
    <w:multiLevelType w:val="hybridMultilevel"/>
    <w:tmpl w:val="8E0AA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345672"/>
    <w:multiLevelType w:val="hybridMultilevel"/>
    <w:tmpl w:val="2572E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0C91677"/>
    <w:multiLevelType w:val="hybridMultilevel"/>
    <w:tmpl w:val="147E6B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A666F82"/>
    <w:multiLevelType w:val="hybridMultilevel"/>
    <w:tmpl w:val="0994B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
  </w:num>
  <w:num w:numId="5">
    <w:abstractNumId w:val="13"/>
  </w:num>
  <w:num w:numId="6">
    <w:abstractNumId w:val="5"/>
  </w:num>
  <w:num w:numId="7">
    <w:abstractNumId w:val="9"/>
  </w:num>
  <w:num w:numId="8">
    <w:abstractNumId w:val="10"/>
  </w:num>
  <w:num w:numId="9">
    <w:abstractNumId w:val="4"/>
  </w:num>
  <w:num w:numId="10">
    <w:abstractNumId w:val="12"/>
  </w:num>
  <w:num w:numId="11">
    <w:abstractNumId w:val="11"/>
  </w:num>
  <w:num w:numId="12">
    <w:abstractNumId w:val="0"/>
  </w:num>
  <w:num w:numId="13">
    <w:abstractNumId w:val="3"/>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B2"/>
    <w:rsid w:val="00000401"/>
    <w:rsid w:val="00000F04"/>
    <w:rsid w:val="00001B0E"/>
    <w:rsid w:val="00001C48"/>
    <w:rsid w:val="0000287E"/>
    <w:rsid w:val="00004A64"/>
    <w:rsid w:val="00004F59"/>
    <w:rsid w:val="00006238"/>
    <w:rsid w:val="00010D6F"/>
    <w:rsid w:val="00011632"/>
    <w:rsid w:val="00013C12"/>
    <w:rsid w:val="00016989"/>
    <w:rsid w:val="0002091C"/>
    <w:rsid w:val="00020C87"/>
    <w:rsid w:val="000235A7"/>
    <w:rsid w:val="00023EA3"/>
    <w:rsid w:val="000251A7"/>
    <w:rsid w:val="00026DEE"/>
    <w:rsid w:val="0002706F"/>
    <w:rsid w:val="00027487"/>
    <w:rsid w:val="00027AA3"/>
    <w:rsid w:val="00030659"/>
    <w:rsid w:val="00030B66"/>
    <w:rsid w:val="000326C8"/>
    <w:rsid w:val="00032998"/>
    <w:rsid w:val="00033E31"/>
    <w:rsid w:val="0003410A"/>
    <w:rsid w:val="00034FCC"/>
    <w:rsid w:val="00035153"/>
    <w:rsid w:val="00036148"/>
    <w:rsid w:val="00036AFB"/>
    <w:rsid w:val="00036E31"/>
    <w:rsid w:val="000401D1"/>
    <w:rsid w:val="00040C1E"/>
    <w:rsid w:val="00040CA9"/>
    <w:rsid w:val="00044D92"/>
    <w:rsid w:val="00045C42"/>
    <w:rsid w:val="00046688"/>
    <w:rsid w:val="00047068"/>
    <w:rsid w:val="000476D6"/>
    <w:rsid w:val="0004785C"/>
    <w:rsid w:val="00050137"/>
    <w:rsid w:val="000514F1"/>
    <w:rsid w:val="00051811"/>
    <w:rsid w:val="00053EFC"/>
    <w:rsid w:val="000568F8"/>
    <w:rsid w:val="00056984"/>
    <w:rsid w:val="00057501"/>
    <w:rsid w:val="00057539"/>
    <w:rsid w:val="00057811"/>
    <w:rsid w:val="0005793A"/>
    <w:rsid w:val="000603B1"/>
    <w:rsid w:val="0006162C"/>
    <w:rsid w:val="00062552"/>
    <w:rsid w:val="00063077"/>
    <w:rsid w:val="00064787"/>
    <w:rsid w:val="00064DB2"/>
    <w:rsid w:val="000664D0"/>
    <w:rsid w:val="00066546"/>
    <w:rsid w:val="000674F2"/>
    <w:rsid w:val="00067CD5"/>
    <w:rsid w:val="00073C36"/>
    <w:rsid w:val="00074F40"/>
    <w:rsid w:val="00076819"/>
    <w:rsid w:val="000769FF"/>
    <w:rsid w:val="00080E7B"/>
    <w:rsid w:val="000817A1"/>
    <w:rsid w:val="00081EB3"/>
    <w:rsid w:val="00082630"/>
    <w:rsid w:val="00083EBB"/>
    <w:rsid w:val="00083F90"/>
    <w:rsid w:val="00091429"/>
    <w:rsid w:val="000928C5"/>
    <w:rsid w:val="00095D5C"/>
    <w:rsid w:val="00097592"/>
    <w:rsid w:val="000A3589"/>
    <w:rsid w:val="000A4359"/>
    <w:rsid w:val="000A67ED"/>
    <w:rsid w:val="000A7205"/>
    <w:rsid w:val="000B0FDE"/>
    <w:rsid w:val="000B3814"/>
    <w:rsid w:val="000B3D31"/>
    <w:rsid w:val="000B4243"/>
    <w:rsid w:val="000B4DF3"/>
    <w:rsid w:val="000B6438"/>
    <w:rsid w:val="000B7F76"/>
    <w:rsid w:val="000C037E"/>
    <w:rsid w:val="000C2646"/>
    <w:rsid w:val="000C28D2"/>
    <w:rsid w:val="000C318A"/>
    <w:rsid w:val="000C33EE"/>
    <w:rsid w:val="000C40F9"/>
    <w:rsid w:val="000C54CC"/>
    <w:rsid w:val="000C6F93"/>
    <w:rsid w:val="000C75E0"/>
    <w:rsid w:val="000C7AC1"/>
    <w:rsid w:val="000C7D79"/>
    <w:rsid w:val="000D3BE7"/>
    <w:rsid w:val="000D4C81"/>
    <w:rsid w:val="000D70C9"/>
    <w:rsid w:val="000E0E48"/>
    <w:rsid w:val="000E1B25"/>
    <w:rsid w:val="000E21F4"/>
    <w:rsid w:val="000E22CF"/>
    <w:rsid w:val="000E494A"/>
    <w:rsid w:val="000E4ABF"/>
    <w:rsid w:val="000E51F1"/>
    <w:rsid w:val="000E56E0"/>
    <w:rsid w:val="000E5ABB"/>
    <w:rsid w:val="000E6AC3"/>
    <w:rsid w:val="000E6AD4"/>
    <w:rsid w:val="000E7D00"/>
    <w:rsid w:val="000F057C"/>
    <w:rsid w:val="000F19A4"/>
    <w:rsid w:val="000F1BE8"/>
    <w:rsid w:val="000F20A7"/>
    <w:rsid w:val="000F464E"/>
    <w:rsid w:val="001001A5"/>
    <w:rsid w:val="001016BA"/>
    <w:rsid w:val="00101E3E"/>
    <w:rsid w:val="00102B01"/>
    <w:rsid w:val="00103585"/>
    <w:rsid w:val="0010411B"/>
    <w:rsid w:val="00104126"/>
    <w:rsid w:val="00105644"/>
    <w:rsid w:val="0010691C"/>
    <w:rsid w:val="00107885"/>
    <w:rsid w:val="00107C12"/>
    <w:rsid w:val="00107F11"/>
    <w:rsid w:val="0011470C"/>
    <w:rsid w:val="00114A1F"/>
    <w:rsid w:val="00115383"/>
    <w:rsid w:val="00117798"/>
    <w:rsid w:val="001178DE"/>
    <w:rsid w:val="00120801"/>
    <w:rsid w:val="001208F8"/>
    <w:rsid w:val="00121FC3"/>
    <w:rsid w:val="001220B2"/>
    <w:rsid w:val="00122357"/>
    <w:rsid w:val="001228E5"/>
    <w:rsid w:val="00122E0D"/>
    <w:rsid w:val="001241AA"/>
    <w:rsid w:val="00124938"/>
    <w:rsid w:val="00124A66"/>
    <w:rsid w:val="001254A2"/>
    <w:rsid w:val="00125908"/>
    <w:rsid w:val="00130F9F"/>
    <w:rsid w:val="00133290"/>
    <w:rsid w:val="00135C22"/>
    <w:rsid w:val="00136322"/>
    <w:rsid w:val="0013767A"/>
    <w:rsid w:val="001379D4"/>
    <w:rsid w:val="00137E34"/>
    <w:rsid w:val="001412B3"/>
    <w:rsid w:val="00141A47"/>
    <w:rsid w:val="00141FD5"/>
    <w:rsid w:val="00142759"/>
    <w:rsid w:val="00143650"/>
    <w:rsid w:val="00146455"/>
    <w:rsid w:val="0014671D"/>
    <w:rsid w:val="00147711"/>
    <w:rsid w:val="0014790E"/>
    <w:rsid w:val="00147AB1"/>
    <w:rsid w:val="00150307"/>
    <w:rsid w:val="00152A10"/>
    <w:rsid w:val="00155B1B"/>
    <w:rsid w:val="00156294"/>
    <w:rsid w:val="00156A87"/>
    <w:rsid w:val="001600E4"/>
    <w:rsid w:val="001612A5"/>
    <w:rsid w:val="001615F4"/>
    <w:rsid w:val="001623D3"/>
    <w:rsid w:val="00162860"/>
    <w:rsid w:val="00163E31"/>
    <w:rsid w:val="001647E0"/>
    <w:rsid w:val="00164C3B"/>
    <w:rsid w:val="0016570D"/>
    <w:rsid w:val="0016630F"/>
    <w:rsid w:val="00166C4F"/>
    <w:rsid w:val="00167E48"/>
    <w:rsid w:val="0017007C"/>
    <w:rsid w:val="00170112"/>
    <w:rsid w:val="00172F99"/>
    <w:rsid w:val="00173737"/>
    <w:rsid w:val="00173D7F"/>
    <w:rsid w:val="00174640"/>
    <w:rsid w:val="00175055"/>
    <w:rsid w:val="001755B7"/>
    <w:rsid w:val="00175766"/>
    <w:rsid w:val="0017715F"/>
    <w:rsid w:val="00177DE2"/>
    <w:rsid w:val="00180F0E"/>
    <w:rsid w:val="00181FA0"/>
    <w:rsid w:val="00182BD8"/>
    <w:rsid w:val="0018317E"/>
    <w:rsid w:val="001861A9"/>
    <w:rsid w:val="00190721"/>
    <w:rsid w:val="001912EA"/>
    <w:rsid w:val="00191617"/>
    <w:rsid w:val="00192299"/>
    <w:rsid w:val="0019273B"/>
    <w:rsid w:val="00192DE8"/>
    <w:rsid w:val="00193C8C"/>
    <w:rsid w:val="00195DDA"/>
    <w:rsid w:val="00195EFF"/>
    <w:rsid w:val="0019795A"/>
    <w:rsid w:val="00197F60"/>
    <w:rsid w:val="001A0A17"/>
    <w:rsid w:val="001A0DAE"/>
    <w:rsid w:val="001A0E0A"/>
    <w:rsid w:val="001A157B"/>
    <w:rsid w:val="001A2A51"/>
    <w:rsid w:val="001A4803"/>
    <w:rsid w:val="001A4B01"/>
    <w:rsid w:val="001A4B99"/>
    <w:rsid w:val="001A766F"/>
    <w:rsid w:val="001A78F7"/>
    <w:rsid w:val="001B1CE7"/>
    <w:rsid w:val="001B2554"/>
    <w:rsid w:val="001B2983"/>
    <w:rsid w:val="001B38E7"/>
    <w:rsid w:val="001B3FF5"/>
    <w:rsid w:val="001B5099"/>
    <w:rsid w:val="001C0348"/>
    <w:rsid w:val="001C03B2"/>
    <w:rsid w:val="001C086F"/>
    <w:rsid w:val="001C153F"/>
    <w:rsid w:val="001C1F90"/>
    <w:rsid w:val="001C3CFE"/>
    <w:rsid w:val="001C5C5D"/>
    <w:rsid w:val="001C6D9B"/>
    <w:rsid w:val="001C752A"/>
    <w:rsid w:val="001D00EE"/>
    <w:rsid w:val="001D0A17"/>
    <w:rsid w:val="001D137C"/>
    <w:rsid w:val="001D2A70"/>
    <w:rsid w:val="001D2EDD"/>
    <w:rsid w:val="001D3091"/>
    <w:rsid w:val="001D3672"/>
    <w:rsid w:val="001D37F3"/>
    <w:rsid w:val="001D5992"/>
    <w:rsid w:val="001D6A57"/>
    <w:rsid w:val="001D6FC1"/>
    <w:rsid w:val="001D74D2"/>
    <w:rsid w:val="001D764A"/>
    <w:rsid w:val="001E04ED"/>
    <w:rsid w:val="001E12EA"/>
    <w:rsid w:val="001E323F"/>
    <w:rsid w:val="001E4AC0"/>
    <w:rsid w:val="001E6AAF"/>
    <w:rsid w:val="001F4A63"/>
    <w:rsid w:val="001F52C8"/>
    <w:rsid w:val="001F63F0"/>
    <w:rsid w:val="001F6A5E"/>
    <w:rsid w:val="001F6EF6"/>
    <w:rsid w:val="001F7564"/>
    <w:rsid w:val="002002E3"/>
    <w:rsid w:val="00200BE7"/>
    <w:rsid w:val="0020258C"/>
    <w:rsid w:val="0020260D"/>
    <w:rsid w:val="00203EB7"/>
    <w:rsid w:val="00204642"/>
    <w:rsid w:val="00204986"/>
    <w:rsid w:val="002073FF"/>
    <w:rsid w:val="002116D5"/>
    <w:rsid w:val="00212CC9"/>
    <w:rsid w:val="00212FFF"/>
    <w:rsid w:val="00213404"/>
    <w:rsid w:val="002144EA"/>
    <w:rsid w:val="00214EBA"/>
    <w:rsid w:val="0021573C"/>
    <w:rsid w:val="00216669"/>
    <w:rsid w:val="0021728C"/>
    <w:rsid w:val="002201F2"/>
    <w:rsid w:val="00222527"/>
    <w:rsid w:val="00222C20"/>
    <w:rsid w:val="002250FA"/>
    <w:rsid w:val="00225304"/>
    <w:rsid w:val="00225305"/>
    <w:rsid w:val="00225537"/>
    <w:rsid w:val="002261CA"/>
    <w:rsid w:val="002269B0"/>
    <w:rsid w:val="00227C7F"/>
    <w:rsid w:val="00227ECE"/>
    <w:rsid w:val="002309C0"/>
    <w:rsid w:val="00230FEB"/>
    <w:rsid w:val="002313EC"/>
    <w:rsid w:val="00231D4F"/>
    <w:rsid w:val="00231F2B"/>
    <w:rsid w:val="00232921"/>
    <w:rsid w:val="00232D4D"/>
    <w:rsid w:val="00235081"/>
    <w:rsid w:val="002350D8"/>
    <w:rsid w:val="002358EA"/>
    <w:rsid w:val="00235D14"/>
    <w:rsid w:val="002369C6"/>
    <w:rsid w:val="00237E8E"/>
    <w:rsid w:val="0024363C"/>
    <w:rsid w:val="00244749"/>
    <w:rsid w:val="00245176"/>
    <w:rsid w:val="00246EDE"/>
    <w:rsid w:val="00247073"/>
    <w:rsid w:val="002521B4"/>
    <w:rsid w:val="00254B70"/>
    <w:rsid w:val="00255BAD"/>
    <w:rsid w:val="00257015"/>
    <w:rsid w:val="00257BD8"/>
    <w:rsid w:val="00260620"/>
    <w:rsid w:val="00260D0E"/>
    <w:rsid w:val="002640C3"/>
    <w:rsid w:val="0026429F"/>
    <w:rsid w:val="002648EF"/>
    <w:rsid w:val="0026536B"/>
    <w:rsid w:val="002653D4"/>
    <w:rsid w:val="002669F4"/>
    <w:rsid w:val="00267765"/>
    <w:rsid w:val="002679EF"/>
    <w:rsid w:val="002710F5"/>
    <w:rsid w:val="00271EC1"/>
    <w:rsid w:val="00273C2C"/>
    <w:rsid w:val="00273E07"/>
    <w:rsid w:val="00275014"/>
    <w:rsid w:val="00275553"/>
    <w:rsid w:val="0027752E"/>
    <w:rsid w:val="00281166"/>
    <w:rsid w:val="00282458"/>
    <w:rsid w:val="002835DA"/>
    <w:rsid w:val="00283ECB"/>
    <w:rsid w:val="00285961"/>
    <w:rsid w:val="00290406"/>
    <w:rsid w:val="00291A1F"/>
    <w:rsid w:val="0029276C"/>
    <w:rsid w:val="00293743"/>
    <w:rsid w:val="0029431E"/>
    <w:rsid w:val="002943E5"/>
    <w:rsid w:val="00294795"/>
    <w:rsid w:val="002956E5"/>
    <w:rsid w:val="002A09DB"/>
    <w:rsid w:val="002A1383"/>
    <w:rsid w:val="002A1C99"/>
    <w:rsid w:val="002A3AA8"/>
    <w:rsid w:val="002A4671"/>
    <w:rsid w:val="002A52C8"/>
    <w:rsid w:val="002A5E5A"/>
    <w:rsid w:val="002A7F9A"/>
    <w:rsid w:val="002B0AD5"/>
    <w:rsid w:val="002B0F74"/>
    <w:rsid w:val="002B16EC"/>
    <w:rsid w:val="002B292D"/>
    <w:rsid w:val="002B2E7D"/>
    <w:rsid w:val="002B316F"/>
    <w:rsid w:val="002B508B"/>
    <w:rsid w:val="002B59B0"/>
    <w:rsid w:val="002B6A65"/>
    <w:rsid w:val="002B6E3E"/>
    <w:rsid w:val="002C0A1C"/>
    <w:rsid w:val="002C0BE8"/>
    <w:rsid w:val="002C2221"/>
    <w:rsid w:val="002C2572"/>
    <w:rsid w:val="002C47EE"/>
    <w:rsid w:val="002C4D68"/>
    <w:rsid w:val="002C52CE"/>
    <w:rsid w:val="002C5A76"/>
    <w:rsid w:val="002C5DE1"/>
    <w:rsid w:val="002C71A4"/>
    <w:rsid w:val="002C75E5"/>
    <w:rsid w:val="002C7C23"/>
    <w:rsid w:val="002D072A"/>
    <w:rsid w:val="002D0B63"/>
    <w:rsid w:val="002D1D04"/>
    <w:rsid w:val="002D2023"/>
    <w:rsid w:val="002D2673"/>
    <w:rsid w:val="002D3EEB"/>
    <w:rsid w:val="002D40C5"/>
    <w:rsid w:val="002D679C"/>
    <w:rsid w:val="002D7418"/>
    <w:rsid w:val="002D7B7A"/>
    <w:rsid w:val="002E13B5"/>
    <w:rsid w:val="002E161F"/>
    <w:rsid w:val="002E3124"/>
    <w:rsid w:val="002E3266"/>
    <w:rsid w:val="002E378C"/>
    <w:rsid w:val="002E45AD"/>
    <w:rsid w:val="002E5997"/>
    <w:rsid w:val="002E6272"/>
    <w:rsid w:val="002E70E3"/>
    <w:rsid w:val="002E7B62"/>
    <w:rsid w:val="002F00F5"/>
    <w:rsid w:val="002F1E9B"/>
    <w:rsid w:val="002F1EC5"/>
    <w:rsid w:val="002F2388"/>
    <w:rsid w:val="002F4B34"/>
    <w:rsid w:val="002F56E7"/>
    <w:rsid w:val="002F5C47"/>
    <w:rsid w:val="002F5DEA"/>
    <w:rsid w:val="002F77B6"/>
    <w:rsid w:val="00300331"/>
    <w:rsid w:val="00301453"/>
    <w:rsid w:val="00301FD6"/>
    <w:rsid w:val="0030347E"/>
    <w:rsid w:val="00303E53"/>
    <w:rsid w:val="0030416A"/>
    <w:rsid w:val="00305F28"/>
    <w:rsid w:val="00306F87"/>
    <w:rsid w:val="003070F3"/>
    <w:rsid w:val="00315B61"/>
    <w:rsid w:val="003161F4"/>
    <w:rsid w:val="00316412"/>
    <w:rsid w:val="00316833"/>
    <w:rsid w:val="00316B0A"/>
    <w:rsid w:val="00317A10"/>
    <w:rsid w:val="00317D0D"/>
    <w:rsid w:val="00317ED8"/>
    <w:rsid w:val="003201B9"/>
    <w:rsid w:val="00323EF5"/>
    <w:rsid w:val="00324516"/>
    <w:rsid w:val="003276EB"/>
    <w:rsid w:val="00331DFE"/>
    <w:rsid w:val="0033245E"/>
    <w:rsid w:val="003330EA"/>
    <w:rsid w:val="00333438"/>
    <w:rsid w:val="00333895"/>
    <w:rsid w:val="00335BE3"/>
    <w:rsid w:val="003361D5"/>
    <w:rsid w:val="00336623"/>
    <w:rsid w:val="00337707"/>
    <w:rsid w:val="00341B31"/>
    <w:rsid w:val="003436DD"/>
    <w:rsid w:val="00343769"/>
    <w:rsid w:val="00343876"/>
    <w:rsid w:val="0034403A"/>
    <w:rsid w:val="003460F2"/>
    <w:rsid w:val="00347356"/>
    <w:rsid w:val="003478A0"/>
    <w:rsid w:val="00347FD2"/>
    <w:rsid w:val="00351FD5"/>
    <w:rsid w:val="00352D70"/>
    <w:rsid w:val="003530C9"/>
    <w:rsid w:val="003533B1"/>
    <w:rsid w:val="003533DE"/>
    <w:rsid w:val="003572AC"/>
    <w:rsid w:val="0036077E"/>
    <w:rsid w:val="00360CB7"/>
    <w:rsid w:val="00360F1B"/>
    <w:rsid w:val="003621D5"/>
    <w:rsid w:val="003626C7"/>
    <w:rsid w:val="00362E4B"/>
    <w:rsid w:val="003638B2"/>
    <w:rsid w:val="00363FF6"/>
    <w:rsid w:val="003645F9"/>
    <w:rsid w:val="003652B9"/>
    <w:rsid w:val="00365324"/>
    <w:rsid w:val="00365AD7"/>
    <w:rsid w:val="0036626B"/>
    <w:rsid w:val="00367060"/>
    <w:rsid w:val="00372803"/>
    <w:rsid w:val="00372818"/>
    <w:rsid w:val="00377025"/>
    <w:rsid w:val="003775B4"/>
    <w:rsid w:val="003800AB"/>
    <w:rsid w:val="00380183"/>
    <w:rsid w:val="00381A73"/>
    <w:rsid w:val="00382583"/>
    <w:rsid w:val="00382CC6"/>
    <w:rsid w:val="00382EFA"/>
    <w:rsid w:val="003855FE"/>
    <w:rsid w:val="0038573B"/>
    <w:rsid w:val="00385E69"/>
    <w:rsid w:val="003910F9"/>
    <w:rsid w:val="0039264E"/>
    <w:rsid w:val="00394F81"/>
    <w:rsid w:val="00397072"/>
    <w:rsid w:val="00397972"/>
    <w:rsid w:val="00397A70"/>
    <w:rsid w:val="003A006D"/>
    <w:rsid w:val="003A0D20"/>
    <w:rsid w:val="003A1BE5"/>
    <w:rsid w:val="003A3495"/>
    <w:rsid w:val="003A4054"/>
    <w:rsid w:val="003A48E6"/>
    <w:rsid w:val="003A599D"/>
    <w:rsid w:val="003A5D8D"/>
    <w:rsid w:val="003A6C73"/>
    <w:rsid w:val="003A7E34"/>
    <w:rsid w:val="003B1441"/>
    <w:rsid w:val="003B41D9"/>
    <w:rsid w:val="003B4A60"/>
    <w:rsid w:val="003B4C8A"/>
    <w:rsid w:val="003B4D49"/>
    <w:rsid w:val="003B52E6"/>
    <w:rsid w:val="003B731F"/>
    <w:rsid w:val="003C0900"/>
    <w:rsid w:val="003C0A09"/>
    <w:rsid w:val="003C0C5D"/>
    <w:rsid w:val="003C1230"/>
    <w:rsid w:val="003C4A75"/>
    <w:rsid w:val="003C5D81"/>
    <w:rsid w:val="003D06FB"/>
    <w:rsid w:val="003D41C5"/>
    <w:rsid w:val="003D6928"/>
    <w:rsid w:val="003D722C"/>
    <w:rsid w:val="003E0A03"/>
    <w:rsid w:val="003E5906"/>
    <w:rsid w:val="003E668B"/>
    <w:rsid w:val="003E6C76"/>
    <w:rsid w:val="003E7456"/>
    <w:rsid w:val="003E76B6"/>
    <w:rsid w:val="003F12F6"/>
    <w:rsid w:val="003F2D35"/>
    <w:rsid w:val="003F3C89"/>
    <w:rsid w:val="003F4529"/>
    <w:rsid w:val="003F5690"/>
    <w:rsid w:val="003F79E1"/>
    <w:rsid w:val="00400995"/>
    <w:rsid w:val="00400C58"/>
    <w:rsid w:val="00401F78"/>
    <w:rsid w:val="00401FCA"/>
    <w:rsid w:val="004021EE"/>
    <w:rsid w:val="004026A8"/>
    <w:rsid w:val="00402869"/>
    <w:rsid w:val="00402980"/>
    <w:rsid w:val="00403970"/>
    <w:rsid w:val="004047E3"/>
    <w:rsid w:val="004051C2"/>
    <w:rsid w:val="00406905"/>
    <w:rsid w:val="004075FF"/>
    <w:rsid w:val="004118D1"/>
    <w:rsid w:val="00411B16"/>
    <w:rsid w:val="00411EDC"/>
    <w:rsid w:val="0041241D"/>
    <w:rsid w:val="004124FE"/>
    <w:rsid w:val="00412EF4"/>
    <w:rsid w:val="00413974"/>
    <w:rsid w:val="00414EA5"/>
    <w:rsid w:val="00415ED7"/>
    <w:rsid w:val="0041790F"/>
    <w:rsid w:val="00420445"/>
    <w:rsid w:val="0042213A"/>
    <w:rsid w:val="00425E78"/>
    <w:rsid w:val="00426F39"/>
    <w:rsid w:val="00432806"/>
    <w:rsid w:val="004338AF"/>
    <w:rsid w:val="00433BB2"/>
    <w:rsid w:val="00433F23"/>
    <w:rsid w:val="004350D0"/>
    <w:rsid w:val="004354CC"/>
    <w:rsid w:val="00435882"/>
    <w:rsid w:val="00436797"/>
    <w:rsid w:val="00437DAE"/>
    <w:rsid w:val="00437DF9"/>
    <w:rsid w:val="00441911"/>
    <w:rsid w:val="00442933"/>
    <w:rsid w:val="004436CA"/>
    <w:rsid w:val="00444E74"/>
    <w:rsid w:val="00450210"/>
    <w:rsid w:val="004512FC"/>
    <w:rsid w:val="00451BC5"/>
    <w:rsid w:val="00451C05"/>
    <w:rsid w:val="00455D7B"/>
    <w:rsid w:val="004609C3"/>
    <w:rsid w:val="00460A4C"/>
    <w:rsid w:val="00460C31"/>
    <w:rsid w:val="004621F5"/>
    <w:rsid w:val="00462C69"/>
    <w:rsid w:val="004645B2"/>
    <w:rsid w:val="004706AA"/>
    <w:rsid w:val="00474407"/>
    <w:rsid w:val="00477EED"/>
    <w:rsid w:val="00480C39"/>
    <w:rsid w:val="004814FD"/>
    <w:rsid w:val="00481697"/>
    <w:rsid w:val="00481743"/>
    <w:rsid w:val="00482356"/>
    <w:rsid w:val="00482515"/>
    <w:rsid w:val="00482E4F"/>
    <w:rsid w:val="004830CA"/>
    <w:rsid w:val="0048373F"/>
    <w:rsid w:val="00483A56"/>
    <w:rsid w:val="00484316"/>
    <w:rsid w:val="0048470E"/>
    <w:rsid w:val="00484A6E"/>
    <w:rsid w:val="0048558A"/>
    <w:rsid w:val="0048585E"/>
    <w:rsid w:val="00485C27"/>
    <w:rsid w:val="0049151C"/>
    <w:rsid w:val="004940EC"/>
    <w:rsid w:val="00494798"/>
    <w:rsid w:val="00497856"/>
    <w:rsid w:val="004A11C5"/>
    <w:rsid w:val="004A1ACF"/>
    <w:rsid w:val="004A24E5"/>
    <w:rsid w:val="004A2FA3"/>
    <w:rsid w:val="004A4C17"/>
    <w:rsid w:val="004A60B7"/>
    <w:rsid w:val="004A6923"/>
    <w:rsid w:val="004B1F01"/>
    <w:rsid w:val="004B2C6E"/>
    <w:rsid w:val="004B2CB0"/>
    <w:rsid w:val="004B3D97"/>
    <w:rsid w:val="004B4CE9"/>
    <w:rsid w:val="004B58EB"/>
    <w:rsid w:val="004B679B"/>
    <w:rsid w:val="004C01B4"/>
    <w:rsid w:val="004C09FE"/>
    <w:rsid w:val="004C0E44"/>
    <w:rsid w:val="004C17B4"/>
    <w:rsid w:val="004C1DBD"/>
    <w:rsid w:val="004C332A"/>
    <w:rsid w:val="004C493F"/>
    <w:rsid w:val="004C5414"/>
    <w:rsid w:val="004C61CC"/>
    <w:rsid w:val="004C750D"/>
    <w:rsid w:val="004D139C"/>
    <w:rsid w:val="004D350F"/>
    <w:rsid w:val="004D46EB"/>
    <w:rsid w:val="004D49D2"/>
    <w:rsid w:val="004D5455"/>
    <w:rsid w:val="004D5E86"/>
    <w:rsid w:val="004D620B"/>
    <w:rsid w:val="004D6D0C"/>
    <w:rsid w:val="004E0417"/>
    <w:rsid w:val="004E0BF7"/>
    <w:rsid w:val="004E0F51"/>
    <w:rsid w:val="004E12F3"/>
    <w:rsid w:val="004E197B"/>
    <w:rsid w:val="004E27F8"/>
    <w:rsid w:val="004E50C9"/>
    <w:rsid w:val="004E6498"/>
    <w:rsid w:val="004E71C3"/>
    <w:rsid w:val="004E73A2"/>
    <w:rsid w:val="004F0089"/>
    <w:rsid w:val="004F00E1"/>
    <w:rsid w:val="004F08D5"/>
    <w:rsid w:val="004F10BA"/>
    <w:rsid w:val="004F16AA"/>
    <w:rsid w:val="004F2C04"/>
    <w:rsid w:val="004F2E54"/>
    <w:rsid w:val="004F3A27"/>
    <w:rsid w:val="004F4406"/>
    <w:rsid w:val="004F4D05"/>
    <w:rsid w:val="004F4F99"/>
    <w:rsid w:val="00502F99"/>
    <w:rsid w:val="00504767"/>
    <w:rsid w:val="00505FCA"/>
    <w:rsid w:val="00511365"/>
    <w:rsid w:val="00511397"/>
    <w:rsid w:val="005127E0"/>
    <w:rsid w:val="00513B57"/>
    <w:rsid w:val="00513D40"/>
    <w:rsid w:val="005146A2"/>
    <w:rsid w:val="005150B8"/>
    <w:rsid w:val="005164F5"/>
    <w:rsid w:val="00516A9A"/>
    <w:rsid w:val="00516B04"/>
    <w:rsid w:val="005219CB"/>
    <w:rsid w:val="00521BB5"/>
    <w:rsid w:val="00521DDF"/>
    <w:rsid w:val="00522FD7"/>
    <w:rsid w:val="005242B7"/>
    <w:rsid w:val="00527F5B"/>
    <w:rsid w:val="00530E74"/>
    <w:rsid w:val="005312F9"/>
    <w:rsid w:val="0053212E"/>
    <w:rsid w:val="00536239"/>
    <w:rsid w:val="0054186C"/>
    <w:rsid w:val="00542105"/>
    <w:rsid w:val="00542541"/>
    <w:rsid w:val="00542583"/>
    <w:rsid w:val="00544395"/>
    <w:rsid w:val="00544537"/>
    <w:rsid w:val="00544E8D"/>
    <w:rsid w:val="005452E8"/>
    <w:rsid w:val="00545B7C"/>
    <w:rsid w:val="00550DC9"/>
    <w:rsid w:val="00550E07"/>
    <w:rsid w:val="00551336"/>
    <w:rsid w:val="00554C4F"/>
    <w:rsid w:val="00554D67"/>
    <w:rsid w:val="0055668F"/>
    <w:rsid w:val="00556F7D"/>
    <w:rsid w:val="00557CA0"/>
    <w:rsid w:val="00557E2A"/>
    <w:rsid w:val="005603BC"/>
    <w:rsid w:val="005605B6"/>
    <w:rsid w:val="005633DD"/>
    <w:rsid w:val="00564A98"/>
    <w:rsid w:val="00566AFF"/>
    <w:rsid w:val="00567189"/>
    <w:rsid w:val="005702E1"/>
    <w:rsid w:val="00570B2E"/>
    <w:rsid w:val="00571304"/>
    <w:rsid w:val="00571ABE"/>
    <w:rsid w:val="005723E4"/>
    <w:rsid w:val="00574351"/>
    <w:rsid w:val="00574487"/>
    <w:rsid w:val="00574E70"/>
    <w:rsid w:val="00576A71"/>
    <w:rsid w:val="0057786D"/>
    <w:rsid w:val="0058101A"/>
    <w:rsid w:val="00581031"/>
    <w:rsid w:val="00581398"/>
    <w:rsid w:val="00581AD6"/>
    <w:rsid w:val="005862C2"/>
    <w:rsid w:val="0058655B"/>
    <w:rsid w:val="00586AE7"/>
    <w:rsid w:val="00587F16"/>
    <w:rsid w:val="00590E56"/>
    <w:rsid w:val="005919BA"/>
    <w:rsid w:val="005922C2"/>
    <w:rsid w:val="0059344F"/>
    <w:rsid w:val="005940C2"/>
    <w:rsid w:val="005943CF"/>
    <w:rsid w:val="00594E1E"/>
    <w:rsid w:val="00594EE7"/>
    <w:rsid w:val="00595E3B"/>
    <w:rsid w:val="0059663C"/>
    <w:rsid w:val="0059728A"/>
    <w:rsid w:val="005976C6"/>
    <w:rsid w:val="005A0867"/>
    <w:rsid w:val="005A2557"/>
    <w:rsid w:val="005A4BDA"/>
    <w:rsid w:val="005A5AE9"/>
    <w:rsid w:val="005A7F50"/>
    <w:rsid w:val="005B11D5"/>
    <w:rsid w:val="005B2F24"/>
    <w:rsid w:val="005B309C"/>
    <w:rsid w:val="005B3FD1"/>
    <w:rsid w:val="005B6E46"/>
    <w:rsid w:val="005B7ABC"/>
    <w:rsid w:val="005B7C1E"/>
    <w:rsid w:val="005C1444"/>
    <w:rsid w:val="005C1B56"/>
    <w:rsid w:val="005C25EB"/>
    <w:rsid w:val="005C287C"/>
    <w:rsid w:val="005C2924"/>
    <w:rsid w:val="005C2AA6"/>
    <w:rsid w:val="005C3043"/>
    <w:rsid w:val="005C47E1"/>
    <w:rsid w:val="005C6B21"/>
    <w:rsid w:val="005C6FE5"/>
    <w:rsid w:val="005D06FF"/>
    <w:rsid w:val="005D2AE4"/>
    <w:rsid w:val="005D2DB9"/>
    <w:rsid w:val="005D33EF"/>
    <w:rsid w:val="005D4360"/>
    <w:rsid w:val="005E129A"/>
    <w:rsid w:val="005E1734"/>
    <w:rsid w:val="005E19F0"/>
    <w:rsid w:val="005E53FE"/>
    <w:rsid w:val="005E7D5F"/>
    <w:rsid w:val="005F04D1"/>
    <w:rsid w:val="005F09E5"/>
    <w:rsid w:val="005F1F28"/>
    <w:rsid w:val="005F4B26"/>
    <w:rsid w:val="005F5798"/>
    <w:rsid w:val="005F5D68"/>
    <w:rsid w:val="005F5FDF"/>
    <w:rsid w:val="006010DD"/>
    <w:rsid w:val="00601910"/>
    <w:rsid w:val="00601917"/>
    <w:rsid w:val="00601EF8"/>
    <w:rsid w:val="00602E03"/>
    <w:rsid w:val="00603139"/>
    <w:rsid w:val="00603FC4"/>
    <w:rsid w:val="00604744"/>
    <w:rsid w:val="00605E13"/>
    <w:rsid w:val="00606376"/>
    <w:rsid w:val="0061032F"/>
    <w:rsid w:val="00611089"/>
    <w:rsid w:val="00612CFC"/>
    <w:rsid w:val="006135A9"/>
    <w:rsid w:val="00620B00"/>
    <w:rsid w:val="0062157B"/>
    <w:rsid w:val="00624737"/>
    <w:rsid w:val="00625C1D"/>
    <w:rsid w:val="006265EE"/>
    <w:rsid w:val="00626BD9"/>
    <w:rsid w:val="006272CE"/>
    <w:rsid w:val="006272F1"/>
    <w:rsid w:val="00630915"/>
    <w:rsid w:val="00630953"/>
    <w:rsid w:val="00631302"/>
    <w:rsid w:val="00632416"/>
    <w:rsid w:val="006329DB"/>
    <w:rsid w:val="00633E68"/>
    <w:rsid w:val="0063479E"/>
    <w:rsid w:val="006364F8"/>
    <w:rsid w:val="0063678C"/>
    <w:rsid w:val="0063699C"/>
    <w:rsid w:val="006401C0"/>
    <w:rsid w:val="006412FC"/>
    <w:rsid w:val="00641555"/>
    <w:rsid w:val="006415D3"/>
    <w:rsid w:val="00642263"/>
    <w:rsid w:val="006424BB"/>
    <w:rsid w:val="006438B6"/>
    <w:rsid w:val="00651075"/>
    <w:rsid w:val="006523C4"/>
    <w:rsid w:val="00654527"/>
    <w:rsid w:val="00654FC5"/>
    <w:rsid w:val="00655299"/>
    <w:rsid w:val="0065755A"/>
    <w:rsid w:val="00660008"/>
    <w:rsid w:val="00661D12"/>
    <w:rsid w:val="006629E4"/>
    <w:rsid w:val="006634A5"/>
    <w:rsid w:val="00665500"/>
    <w:rsid w:val="00665F8C"/>
    <w:rsid w:val="00667EE6"/>
    <w:rsid w:val="00670114"/>
    <w:rsid w:val="00670713"/>
    <w:rsid w:val="00672C7D"/>
    <w:rsid w:val="0067423A"/>
    <w:rsid w:val="0067580F"/>
    <w:rsid w:val="00680B72"/>
    <w:rsid w:val="0068245B"/>
    <w:rsid w:val="00682A3E"/>
    <w:rsid w:val="00682DF4"/>
    <w:rsid w:val="006907B7"/>
    <w:rsid w:val="00691E1A"/>
    <w:rsid w:val="006929D5"/>
    <w:rsid w:val="00693A08"/>
    <w:rsid w:val="00694A92"/>
    <w:rsid w:val="006978D3"/>
    <w:rsid w:val="006A0EEA"/>
    <w:rsid w:val="006A2B10"/>
    <w:rsid w:val="006A2D6A"/>
    <w:rsid w:val="006A42CE"/>
    <w:rsid w:val="006A5978"/>
    <w:rsid w:val="006A6A2A"/>
    <w:rsid w:val="006A7AA1"/>
    <w:rsid w:val="006B0597"/>
    <w:rsid w:val="006B0D25"/>
    <w:rsid w:val="006B1FA5"/>
    <w:rsid w:val="006B2963"/>
    <w:rsid w:val="006B2E9E"/>
    <w:rsid w:val="006B54B9"/>
    <w:rsid w:val="006B62F0"/>
    <w:rsid w:val="006B7C1D"/>
    <w:rsid w:val="006C03F5"/>
    <w:rsid w:val="006C137A"/>
    <w:rsid w:val="006C14BF"/>
    <w:rsid w:val="006C3726"/>
    <w:rsid w:val="006C438F"/>
    <w:rsid w:val="006C43AC"/>
    <w:rsid w:val="006C68C3"/>
    <w:rsid w:val="006C728B"/>
    <w:rsid w:val="006C7302"/>
    <w:rsid w:val="006C774A"/>
    <w:rsid w:val="006C7DBD"/>
    <w:rsid w:val="006D0036"/>
    <w:rsid w:val="006D29BA"/>
    <w:rsid w:val="006D59F0"/>
    <w:rsid w:val="006D684C"/>
    <w:rsid w:val="006D6EAD"/>
    <w:rsid w:val="006D7135"/>
    <w:rsid w:val="006D7879"/>
    <w:rsid w:val="006E2E3F"/>
    <w:rsid w:val="006E2F39"/>
    <w:rsid w:val="006E3C41"/>
    <w:rsid w:val="006E421E"/>
    <w:rsid w:val="006F2434"/>
    <w:rsid w:val="006F3415"/>
    <w:rsid w:val="006F55DD"/>
    <w:rsid w:val="006F5BE0"/>
    <w:rsid w:val="006F6679"/>
    <w:rsid w:val="006F7860"/>
    <w:rsid w:val="006F7EA6"/>
    <w:rsid w:val="00700911"/>
    <w:rsid w:val="00702E4C"/>
    <w:rsid w:val="00703860"/>
    <w:rsid w:val="00704050"/>
    <w:rsid w:val="0070492C"/>
    <w:rsid w:val="00705627"/>
    <w:rsid w:val="00710422"/>
    <w:rsid w:val="007105CD"/>
    <w:rsid w:val="007127AA"/>
    <w:rsid w:val="00714AFB"/>
    <w:rsid w:val="0071521D"/>
    <w:rsid w:val="00715B51"/>
    <w:rsid w:val="0071665E"/>
    <w:rsid w:val="007177AA"/>
    <w:rsid w:val="00717C87"/>
    <w:rsid w:val="007219BD"/>
    <w:rsid w:val="00722578"/>
    <w:rsid w:val="00723AA6"/>
    <w:rsid w:val="007241E6"/>
    <w:rsid w:val="00725187"/>
    <w:rsid w:val="00725B68"/>
    <w:rsid w:val="00725BA9"/>
    <w:rsid w:val="0072624C"/>
    <w:rsid w:val="00727E8C"/>
    <w:rsid w:val="007313A8"/>
    <w:rsid w:val="0073334D"/>
    <w:rsid w:val="00735246"/>
    <w:rsid w:val="00736C88"/>
    <w:rsid w:val="00737145"/>
    <w:rsid w:val="00737D53"/>
    <w:rsid w:val="00737DEE"/>
    <w:rsid w:val="007415FC"/>
    <w:rsid w:val="00741AE5"/>
    <w:rsid w:val="00741C9A"/>
    <w:rsid w:val="00742482"/>
    <w:rsid w:val="00742A7B"/>
    <w:rsid w:val="00745309"/>
    <w:rsid w:val="00747FC9"/>
    <w:rsid w:val="00750309"/>
    <w:rsid w:val="00750614"/>
    <w:rsid w:val="00750883"/>
    <w:rsid w:val="0075182B"/>
    <w:rsid w:val="00752173"/>
    <w:rsid w:val="0075238E"/>
    <w:rsid w:val="00752FEF"/>
    <w:rsid w:val="00753962"/>
    <w:rsid w:val="00753A3D"/>
    <w:rsid w:val="0075427E"/>
    <w:rsid w:val="00756BDA"/>
    <w:rsid w:val="00757025"/>
    <w:rsid w:val="007618D8"/>
    <w:rsid w:val="00762815"/>
    <w:rsid w:val="007665EC"/>
    <w:rsid w:val="00766982"/>
    <w:rsid w:val="00766DA5"/>
    <w:rsid w:val="007676FE"/>
    <w:rsid w:val="00767AF1"/>
    <w:rsid w:val="0077009A"/>
    <w:rsid w:val="007706DB"/>
    <w:rsid w:val="007728F5"/>
    <w:rsid w:val="00772AE2"/>
    <w:rsid w:val="007731A7"/>
    <w:rsid w:val="00773404"/>
    <w:rsid w:val="00774A03"/>
    <w:rsid w:val="00781790"/>
    <w:rsid w:val="007828CB"/>
    <w:rsid w:val="00782C13"/>
    <w:rsid w:val="00784603"/>
    <w:rsid w:val="00784EDF"/>
    <w:rsid w:val="00785E81"/>
    <w:rsid w:val="007874AF"/>
    <w:rsid w:val="0078788F"/>
    <w:rsid w:val="00787AFA"/>
    <w:rsid w:val="0079033D"/>
    <w:rsid w:val="00790419"/>
    <w:rsid w:val="007905D2"/>
    <w:rsid w:val="007922DE"/>
    <w:rsid w:val="00793614"/>
    <w:rsid w:val="00793BE3"/>
    <w:rsid w:val="00793E54"/>
    <w:rsid w:val="007941FB"/>
    <w:rsid w:val="0079481B"/>
    <w:rsid w:val="0079504B"/>
    <w:rsid w:val="00795F51"/>
    <w:rsid w:val="00797954"/>
    <w:rsid w:val="007A2BF8"/>
    <w:rsid w:val="007A3C7D"/>
    <w:rsid w:val="007A47B1"/>
    <w:rsid w:val="007A5849"/>
    <w:rsid w:val="007A609A"/>
    <w:rsid w:val="007A6ACE"/>
    <w:rsid w:val="007A6D6A"/>
    <w:rsid w:val="007B0D45"/>
    <w:rsid w:val="007B1846"/>
    <w:rsid w:val="007B1C89"/>
    <w:rsid w:val="007B2ED5"/>
    <w:rsid w:val="007B3052"/>
    <w:rsid w:val="007B45C7"/>
    <w:rsid w:val="007B5748"/>
    <w:rsid w:val="007B5981"/>
    <w:rsid w:val="007B6873"/>
    <w:rsid w:val="007B75D8"/>
    <w:rsid w:val="007C05B7"/>
    <w:rsid w:val="007C0724"/>
    <w:rsid w:val="007C266C"/>
    <w:rsid w:val="007C3C64"/>
    <w:rsid w:val="007C51F3"/>
    <w:rsid w:val="007C720A"/>
    <w:rsid w:val="007C7D87"/>
    <w:rsid w:val="007D083F"/>
    <w:rsid w:val="007D0EB2"/>
    <w:rsid w:val="007D10F8"/>
    <w:rsid w:val="007D237E"/>
    <w:rsid w:val="007D2DDE"/>
    <w:rsid w:val="007D34DC"/>
    <w:rsid w:val="007D4BE7"/>
    <w:rsid w:val="007D4CD2"/>
    <w:rsid w:val="007D6612"/>
    <w:rsid w:val="007E1190"/>
    <w:rsid w:val="007E28BE"/>
    <w:rsid w:val="007E4D1D"/>
    <w:rsid w:val="007E532C"/>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1073"/>
    <w:rsid w:val="00801B2E"/>
    <w:rsid w:val="0080213F"/>
    <w:rsid w:val="00802B0F"/>
    <w:rsid w:val="00804165"/>
    <w:rsid w:val="00805BBF"/>
    <w:rsid w:val="00805C26"/>
    <w:rsid w:val="00806D0B"/>
    <w:rsid w:val="008075A9"/>
    <w:rsid w:val="00810F8D"/>
    <w:rsid w:val="00810F94"/>
    <w:rsid w:val="00811526"/>
    <w:rsid w:val="00814404"/>
    <w:rsid w:val="00816237"/>
    <w:rsid w:val="008176DB"/>
    <w:rsid w:val="00820FE5"/>
    <w:rsid w:val="008235D8"/>
    <w:rsid w:val="00823DF5"/>
    <w:rsid w:val="008242C6"/>
    <w:rsid w:val="00824D63"/>
    <w:rsid w:val="00827466"/>
    <w:rsid w:val="00827CBB"/>
    <w:rsid w:val="00831920"/>
    <w:rsid w:val="0083649F"/>
    <w:rsid w:val="00840695"/>
    <w:rsid w:val="00843737"/>
    <w:rsid w:val="00845EC8"/>
    <w:rsid w:val="0084626E"/>
    <w:rsid w:val="008474B7"/>
    <w:rsid w:val="0085149B"/>
    <w:rsid w:val="00851554"/>
    <w:rsid w:val="00854CFD"/>
    <w:rsid w:val="0085508D"/>
    <w:rsid w:val="008553A4"/>
    <w:rsid w:val="008577E6"/>
    <w:rsid w:val="00861631"/>
    <w:rsid w:val="008635BC"/>
    <w:rsid w:val="0086436B"/>
    <w:rsid w:val="008643DF"/>
    <w:rsid w:val="00865618"/>
    <w:rsid w:val="0086624C"/>
    <w:rsid w:val="00870E8B"/>
    <w:rsid w:val="008714E2"/>
    <w:rsid w:val="008740F4"/>
    <w:rsid w:val="00874283"/>
    <w:rsid w:val="008748D2"/>
    <w:rsid w:val="0087498E"/>
    <w:rsid w:val="00874C11"/>
    <w:rsid w:val="00876745"/>
    <w:rsid w:val="00876A27"/>
    <w:rsid w:val="00877140"/>
    <w:rsid w:val="00877A07"/>
    <w:rsid w:val="008808C9"/>
    <w:rsid w:val="00883218"/>
    <w:rsid w:val="0088355A"/>
    <w:rsid w:val="00883B95"/>
    <w:rsid w:val="008848AC"/>
    <w:rsid w:val="00885159"/>
    <w:rsid w:val="00886744"/>
    <w:rsid w:val="00886B63"/>
    <w:rsid w:val="00890A34"/>
    <w:rsid w:val="00890E70"/>
    <w:rsid w:val="00891C81"/>
    <w:rsid w:val="0089229B"/>
    <w:rsid w:val="008927D8"/>
    <w:rsid w:val="00893CEE"/>
    <w:rsid w:val="008A0F70"/>
    <w:rsid w:val="008A2F3C"/>
    <w:rsid w:val="008A3D8E"/>
    <w:rsid w:val="008A4B76"/>
    <w:rsid w:val="008A56B2"/>
    <w:rsid w:val="008A5A94"/>
    <w:rsid w:val="008A619A"/>
    <w:rsid w:val="008A6239"/>
    <w:rsid w:val="008B0488"/>
    <w:rsid w:val="008B2C52"/>
    <w:rsid w:val="008B33C1"/>
    <w:rsid w:val="008B3677"/>
    <w:rsid w:val="008B3DD4"/>
    <w:rsid w:val="008B4E81"/>
    <w:rsid w:val="008C0CA0"/>
    <w:rsid w:val="008C1A97"/>
    <w:rsid w:val="008C1C30"/>
    <w:rsid w:val="008C36B6"/>
    <w:rsid w:val="008C3932"/>
    <w:rsid w:val="008C443A"/>
    <w:rsid w:val="008C6278"/>
    <w:rsid w:val="008D176F"/>
    <w:rsid w:val="008D30C6"/>
    <w:rsid w:val="008D57EE"/>
    <w:rsid w:val="008D596B"/>
    <w:rsid w:val="008D6271"/>
    <w:rsid w:val="008E023C"/>
    <w:rsid w:val="008E05F8"/>
    <w:rsid w:val="008E2BDA"/>
    <w:rsid w:val="008E3314"/>
    <w:rsid w:val="008E3521"/>
    <w:rsid w:val="008E3EAE"/>
    <w:rsid w:val="008E5802"/>
    <w:rsid w:val="008E6325"/>
    <w:rsid w:val="008F2E68"/>
    <w:rsid w:val="008F311A"/>
    <w:rsid w:val="008F46BB"/>
    <w:rsid w:val="009007EB"/>
    <w:rsid w:val="00900C2F"/>
    <w:rsid w:val="00901104"/>
    <w:rsid w:val="00902467"/>
    <w:rsid w:val="0090283B"/>
    <w:rsid w:val="00902A7C"/>
    <w:rsid w:val="00902BBE"/>
    <w:rsid w:val="00902D16"/>
    <w:rsid w:val="00903C50"/>
    <w:rsid w:val="00903F32"/>
    <w:rsid w:val="009065A3"/>
    <w:rsid w:val="0090683B"/>
    <w:rsid w:val="00907567"/>
    <w:rsid w:val="009077EA"/>
    <w:rsid w:val="00910EDA"/>
    <w:rsid w:val="0091162C"/>
    <w:rsid w:val="00911E67"/>
    <w:rsid w:val="00913253"/>
    <w:rsid w:val="009135F5"/>
    <w:rsid w:val="00913DE9"/>
    <w:rsid w:val="00915ACB"/>
    <w:rsid w:val="00916366"/>
    <w:rsid w:val="009170B5"/>
    <w:rsid w:val="00917420"/>
    <w:rsid w:val="00917FEF"/>
    <w:rsid w:val="009205F6"/>
    <w:rsid w:val="00922564"/>
    <w:rsid w:val="00922C65"/>
    <w:rsid w:val="00924F11"/>
    <w:rsid w:val="009270EA"/>
    <w:rsid w:val="00930262"/>
    <w:rsid w:val="009313F9"/>
    <w:rsid w:val="00931AC2"/>
    <w:rsid w:val="00931E30"/>
    <w:rsid w:val="00935012"/>
    <w:rsid w:val="009361D8"/>
    <w:rsid w:val="009365B5"/>
    <w:rsid w:val="00936DB8"/>
    <w:rsid w:val="00937414"/>
    <w:rsid w:val="00937D25"/>
    <w:rsid w:val="009424AE"/>
    <w:rsid w:val="00943BCD"/>
    <w:rsid w:val="00944AC4"/>
    <w:rsid w:val="00945D83"/>
    <w:rsid w:val="00946312"/>
    <w:rsid w:val="0094782B"/>
    <w:rsid w:val="00947FDB"/>
    <w:rsid w:val="009526BF"/>
    <w:rsid w:val="00952CB3"/>
    <w:rsid w:val="00953C1C"/>
    <w:rsid w:val="00953E39"/>
    <w:rsid w:val="009552D5"/>
    <w:rsid w:val="00956152"/>
    <w:rsid w:val="009561E1"/>
    <w:rsid w:val="0095653D"/>
    <w:rsid w:val="009605B3"/>
    <w:rsid w:val="009605DA"/>
    <w:rsid w:val="00960AD3"/>
    <w:rsid w:val="009617E3"/>
    <w:rsid w:val="00962269"/>
    <w:rsid w:val="00962D72"/>
    <w:rsid w:val="0096355A"/>
    <w:rsid w:val="00963687"/>
    <w:rsid w:val="009642DC"/>
    <w:rsid w:val="0096447D"/>
    <w:rsid w:val="00965C03"/>
    <w:rsid w:val="009668F1"/>
    <w:rsid w:val="00967987"/>
    <w:rsid w:val="00970107"/>
    <w:rsid w:val="00970B34"/>
    <w:rsid w:val="0097231B"/>
    <w:rsid w:val="00972F29"/>
    <w:rsid w:val="00975308"/>
    <w:rsid w:val="00976564"/>
    <w:rsid w:val="00977695"/>
    <w:rsid w:val="00980CBA"/>
    <w:rsid w:val="00980ED9"/>
    <w:rsid w:val="009821B0"/>
    <w:rsid w:val="00982AB6"/>
    <w:rsid w:val="00982CF1"/>
    <w:rsid w:val="00983278"/>
    <w:rsid w:val="00984501"/>
    <w:rsid w:val="00985116"/>
    <w:rsid w:val="00986E22"/>
    <w:rsid w:val="00987AAD"/>
    <w:rsid w:val="00987ADD"/>
    <w:rsid w:val="009939FF"/>
    <w:rsid w:val="009954FD"/>
    <w:rsid w:val="009A09D9"/>
    <w:rsid w:val="009A2C5E"/>
    <w:rsid w:val="009A4B40"/>
    <w:rsid w:val="009A5083"/>
    <w:rsid w:val="009A5C32"/>
    <w:rsid w:val="009B0485"/>
    <w:rsid w:val="009B19D6"/>
    <w:rsid w:val="009B43EE"/>
    <w:rsid w:val="009B4822"/>
    <w:rsid w:val="009B50A3"/>
    <w:rsid w:val="009B6E02"/>
    <w:rsid w:val="009B7D94"/>
    <w:rsid w:val="009C0B06"/>
    <w:rsid w:val="009C2E83"/>
    <w:rsid w:val="009C4D36"/>
    <w:rsid w:val="009C5A66"/>
    <w:rsid w:val="009C61A9"/>
    <w:rsid w:val="009C670E"/>
    <w:rsid w:val="009C7B1C"/>
    <w:rsid w:val="009D15B7"/>
    <w:rsid w:val="009D2D64"/>
    <w:rsid w:val="009D36A4"/>
    <w:rsid w:val="009D3C16"/>
    <w:rsid w:val="009D4ED8"/>
    <w:rsid w:val="009D679D"/>
    <w:rsid w:val="009D7D14"/>
    <w:rsid w:val="009E0982"/>
    <w:rsid w:val="009E1474"/>
    <w:rsid w:val="009E3086"/>
    <w:rsid w:val="009E445F"/>
    <w:rsid w:val="009E5DB4"/>
    <w:rsid w:val="009E68B5"/>
    <w:rsid w:val="009F18F8"/>
    <w:rsid w:val="009F3CB2"/>
    <w:rsid w:val="009F5377"/>
    <w:rsid w:val="009F5A60"/>
    <w:rsid w:val="009F74A0"/>
    <w:rsid w:val="009F7766"/>
    <w:rsid w:val="009F7E5C"/>
    <w:rsid w:val="00A00DE0"/>
    <w:rsid w:val="00A0137A"/>
    <w:rsid w:val="00A04A3F"/>
    <w:rsid w:val="00A05F22"/>
    <w:rsid w:val="00A06989"/>
    <w:rsid w:val="00A06AB5"/>
    <w:rsid w:val="00A108F0"/>
    <w:rsid w:val="00A11C2E"/>
    <w:rsid w:val="00A12023"/>
    <w:rsid w:val="00A1225D"/>
    <w:rsid w:val="00A162A4"/>
    <w:rsid w:val="00A17072"/>
    <w:rsid w:val="00A2111A"/>
    <w:rsid w:val="00A219D7"/>
    <w:rsid w:val="00A249EF"/>
    <w:rsid w:val="00A25E7C"/>
    <w:rsid w:val="00A30388"/>
    <w:rsid w:val="00A315B9"/>
    <w:rsid w:val="00A31841"/>
    <w:rsid w:val="00A31B68"/>
    <w:rsid w:val="00A3257A"/>
    <w:rsid w:val="00A32B29"/>
    <w:rsid w:val="00A33E48"/>
    <w:rsid w:val="00A34AB1"/>
    <w:rsid w:val="00A36561"/>
    <w:rsid w:val="00A36892"/>
    <w:rsid w:val="00A37F75"/>
    <w:rsid w:val="00A400EF"/>
    <w:rsid w:val="00A402E0"/>
    <w:rsid w:val="00A429C4"/>
    <w:rsid w:val="00A441CE"/>
    <w:rsid w:val="00A46504"/>
    <w:rsid w:val="00A473F9"/>
    <w:rsid w:val="00A50D3D"/>
    <w:rsid w:val="00A52647"/>
    <w:rsid w:val="00A53BF2"/>
    <w:rsid w:val="00A53D3F"/>
    <w:rsid w:val="00A549D0"/>
    <w:rsid w:val="00A55912"/>
    <w:rsid w:val="00A56862"/>
    <w:rsid w:val="00A57DA5"/>
    <w:rsid w:val="00A626CF"/>
    <w:rsid w:val="00A62E69"/>
    <w:rsid w:val="00A633E9"/>
    <w:rsid w:val="00A638DA"/>
    <w:rsid w:val="00A64B9E"/>
    <w:rsid w:val="00A66385"/>
    <w:rsid w:val="00A663D6"/>
    <w:rsid w:val="00A66492"/>
    <w:rsid w:val="00A667DD"/>
    <w:rsid w:val="00A66CD1"/>
    <w:rsid w:val="00A67ECB"/>
    <w:rsid w:val="00A70EA1"/>
    <w:rsid w:val="00A71507"/>
    <w:rsid w:val="00A71CCC"/>
    <w:rsid w:val="00A73375"/>
    <w:rsid w:val="00A744DB"/>
    <w:rsid w:val="00A7536D"/>
    <w:rsid w:val="00A75591"/>
    <w:rsid w:val="00A75A45"/>
    <w:rsid w:val="00A82A4A"/>
    <w:rsid w:val="00A857B3"/>
    <w:rsid w:val="00A85B30"/>
    <w:rsid w:val="00A85EB6"/>
    <w:rsid w:val="00A86589"/>
    <w:rsid w:val="00A87577"/>
    <w:rsid w:val="00A87FA8"/>
    <w:rsid w:val="00A87FF8"/>
    <w:rsid w:val="00A917D6"/>
    <w:rsid w:val="00A9303E"/>
    <w:rsid w:val="00A93237"/>
    <w:rsid w:val="00A941FB"/>
    <w:rsid w:val="00A94D6D"/>
    <w:rsid w:val="00A9512D"/>
    <w:rsid w:val="00A96381"/>
    <w:rsid w:val="00A96EEC"/>
    <w:rsid w:val="00A97714"/>
    <w:rsid w:val="00AA0D7F"/>
    <w:rsid w:val="00AA0EDB"/>
    <w:rsid w:val="00AA21A6"/>
    <w:rsid w:val="00AA230F"/>
    <w:rsid w:val="00AA53AE"/>
    <w:rsid w:val="00AA560B"/>
    <w:rsid w:val="00AA5A2B"/>
    <w:rsid w:val="00AA71C3"/>
    <w:rsid w:val="00AB1285"/>
    <w:rsid w:val="00AB2107"/>
    <w:rsid w:val="00AB2DA6"/>
    <w:rsid w:val="00AB36FA"/>
    <w:rsid w:val="00AB56F8"/>
    <w:rsid w:val="00AB5DE7"/>
    <w:rsid w:val="00AB798C"/>
    <w:rsid w:val="00AC0E76"/>
    <w:rsid w:val="00AC1CF4"/>
    <w:rsid w:val="00AC314A"/>
    <w:rsid w:val="00AC31BB"/>
    <w:rsid w:val="00AC365B"/>
    <w:rsid w:val="00AC379B"/>
    <w:rsid w:val="00AC4EF4"/>
    <w:rsid w:val="00AC4FFC"/>
    <w:rsid w:val="00AC6B14"/>
    <w:rsid w:val="00AC7AC3"/>
    <w:rsid w:val="00AD0D57"/>
    <w:rsid w:val="00AD1823"/>
    <w:rsid w:val="00AD2631"/>
    <w:rsid w:val="00AD2B28"/>
    <w:rsid w:val="00AD2CE0"/>
    <w:rsid w:val="00AD39FA"/>
    <w:rsid w:val="00AD3DBC"/>
    <w:rsid w:val="00AD4C9F"/>
    <w:rsid w:val="00AD5226"/>
    <w:rsid w:val="00AD5367"/>
    <w:rsid w:val="00AD5386"/>
    <w:rsid w:val="00AD62A0"/>
    <w:rsid w:val="00AE0631"/>
    <w:rsid w:val="00AE18E1"/>
    <w:rsid w:val="00AE24F0"/>
    <w:rsid w:val="00AE2763"/>
    <w:rsid w:val="00AE2E28"/>
    <w:rsid w:val="00AE37B5"/>
    <w:rsid w:val="00AE6250"/>
    <w:rsid w:val="00AE6505"/>
    <w:rsid w:val="00AE69AD"/>
    <w:rsid w:val="00AF08E9"/>
    <w:rsid w:val="00AF12CA"/>
    <w:rsid w:val="00AF130E"/>
    <w:rsid w:val="00AF2C01"/>
    <w:rsid w:val="00AF3C0B"/>
    <w:rsid w:val="00AF4099"/>
    <w:rsid w:val="00AF6EEE"/>
    <w:rsid w:val="00AF7A59"/>
    <w:rsid w:val="00B02310"/>
    <w:rsid w:val="00B05F86"/>
    <w:rsid w:val="00B1020D"/>
    <w:rsid w:val="00B10E99"/>
    <w:rsid w:val="00B1172E"/>
    <w:rsid w:val="00B12783"/>
    <w:rsid w:val="00B12943"/>
    <w:rsid w:val="00B12F1A"/>
    <w:rsid w:val="00B14CE2"/>
    <w:rsid w:val="00B14D22"/>
    <w:rsid w:val="00B14E5B"/>
    <w:rsid w:val="00B14FB2"/>
    <w:rsid w:val="00B15E43"/>
    <w:rsid w:val="00B16648"/>
    <w:rsid w:val="00B16872"/>
    <w:rsid w:val="00B16E37"/>
    <w:rsid w:val="00B17863"/>
    <w:rsid w:val="00B217C2"/>
    <w:rsid w:val="00B22788"/>
    <w:rsid w:val="00B227EF"/>
    <w:rsid w:val="00B235D5"/>
    <w:rsid w:val="00B23BC6"/>
    <w:rsid w:val="00B2433B"/>
    <w:rsid w:val="00B2551D"/>
    <w:rsid w:val="00B30BDB"/>
    <w:rsid w:val="00B318DC"/>
    <w:rsid w:val="00B342EC"/>
    <w:rsid w:val="00B34889"/>
    <w:rsid w:val="00B352DB"/>
    <w:rsid w:val="00B35DFD"/>
    <w:rsid w:val="00B36116"/>
    <w:rsid w:val="00B363A0"/>
    <w:rsid w:val="00B42A79"/>
    <w:rsid w:val="00B4301E"/>
    <w:rsid w:val="00B53A41"/>
    <w:rsid w:val="00B557FD"/>
    <w:rsid w:val="00B55C58"/>
    <w:rsid w:val="00B574C2"/>
    <w:rsid w:val="00B62AE4"/>
    <w:rsid w:val="00B63A4C"/>
    <w:rsid w:val="00B64F4E"/>
    <w:rsid w:val="00B66601"/>
    <w:rsid w:val="00B6723C"/>
    <w:rsid w:val="00B67722"/>
    <w:rsid w:val="00B67A22"/>
    <w:rsid w:val="00B700A1"/>
    <w:rsid w:val="00B70248"/>
    <w:rsid w:val="00B7101A"/>
    <w:rsid w:val="00B719A0"/>
    <w:rsid w:val="00B7360B"/>
    <w:rsid w:val="00B74239"/>
    <w:rsid w:val="00B751CA"/>
    <w:rsid w:val="00B7542A"/>
    <w:rsid w:val="00B7729E"/>
    <w:rsid w:val="00B774FF"/>
    <w:rsid w:val="00B806CD"/>
    <w:rsid w:val="00B83142"/>
    <w:rsid w:val="00B84AF1"/>
    <w:rsid w:val="00B84B9F"/>
    <w:rsid w:val="00B85001"/>
    <w:rsid w:val="00B860A0"/>
    <w:rsid w:val="00B862FF"/>
    <w:rsid w:val="00B8642F"/>
    <w:rsid w:val="00B86636"/>
    <w:rsid w:val="00B92034"/>
    <w:rsid w:val="00B93C32"/>
    <w:rsid w:val="00B942C2"/>
    <w:rsid w:val="00B965DC"/>
    <w:rsid w:val="00B969E3"/>
    <w:rsid w:val="00B9736D"/>
    <w:rsid w:val="00BA0AEA"/>
    <w:rsid w:val="00BA154D"/>
    <w:rsid w:val="00BA2887"/>
    <w:rsid w:val="00BA3D96"/>
    <w:rsid w:val="00BA3ECC"/>
    <w:rsid w:val="00BA3F0D"/>
    <w:rsid w:val="00BA463E"/>
    <w:rsid w:val="00BA4E49"/>
    <w:rsid w:val="00BA5968"/>
    <w:rsid w:val="00BA6625"/>
    <w:rsid w:val="00BB1162"/>
    <w:rsid w:val="00BB1A46"/>
    <w:rsid w:val="00BB3B27"/>
    <w:rsid w:val="00BB445F"/>
    <w:rsid w:val="00BB4FBF"/>
    <w:rsid w:val="00BB6DFF"/>
    <w:rsid w:val="00BC24B7"/>
    <w:rsid w:val="00BC3FEE"/>
    <w:rsid w:val="00BC50C0"/>
    <w:rsid w:val="00BD0B38"/>
    <w:rsid w:val="00BD0FA7"/>
    <w:rsid w:val="00BD21F2"/>
    <w:rsid w:val="00BD26E3"/>
    <w:rsid w:val="00BD4921"/>
    <w:rsid w:val="00BD50D3"/>
    <w:rsid w:val="00BD7418"/>
    <w:rsid w:val="00BD7D4F"/>
    <w:rsid w:val="00BE122C"/>
    <w:rsid w:val="00BE1845"/>
    <w:rsid w:val="00BE2D00"/>
    <w:rsid w:val="00BE2EB2"/>
    <w:rsid w:val="00BE5181"/>
    <w:rsid w:val="00BE7899"/>
    <w:rsid w:val="00BF043E"/>
    <w:rsid w:val="00BF0D92"/>
    <w:rsid w:val="00BF13AA"/>
    <w:rsid w:val="00BF1684"/>
    <w:rsid w:val="00BF2356"/>
    <w:rsid w:val="00BF33BD"/>
    <w:rsid w:val="00BF3C20"/>
    <w:rsid w:val="00BF3DD6"/>
    <w:rsid w:val="00BF467C"/>
    <w:rsid w:val="00BF4810"/>
    <w:rsid w:val="00BF5C18"/>
    <w:rsid w:val="00BF5C43"/>
    <w:rsid w:val="00BF67F5"/>
    <w:rsid w:val="00BF7713"/>
    <w:rsid w:val="00C00802"/>
    <w:rsid w:val="00C00A00"/>
    <w:rsid w:val="00C015DE"/>
    <w:rsid w:val="00C01FAE"/>
    <w:rsid w:val="00C038A7"/>
    <w:rsid w:val="00C04731"/>
    <w:rsid w:val="00C04F21"/>
    <w:rsid w:val="00C05251"/>
    <w:rsid w:val="00C0594F"/>
    <w:rsid w:val="00C06DC5"/>
    <w:rsid w:val="00C103D5"/>
    <w:rsid w:val="00C1475D"/>
    <w:rsid w:val="00C16FBB"/>
    <w:rsid w:val="00C22482"/>
    <w:rsid w:val="00C2259F"/>
    <w:rsid w:val="00C23377"/>
    <w:rsid w:val="00C243AB"/>
    <w:rsid w:val="00C262FC"/>
    <w:rsid w:val="00C2665F"/>
    <w:rsid w:val="00C268C6"/>
    <w:rsid w:val="00C2773E"/>
    <w:rsid w:val="00C314D1"/>
    <w:rsid w:val="00C34067"/>
    <w:rsid w:val="00C345A3"/>
    <w:rsid w:val="00C34DF3"/>
    <w:rsid w:val="00C34DFF"/>
    <w:rsid w:val="00C355C0"/>
    <w:rsid w:val="00C3598C"/>
    <w:rsid w:val="00C35EA9"/>
    <w:rsid w:val="00C362D4"/>
    <w:rsid w:val="00C40C4B"/>
    <w:rsid w:val="00C42D66"/>
    <w:rsid w:val="00C453D9"/>
    <w:rsid w:val="00C457B2"/>
    <w:rsid w:val="00C45EE6"/>
    <w:rsid w:val="00C46373"/>
    <w:rsid w:val="00C46912"/>
    <w:rsid w:val="00C46D9B"/>
    <w:rsid w:val="00C5162B"/>
    <w:rsid w:val="00C568A3"/>
    <w:rsid w:val="00C57539"/>
    <w:rsid w:val="00C5759C"/>
    <w:rsid w:val="00C5770B"/>
    <w:rsid w:val="00C600F1"/>
    <w:rsid w:val="00C60C12"/>
    <w:rsid w:val="00C64536"/>
    <w:rsid w:val="00C65961"/>
    <w:rsid w:val="00C65F2C"/>
    <w:rsid w:val="00C668EB"/>
    <w:rsid w:val="00C70007"/>
    <w:rsid w:val="00C70F37"/>
    <w:rsid w:val="00C726D8"/>
    <w:rsid w:val="00C72F44"/>
    <w:rsid w:val="00C74C25"/>
    <w:rsid w:val="00C76E5A"/>
    <w:rsid w:val="00C77596"/>
    <w:rsid w:val="00C77D17"/>
    <w:rsid w:val="00C81198"/>
    <w:rsid w:val="00C83319"/>
    <w:rsid w:val="00C839D1"/>
    <w:rsid w:val="00C8457E"/>
    <w:rsid w:val="00C870FB"/>
    <w:rsid w:val="00C87E2A"/>
    <w:rsid w:val="00C92573"/>
    <w:rsid w:val="00C9300C"/>
    <w:rsid w:val="00C9433F"/>
    <w:rsid w:val="00C975F8"/>
    <w:rsid w:val="00C97B35"/>
    <w:rsid w:val="00C97B82"/>
    <w:rsid w:val="00CA01F4"/>
    <w:rsid w:val="00CA1726"/>
    <w:rsid w:val="00CA39CB"/>
    <w:rsid w:val="00CA5556"/>
    <w:rsid w:val="00CA62D3"/>
    <w:rsid w:val="00CA6374"/>
    <w:rsid w:val="00CA64E8"/>
    <w:rsid w:val="00CB0009"/>
    <w:rsid w:val="00CB04AF"/>
    <w:rsid w:val="00CB41B5"/>
    <w:rsid w:val="00CB70FF"/>
    <w:rsid w:val="00CC41D9"/>
    <w:rsid w:val="00CC4A1E"/>
    <w:rsid w:val="00CD07C8"/>
    <w:rsid w:val="00CD0EA9"/>
    <w:rsid w:val="00CD3398"/>
    <w:rsid w:val="00CD37A7"/>
    <w:rsid w:val="00CD41B8"/>
    <w:rsid w:val="00CD4604"/>
    <w:rsid w:val="00CD5673"/>
    <w:rsid w:val="00CD5B68"/>
    <w:rsid w:val="00CE019D"/>
    <w:rsid w:val="00CE0F4B"/>
    <w:rsid w:val="00CE1743"/>
    <w:rsid w:val="00CE1786"/>
    <w:rsid w:val="00CE2971"/>
    <w:rsid w:val="00CE4AA8"/>
    <w:rsid w:val="00CE5200"/>
    <w:rsid w:val="00CE5464"/>
    <w:rsid w:val="00CE574E"/>
    <w:rsid w:val="00CE5B80"/>
    <w:rsid w:val="00CE6997"/>
    <w:rsid w:val="00CE7E69"/>
    <w:rsid w:val="00CF141D"/>
    <w:rsid w:val="00CF162D"/>
    <w:rsid w:val="00CF2E02"/>
    <w:rsid w:val="00CF4CC2"/>
    <w:rsid w:val="00CF5198"/>
    <w:rsid w:val="00CF6510"/>
    <w:rsid w:val="00D008F4"/>
    <w:rsid w:val="00D00EC7"/>
    <w:rsid w:val="00D035E5"/>
    <w:rsid w:val="00D04CBB"/>
    <w:rsid w:val="00D05BA9"/>
    <w:rsid w:val="00D0650D"/>
    <w:rsid w:val="00D07047"/>
    <w:rsid w:val="00D07317"/>
    <w:rsid w:val="00D07C79"/>
    <w:rsid w:val="00D10D8A"/>
    <w:rsid w:val="00D10DBB"/>
    <w:rsid w:val="00D10ED7"/>
    <w:rsid w:val="00D132AF"/>
    <w:rsid w:val="00D13931"/>
    <w:rsid w:val="00D15EFF"/>
    <w:rsid w:val="00D20BAE"/>
    <w:rsid w:val="00D21A5E"/>
    <w:rsid w:val="00D24F34"/>
    <w:rsid w:val="00D32828"/>
    <w:rsid w:val="00D34ABE"/>
    <w:rsid w:val="00D36579"/>
    <w:rsid w:val="00D37588"/>
    <w:rsid w:val="00D40AF3"/>
    <w:rsid w:val="00D4100E"/>
    <w:rsid w:val="00D415F4"/>
    <w:rsid w:val="00D41E07"/>
    <w:rsid w:val="00D41F2A"/>
    <w:rsid w:val="00D41FC7"/>
    <w:rsid w:val="00D42E24"/>
    <w:rsid w:val="00D43B97"/>
    <w:rsid w:val="00D44641"/>
    <w:rsid w:val="00D45C40"/>
    <w:rsid w:val="00D47011"/>
    <w:rsid w:val="00D47916"/>
    <w:rsid w:val="00D47B5F"/>
    <w:rsid w:val="00D47E81"/>
    <w:rsid w:val="00D5001B"/>
    <w:rsid w:val="00D50551"/>
    <w:rsid w:val="00D50F21"/>
    <w:rsid w:val="00D51982"/>
    <w:rsid w:val="00D51BDB"/>
    <w:rsid w:val="00D51D0C"/>
    <w:rsid w:val="00D533D5"/>
    <w:rsid w:val="00D53D88"/>
    <w:rsid w:val="00D549B2"/>
    <w:rsid w:val="00D54D06"/>
    <w:rsid w:val="00D54D6B"/>
    <w:rsid w:val="00D57098"/>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2249"/>
    <w:rsid w:val="00D83923"/>
    <w:rsid w:val="00D85C23"/>
    <w:rsid w:val="00D86845"/>
    <w:rsid w:val="00D86E20"/>
    <w:rsid w:val="00D872CB"/>
    <w:rsid w:val="00D87CD9"/>
    <w:rsid w:val="00D90E10"/>
    <w:rsid w:val="00D94751"/>
    <w:rsid w:val="00D951C0"/>
    <w:rsid w:val="00D956B5"/>
    <w:rsid w:val="00D96970"/>
    <w:rsid w:val="00D96C55"/>
    <w:rsid w:val="00D96DD9"/>
    <w:rsid w:val="00D97494"/>
    <w:rsid w:val="00DA096A"/>
    <w:rsid w:val="00DA0F17"/>
    <w:rsid w:val="00DA19BE"/>
    <w:rsid w:val="00DA40C1"/>
    <w:rsid w:val="00DA4DF6"/>
    <w:rsid w:val="00DA4FA3"/>
    <w:rsid w:val="00DA5541"/>
    <w:rsid w:val="00DA5D57"/>
    <w:rsid w:val="00DA735E"/>
    <w:rsid w:val="00DA7FE0"/>
    <w:rsid w:val="00DB1AA7"/>
    <w:rsid w:val="00DB4A94"/>
    <w:rsid w:val="00DB552D"/>
    <w:rsid w:val="00DB5920"/>
    <w:rsid w:val="00DB5A5F"/>
    <w:rsid w:val="00DB7314"/>
    <w:rsid w:val="00DC0385"/>
    <w:rsid w:val="00DC1878"/>
    <w:rsid w:val="00DC61E3"/>
    <w:rsid w:val="00DC6710"/>
    <w:rsid w:val="00DC73F7"/>
    <w:rsid w:val="00DC75CB"/>
    <w:rsid w:val="00DC7FCC"/>
    <w:rsid w:val="00DD04D8"/>
    <w:rsid w:val="00DD0C45"/>
    <w:rsid w:val="00DD2D4C"/>
    <w:rsid w:val="00DD35FE"/>
    <w:rsid w:val="00DD52EE"/>
    <w:rsid w:val="00DD59D1"/>
    <w:rsid w:val="00DD7849"/>
    <w:rsid w:val="00DD7E2D"/>
    <w:rsid w:val="00DE0303"/>
    <w:rsid w:val="00DE124A"/>
    <w:rsid w:val="00DE1303"/>
    <w:rsid w:val="00DE2EA9"/>
    <w:rsid w:val="00DE3E65"/>
    <w:rsid w:val="00DE536A"/>
    <w:rsid w:val="00DE54AB"/>
    <w:rsid w:val="00DE5CA1"/>
    <w:rsid w:val="00DE5DD2"/>
    <w:rsid w:val="00DE6A8A"/>
    <w:rsid w:val="00DE7823"/>
    <w:rsid w:val="00DF0405"/>
    <w:rsid w:val="00DF1224"/>
    <w:rsid w:val="00DF198B"/>
    <w:rsid w:val="00DF27D9"/>
    <w:rsid w:val="00DF2ED4"/>
    <w:rsid w:val="00DF2FE1"/>
    <w:rsid w:val="00DF451D"/>
    <w:rsid w:val="00DF4E8A"/>
    <w:rsid w:val="00DF6087"/>
    <w:rsid w:val="00DF6315"/>
    <w:rsid w:val="00DF6A9A"/>
    <w:rsid w:val="00DF7362"/>
    <w:rsid w:val="00DF7BBD"/>
    <w:rsid w:val="00E01C94"/>
    <w:rsid w:val="00E02577"/>
    <w:rsid w:val="00E02D56"/>
    <w:rsid w:val="00E04D9A"/>
    <w:rsid w:val="00E063E1"/>
    <w:rsid w:val="00E07CD8"/>
    <w:rsid w:val="00E104FE"/>
    <w:rsid w:val="00E12E9A"/>
    <w:rsid w:val="00E13063"/>
    <w:rsid w:val="00E13E11"/>
    <w:rsid w:val="00E17080"/>
    <w:rsid w:val="00E17829"/>
    <w:rsid w:val="00E17F27"/>
    <w:rsid w:val="00E203A7"/>
    <w:rsid w:val="00E20512"/>
    <w:rsid w:val="00E22BC2"/>
    <w:rsid w:val="00E23095"/>
    <w:rsid w:val="00E23459"/>
    <w:rsid w:val="00E23962"/>
    <w:rsid w:val="00E25BEA"/>
    <w:rsid w:val="00E263E6"/>
    <w:rsid w:val="00E276C4"/>
    <w:rsid w:val="00E277D6"/>
    <w:rsid w:val="00E27E03"/>
    <w:rsid w:val="00E30C41"/>
    <w:rsid w:val="00E32ED3"/>
    <w:rsid w:val="00E34D81"/>
    <w:rsid w:val="00E3729F"/>
    <w:rsid w:val="00E40D7E"/>
    <w:rsid w:val="00E42CC9"/>
    <w:rsid w:val="00E433A7"/>
    <w:rsid w:val="00E4396F"/>
    <w:rsid w:val="00E43F30"/>
    <w:rsid w:val="00E4576E"/>
    <w:rsid w:val="00E5037E"/>
    <w:rsid w:val="00E50AB6"/>
    <w:rsid w:val="00E522FF"/>
    <w:rsid w:val="00E537F7"/>
    <w:rsid w:val="00E5558E"/>
    <w:rsid w:val="00E5604E"/>
    <w:rsid w:val="00E560FE"/>
    <w:rsid w:val="00E56842"/>
    <w:rsid w:val="00E56A2D"/>
    <w:rsid w:val="00E571F2"/>
    <w:rsid w:val="00E57EBF"/>
    <w:rsid w:val="00E60A22"/>
    <w:rsid w:val="00E6168A"/>
    <w:rsid w:val="00E62D71"/>
    <w:rsid w:val="00E63C28"/>
    <w:rsid w:val="00E647CA"/>
    <w:rsid w:val="00E6506D"/>
    <w:rsid w:val="00E67784"/>
    <w:rsid w:val="00E70C0D"/>
    <w:rsid w:val="00E712BF"/>
    <w:rsid w:val="00E715D9"/>
    <w:rsid w:val="00E7193E"/>
    <w:rsid w:val="00E721F5"/>
    <w:rsid w:val="00E7269C"/>
    <w:rsid w:val="00E7290F"/>
    <w:rsid w:val="00E72D6D"/>
    <w:rsid w:val="00E7342A"/>
    <w:rsid w:val="00E73549"/>
    <w:rsid w:val="00E7676C"/>
    <w:rsid w:val="00E76862"/>
    <w:rsid w:val="00E82DA8"/>
    <w:rsid w:val="00E8352E"/>
    <w:rsid w:val="00E83727"/>
    <w:rsid w:val="00E84822"/>
    <w:rsid w:val="00E84AD2"/>
    <w:rsid w:val="00E853E2"/>
    <w:rsid w:val="00E853FE"/>
    <w:rsid w:val="00E85484"/>
    <w:rsid w:val="00E85C98"/>
    <w:rsid w:val="00E86572"/>
    <w:rsid w:val="00E904D7"/>
    <w:rsid w:val="00E91289"/>
    <w:rsid w:val="00E94891"/>
    <w:rsid w:val="00E94AF4"/>
    <w:rsid w:val="00E953DF"/>
    <w:rsid w:val="00E95E84"/>
    <w:rsid w:val="00E96730"/>
    <w:rsid w:val="00E96F61"/>
    <w:rsid w:val="00E974DB"/>
    <w:rsid w:val="00E97845"/>
    <w:rsid w:val="00EA1EC6"/>
    <w:rsid w:val="00EA5322"/>
    <w:rsid w:val="00EA6BCD"/>
    <w:rsid w:val="00EB0176"/>
    <w:rsid w:val="00EB1273"/>
    <w:rsid w:val="00EB16F2"/>
    <w:rsid w:val="00EB374D"/>
    <w:rsid w:val="00EB4268"/>
    <w:rsid w:val="00EB4AF5"/>
    <w:rsid w:val="00EB5382"/>
    <w:rsid w:val="00EB5A07"/>
    <w:rsid w:val="00EB6528"/>
    <w:rsid w:val="00EB6B3E"/>
    <w:rsid w:val="00EC3596"/>
    <w:rsid w:val="00EC4D79"/>
    <w:rsid w:val="00EC584A"/>
    <w:rsid w:val="00EC724A"/>
    <w:rsid w:val="00ED0C77"/>
    <w:rsid w:val="00ED0F99"/>
    <w:rsid w:val="00ED2626"/>
    <w:rsid w:val="00ED2CF4"/>
    <w:rsid w:val="00ED414F"/>
    <w:rsid w:val="00ED41CE"/>
    <w:rsid w:val="00ED65DD"/>
    <w:rsid w:val="00EE0CBF"/>
    <w:rsid w:val="00EE0FA1"/>
    <w:rsid w:val="00EE15EF"/>
    <w:rsid w:val="00EE1CE1"/>
    <w:rsid w:val="00EE251D"/>
    <w:rsid w:val="00EE255A"/>
    <w:rsid w:val="00EE3CCF"/>
    <w:rsid w:val="00EE3D95"/>
    <w:rsid w:val="00EE4184"/>
    <w:rsid w:val="00EE42BD"/>
    <w:rsid w:val="00EE50BE"/>
    <w:rsid w:val="00EE6056"/>
    <w:rsid w:val="00EE640E"/>
    <w:rsid w:val="00EE754B"/>
    <w:rsid w:val="00EE7D33"/>
    <w:rsid w:val="00EF0C63"/>
    <w:rsid w:val="00EF37BD"/>
    <w:rsid w:val="00EF5286"/>
    <w:rsid w:val="00EF5B68"/>
    <w:rsid w:val="00EF6B11"/>
    <w:rsid w:val="00EF71C7"/>
    <w:rsid w:val="00F006C3"/>
    <w:rsid w:val="00F007B6"/>
    <w:rsid w:val="00F0192B"/>
    <w:rsid w:val="00F021AB"/>
    <w:rsid w:val="00F03037"/>
    <w:rsid w:val="00F03259"/>
    <w:rsid w:val="00F048C1"/>
    <w:rsid w:val="00F058CE"/>
    <w:rsid w:val="00F076CB"/>
    <w:rsid w:val="00F07984"/>
    <w:rsid w:val="00F10716"/>
    <w:rsid w:val="00F133D8"/>
    <w:rsid w:val="00F137DB"/>
    <w:rsid w:val="00F13FCC"/>
    <w:rsid w:val="00F143F5"/>
    <w:rsid w:val="00F15609"/>
    <w:rsid w:val="00F15BC3"/>
    <w:rsid w:val="00F164BE"/>
    <w:rsid w:val="00F16CAF"/>
    <w:rsid w:val="00F17E3D"/>
    <w:rsid w:val="00F20E4A"/>
    <w:rsid w:val="00F2217C"/>
    <w:rsid w:val="00F23A1F"/>
    <w:rsid w:val="00F240AE"/>
    <w:rsid w:val="00F240C7"/>
    <w:rsid w:val="00F26A4F"/>
    <w:rsid w:val="00F26D12"/>
    <w:rsid w:val="00F30668"/>
    <w:rsid w:val="00F30C85"/>
    <w:rsid w:val="00F313B0"/>
    <w:rsid w:val="00F320B5"/>
    <w:rsid w:val="00F323CE"/>
    <w:rsid w:val="00F3299A"/>
    <w:rsid w:val="00F32D83"/>
    <w:rsid w:val="00F33DDF"/>
    <w:rsid w:val="00F346ED"/>
    <w:rsid w:val="00F34DE8"/>
    <w:rsid w:val="00F36639"/>
    <w:rsid w:val="00F377F0"/>
    <w:rsid w:val="00F37A6E"/>
    <w:rsid w:val="00F4074C"/>
    <w:rsid w:val="00F408C7"/>
    <w:rsid w:val="00F40A11"/>
    <w:rsid w:val="00F42ACF"/>
    <w:rsid w:val="00F440BE"/>
    <w:rsid w:val="00F462E4"/>
    <w:rsid w:val="00F46CBE"/>
    <w:rsid w:val="00F52A1B"/>
    <w:rsid w:val="00F539D9"/>
    <w:rsid w:val="00F55A5A"/>
    <w:rsid w:val="00F55B40"/>
    <w:rsid w:val="00F56593"/>
    <w:rsid w:val="00F56C34"/>
    <w:rsid w:val="00F61821"/>
    <w:rsid w:val="00F61D58"/>
    <w:rsid w:val="00F62168"/>
    <w:rsid w:val="00F627D4"/>
    <w:rsid w:val="00F62956"/>
    <w:rsid w:val="00F62EF7"/>
    <w:rsid w:val="00F649FB"/>
    <w:rsid w:val="00F64B5E"/>
    <w:rsid w:val="00F65F89"/>
    <w:rsid w:val="00F67E90"/>
    <w:rsid w:val="00F70330"/>
    <w:rsid w:val="00F725AD"/>
    <w:rsid w:val="00F73DD2"/>
    <w:rsid w:val="00F7450E"/>
    <w:rsid w:val="00F76739"/>
    <w:rsid w:val="00F7767F"/>
    <w:rsid w:val="00F7778E"/>
    <w:rsid w:val="00F8034B"/>
    <w:rsid w:val="00F82A9E"/>
    <w:rsid w:val="00F82DA1"/>
    <w:rsid w:val="00F83018"/>
    <w:rsid w:val="00F84C0C"/>
    <w:rsid w:val="00F86D23"/>
    <w:rsid w:val="00F873ED"/>
    <w:rsid w:val="00F87915"/>
    <w:rsid w:val="00F90584"/>
    <w:rsid w:val="00F91371"/>
    <w:rsid w:val="00F91969"/>
    <w:rsid w:val="00F9373D"/>
    <w:rsid w:val="00F943F3"/>
    <w:rsid w:val="00F969AD"/>
    <w:rsid w:val="00F96B3C"/>
    <w:rsid w:val="00FA22D8"/>
    <w:rsid w:val="00FA27EC"/>
    <w:rsid w:val="00FA62A9"/>
    <w:rsid w:val="00FA64AF"/>
    <w:rsid w:val="00FA6BF8"/>
    <w:rsid w:val="00FA740E"/>
    <w:rsid w:val="00FB14F7"/>
    <w:rsid w:val="00FB1E25"/>
    <w:rsid w:val="00FB25D2"/>
    <w:rsid w:val="00FB392D"/>
    <w:rsid w:val="00FB4DCF"/>
    <w:rsid w:val="00FB6FF1"/>
    <w:rsid w:val="00FB77B2"/>
    <w:rsid w:val="00FB7C03"/>
    <w:rsid w:val="00FC07C4"/>
    <w:rsid w:val="00FC0B40"/>
    <w:rsid w:val="00FC0CA4"/>
    <w:rsid w:val="00FC1F37"/>
    <w:rsid w:val="00FC2575"/>
    <w:rsid w:val="00FC3777"/>
    <w:rsid w:val="00FC3B1F"/>
    <w:rsid w:val="00FC7D32"/>
    <w:rsid w:val="00FD0BA9"/>
    <w:rsid w:val="00FD0D6B"/>
    <w:rsid w:val="00FD11A7"/>
    <w:rsid w:val="00FD1F19"/>
    <w:rsid w:val="00FD28DB"/>
    <w:rsid w:val="00FD4214"/>
    <w:rsid w:val="00FD4313"/>
    <w:rsid w:val="00FD45FB"/>
    <w:rsid w:val="00FD52EC"/>
    <w:rsid w:val="00FD6184"/>
    <w:rsid w:val="00FD67D1"/>
    <w:rsid w:val="00FD6E9C"/>
    <w:rsid w:val="00FE194D"/>
    <w:rsid w:val="00FE1A07"/>
    <w:rsid w:val="00FE1A30"/>
    <w:rsid w:val="00FE1AE1"/>
    <w:rsid w:val="00FE214C"/>
    <w:rsid w:val="00FE237D"/>
    <w:rsid w:val="00FE502C"/>
    <w:rsid w:val="00FE547F"/>
    <w:rsid w:val="00FE57C8"/>
    <w:rsid w:val="00FE6827"/>
    <w:rsid w:val="00FE7988"/>
    <w:rsid w:val="00FE7E89"/>
    <w:rsid w:val="00FF091C"/>
    <w:rsid w:val="00FF18D5"/>
    <w:rsid w:val="00FF2C5A"/>
    <w:rsid w:val="00FF31D0"/>
    <w:rsid w:val="00FF3491"/>
    <w:rsid w:val="00FF4FDD"/>
    <w:rsid w:val="00FF5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BAD99"/>
  <w15:docId w15:val="{CBAE8EB3-5E65-4E9F-9B2D-A25BE124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B2"/>
  </w:style>
  <w:style w:type="paragraph" w:styleId="10">
    <w:name w:val="heading 1"/>
    <w:basedOn w:val="a"/>
    <w:next w:val="a"/>
    <w:link w:val="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2"/>
    <w:uiPriority w:val="99"/>
    <w:unhideWhenUsed/>
    <w:qFormat/>
    <w:rsid w:val="005C287C"/>
    <w:pPr>
      <w:spacing w:after="0" w:line="240" w:lineRule="auto"/>
    </w:pPr>
    <w:rPr>
      <w:sz w:val="20"/>
      <w:szCs w:val="20"/>
    </w:rPr>
  </w:style>
  <w:style w:type="character" w:customStyle="1" w:styleId="Char2">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7"/>
    <w:uiPriority w:val="99"/>
    <w:rsid w:val="005C287C"/>
    <w:rPr>
      <w:sz w:val="20"/>
      <w:szCs w:val="20"/>
    </w:rPr>
  </w:style>
  <w:style w:type="character" w:styleId="a8">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link w:val="Char3"/>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customStyle="1" w:styleId="2-51">
    <w:name w:val="Πίνακας 2 με πλέγμα - Έμφαση 51"/>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4"/>
    <w:uiPriority w:val="99"/>
    <w:semiHidden/>
    <w:unhideWhenUsed/>
    <w:rsid w:val="005C287C"/>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C287C"/>
    <w:rPr>
      <w:rFonts w:ascii="Segoe UI" w:hAnsi="Segoe UI" w:cs="Segoe UI"/>
      <w:sz w:val="18"/>
      <w:szCs w:val="18"/>
    </w:rPr>
  </w:style>
  <w:style w:type="table" w:customStyle="1" w:styleId="110">
    <w:name w:val="Απλός πίνακας 1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5"/>
    <w:uiPriority w:val="99"/>
    <w:semiHidden/>
    <w:unhideWhenUsed/>
    <w:rsid w:val="00A1225D"/>
    <w:pPr>
      <w:spacing w:line="240" w:lineRule="auto"/>
    </w:pPr>
    <w:rPr>
      <w:sz w:val="20"/>
      <w:szCs w:val="20"/>
    </w:rPr>
  </w:style>
  <w:style w:type="character" w:customStyle="1" w:styleId="Char5">
    <w:name w:val="Κείμενο σχολίου Char"/>
    <w:basedOn w:val="a0"/>
    <w:link w:val="af0"/>
    <w:uiPriority w:val="99"/>
    <w:semiHidden/>
    <w:rsid w:val="00A1225D"/>
    <w:rPr>
      <w:sz w:val="20"/>
      <w:szCs w:val="20"/>
    </w:rPr>
  </w:style>
  <w:style w:type="paragraph" w:styleId="af1">
    <w:name w:val="annotation subject"/>
    <w:basedOn w:val="af0"/>
    <w:next w:val="af0"/>
    <w:link w:val="Char6"/>
    <w:uiPriority w:val="99"/>
    <w:semiHidden/>
    <w:unhideWhenUsed/>
    <w:rsid w:val="00A1225D"/>
    <w:rPr>
      <w:b/>
      <w:bCs/>
    </w:rPr>
  </w:style>
  <w:style w:type="character" w:customStyle="1" w:styleId="Char6">
    <w:name w:val="Θέμα σχολίου Char"/>
    <w:basedOn w:val="Char5"/>
    <w:link w:val="af1"/>
    <w:uiPriority w:val="99"/>
    <w:semiHidden/>
    <w:rsid w:val="00A1225D"/>
    <w:rPr>
      <w:b/>
      <w:bCs/>
      <w:sz w:val="20"/>
      <w:szCs w:val="20"/>
    </w:rPr>
  </w:style>
  <w:style w:type="table" w:customStyle="1" w:styleId="4-61">
    <w:name w:val="Πίνακας 4 με πλέγμα - Έμφαση 61"/>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customStyle="1" w:styleId="4-41">
    <w:name w:val="Πίνακας 4 με πλέγμα - Έμφαση 41"/>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customStyle="1" w:styleId="111">
    <w:name w:val="Πίνακας 1 με ανοιχτόχρωμο πλέγμα1"/>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0">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0">
    <w:name w:val="Απλός πίνακας 21"/>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8"/>
    <w:uiPriority w:val="99"/>
    <w:rsid w:val="00B86636"/>
    <w:pPr>
      <w:spacing w:after="0" w:line="240" w:lineRule="exact"/>
      <w:jc w:val="both"/>
    </w:pPr>
    <w:rPr>
      <w:vertAlign w:val="superscript"/>
    </w:rPr>
  </w:style>
  <w:style w:type="paragraph" w:styleId="af2">
    <w:name w:val="Revision"/>
    <w:hidden/>
    <w:uiPriority w:val="99"/>
    <w:semiHidden/>
    <w:rsid w:val="004E27F8"/>
    <w:pPr>
      <w:spacing w:after="0" w:line="240" w:lineRule="auto"/>
    </w:pPr>
  </w:style>
  <w:style w:type="character" w:customStyle="1" w:styleId="Char3">
    <w:name w:val="Παράγραφος λίστας Char"/>
    <w:basedOn w:val="a0"/>
    <w:link w:val="a9"/>
    <w:uiPriority w:val="34"/>
    <w:rsid w:val="005F5798"/>
  </w:style>
  <w:style w:type="paragraph" w:styleId="af3">
    <w:name w:val="Subtitle"/>
    <w:basedOn w:val="a"/>
    <w:next w:val="a"/>
    <w:link w:val="Char7"/>
    <w:qFormat/>
    <w:rsid w:val="00076819"/>
    <w:pPr>
      <w:numPr>
        <w:ilvl w:val="1"/>
      </w:numPr>
      <w:spacing w:line="276" w:lineRule="auto"/>
      <w:jc w:val="both"/>
    </w:pPr>
    <w:rPr>
      <w:rFonts w:eastAsiaTheme="minorEastAsia"/>
      <w:color w:val="5A5A5A" w:themeColor="text1" w:themeTint="A5"/>
      <w:spacing w:val="15"/>
      <w:lang w:val="el-GR" w:eastAsia="el-GR"/>
    </w:rPr>
  </w:style>
  <w:style w:type="character" w:customStyle="1" w:styleId="Char7">
    <w:name w:val="Υπότιτλος Char"/>
    <w:basedOn w:val="a0"/>
    <w:link w:val="af3"/>
    <w:rsid w:val="00076819"/>
    <w:rPr>
      <w:rFonts w:eastAsiaTheme="minorEastAsia"/>
      <w:color w:val="5A5A5A" w:themeColor="text1" w:themeTint="A5"/>
      <w:spacing w:val="15"/>
      <w:lang w:val="el-GR" w:eastAsia="el-GR"/>
    </w:rPr>
  </w:style>
  <w:style w:type="paragraph" w:styleId="af4">
    <w:name w:val="No Spacing"/>
    <w:uiPriority w:val="1"/>
    <w:qFormat/>
    <w:rsid w:val="00462C69"/>
    <w:pPr>
      <w:spacing w:after="0" w:line="240" w:lineRule="auto"/>
    </w:pPr>
    <w:rPr>
      <w:rFonts w:ascii="Times New Roman" w:eastAsia="Times New Roman" w:hAnsi="Times New Roman"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1978337571">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GRAPHS_DELTIO%20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13;&#957;&#964;&#943;&#947;&#961;&#945;&#966;&#959;%20&#964;&#959;&#965;%20hlth_dpe040_&#917;&#925;&#932;&#913;&#931;&#919;%20&#917;&#929;&#915;&#913;&#931;&#921;&#913;&#93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34;&#932;&#937;&#935;&#917;&#921;&#913;%20&#922;&#913;&#921;%20&#913;&#928;&#927;&#922;&#923;&#917;&#921;&#931;&#924;&#927;&#931;_&#919;&#923;&#921;&#922;&#921;&#913;_201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917;&#922;&#920;&#917;&#931;&#919;%202020\&#931;&#932;&#913;&#932;&#921;&#931;&#932;&#921;&#922;&#913;\&#913;&#925;&#917;&#922;&#932;&#927;%20&#914;&#921;&#927;&#932;&#921;&#922;&#927;\&#934;&#932;&#937;&#935;&#917;&#921;&#913;%20&#922;&#913;&#921;%20&#913;&#928;&#927;&#922;&#923;&#917;&#921;&#931;&#924;&#927;&#931;\&#934;&#932;&#937;&#935;&#917;&#921;&#913;_&#913;&#928;&#927;&#922;&#923;&#917;&#921;&#931;&#924;&#927;&#931;_&#917;&#922;&#920;&#917;&#931;&#9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GRAPHS_DELTIO%2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54;&#953;&#957;&#948;&#965;&#957;&#959;&#962;%20&#966;&#964;&#974;&#967;&#949;&#953;&#945;&#962;%20&#956;&#949;&#964;&#940;%20&#964;&#953;&#962;%20&#956;&#949;&#964;&#945;&#946;&#953;&#946;&#945;&#963;&#949;&#953;&#96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risk%20of%20poverty_16-6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13;&#957;&#964;&#943;&#947;&#961;&#945;&#966;&#959;%20&#964;&#959;&#965;%20hlth_dpe030-3_&#960;&#961;&#959;%20&#956;&#949;&#964;&#945;&#946;&#953;&#946;&#940;&#963;&#949;&#969;&#957;.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33;&#923;&#921;&#922;&#917;&#931;%20&#931;&#932;&#917;&#929;&#919;&#931;&#917;&#921;&#931;_16+.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esamea_&#916;&#949;&#954;&#949;&#956;&#946;&#961;&#953;&#959;&#962;_2020\&#933;&#923;&#921;&#922;&#917;&#931;%20&#931;&#932;&#917;&#929;&#919;&#931;&#917;&#921;&#931;_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2.777777777777803E-3"/>
                  <c:y val="1.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F0-4C59-83F2-3AAB1F51AF0B}"/>
                </c:ext>
              </c:extLst>
            </c:dLbl>
            <c:dLbl>
              <c:idx val="2"/>
              <c:layout>
                <c:manualLayout>
                  <c:x val="0"/>
                  <c:y val="-1.7777777777777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F0-4C59-83F2-3AAB1F51AF0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1'!$A$11:$A$13</c:f>
              <c:strCache>
                <c:ptCount val="3"/>
                <c:pt idx="0">
                  <c:v>Σοβαρή αναπηρία</c:v>
                </c:pt>
                <c:pt idx="1">
                  <c:v>Μέτρια αναπηρία</c:v>
                </c:pt>
                <c:pt idx="2">
                  <c:v>Χωρίς αναπηρία</c:v>
                </c:pt>
              </c:strCache>
            </c:strRef>
          </c:cat>
          <c:val>
            <c:numRef>
              <c:f>'ΓΡΑΦΗΜΑ 1'!$B$11:$B$13</c:f>
              <c:numCache>
                <c:formatCode>0.0%</c:formatCode>
                <c:ptCount val="3"/>
                <c:pt idx="0">
                  <c:v>0.36678171652817299</c:v>
                </c:pt>
                <c:pt idx="1">
                  <c:v>0.30663067868249011</c:v>
                </c:pt>
                <c:pt idx="2">
                  <c:v>0.28958548282094354</c:v>
                </c:pt>
              </c:numCache>
            </c:numRef>
          </c:val>
          <c:extLst>
            <c:ext xmlns:c16="http://schemas.microsoft.com/office/drawing/2014/chart" uri="{C3380CC4-5D6E-409C-BE32-E72D297353CC}">
              <c16:uniqueId val="{00000000-5B6B-4210-8981-7A8954F33875}"/>
            </c:ext>
          </c:extLst>
        </c:ser>
        <c:dLbls>
          <c:showLegendKey val="0"/>
          <c:showVal val="0"/>
          <c:showCatName val="0"/>
          <c:showSerName val="0"/>
          <c:showPercent val="0"/>
          <c:showBubbleSize val="0"/>
        </c:dLbls>
        <c:gapWidth val="219"/>
        <c:overlap val="-27"/>
        <c:axId val="109787776"/>
        <c:axId val="109797760"/>
      </c:barChart>
      <c:catAx>
        <c:axId val="10978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797760"/>
        <c:crosses val="autoZero"/>
        <c:auto val="1"/>
        <c:lblAlgn val="ctr"/>
        <c:lblOffset val="100"/>
        <c:noMultiLvlLbl val="0"/>
      </c:catAx>
      <c:valAx>
        <c:axId val="109797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787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(2)'!$A$13</c:f>
              <c:strCache>
                <c:ptCount val="1"/>
                <c:pt idx="0">
                  <c:v>Σοβαρή αναπηρία</c:v>
                </c:pt>
              </c:strCache>
            </c:strRef>
          </c:tx>
          <c:marker>
            <c:symbol val="none"/>
          </c:marker>
          <c:dLbls>
            <c:dLbl>
              <c:idx val="0"/>
              <c:layout>
                <c:manualLayout>
                  <c:x val="0"/>
                  <c:y val="-2.5784271594327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03-4170-A7FA-9A8719007520}"/>
                </c:ext>
              </c:extLst>
            </c:dLbl>
            <c:dLbl>
              <c:idx val="1"/>
              <c:layout>
                <c:manualLayout>
                  <c:x val="0"/>
                  <c:y val="-1.2892135797163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703-4170-A7FA-9A8719007520}"/>
                </c:ext>
              </c:extLst>
            </c:dLbl>
            <c:dLbl>
              <c:idx val="2"/>
              <c:layout>
                <c:manualLayout>
                  <c:x val="0"/>
                  <c:y val="-3.8676407391491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03-4170-A7FA-9A8719007520}"/>
                </c:ext>
              </c:extLst>
            </c:dLbl>
            <c:dLbl>
              <c:idx val="3"/>
              <c:layout>
                <c:manualLayout>
                  <c:x val="-4.617914747493398E-17"/>
                  <c:y val="-3.0081650193382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03-4170-A7FA-9A8719007520}"/>
                </c:ext>
              </c:extLst>
            </c:dLbl>
            <c:dLbl>
              <c:idx val="6"/>
              <c:layout>
                <c:manualLayout>
                  <c:x val="-9.2358294949867961E-17"/>
                  <c:y val="-2.1486892995272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03-4170-A7FA-9A8719007520}"/>
                </c:ext>
              </c:extLst>
            </c:dLbl>
            <c:dLbl>
              <c:idx val="7"/>
              <c:layout>
                <c:manualLayout>
                  <c:x val="0"/>
                  <c:y val="-3.437902879243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03-4170-A7FA-9A8719007520}"/>
                </c:ext>
              </c:extLst>
            </c:dLbl>
            <c:spPr>
              <a:noFill/>
              <a:ln>
                <a:noFill/>
              </a:ln>
              <a:effectLst/>
            </c:spPr>
            <c:txPr>
              <a:bodyPr wrap="square" lIns="38100" tIns="19050" rIns="38100" bIns="19050" anchor="ctr">
                <a:spAutoFit/>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(2)'!$B$13:$K$13</c:f>
              <c:numCache>
                <c:formatCode>#,##0.0</c:formatCode>
                <c:ptCount val="10"/>
                <c:pt idx="0">
                  <c:v>30.7</c:v>
                </c:pt>
                <c:pt idx="1">
                  <c:v>46.1</c:v>
                </c:pt>
                <c:pt idx="2">
                  <c:v>41.7</c:v>
                </c:pt>
                <c:pt idx="3">
                  <c:v>42.9</c:v>
                </c:pt>
                <c:pt idx="4">
                  <c:v>42.9</c:v>
                </c:pt>
                <c:pt idx="5">
                  <c:v>34.800000000000004</c:v>
                </c:pt>
                <c:pt idx="6">
                  <c:v>42.6</c:v>
                </c:pt>
                <c:pt idx="7">
                  <c:v>41.4</c:v>
                </c:pt>
                <c:pt idx="8">
                  <c:v>42.9</c:v>
                </c:pt>
                <c:pt idx="9">
                  <c:v>48.3</c:v>
                </c:pt>
              </c:numCache>
            </c:numRef>
          </c:val>
          <c:smooth val="0"/>
          <c:extLst>
            <c:ext xmlns:c16="http://schemas.microsoft.com/office/drawing/2014/chart" uri="{C3380CC4-5D6E-409C-BE32-E72D297353CC}">
              <c16:uniqueId val="{00000000-0D93-4ABC-B479-ECBFD1CA74F9}"/>
            </c:ext>
          </c:extLst>
        </c:ser>
        <c:ser>
          <c:idx val="1"/>
          <c:order val="1"/>
          <c:tx>
            <c:strRef>
              <c:f>'Data (2)'!$A$14</c:f>
              <c:strCache>
                <c:ptCount val="1"/>
                <c:pt idx="0">
                  <c:v>Μέτρια αναπηρία</c:v>
                </c:pt>
              </c:strCache>
            </c:strRef>
          </c:tx>
          <c:marker>
            <c:symbol val="none"/>
          </c:marker>
          <c:dLbls>
            <c:dLbl>
              <c:idx val="0"/>
              <c:layout>
                <c:manualLayout>
                  <c:x val="0"/>
                  <c:y val="-2.5784271594327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703-4170-A7FA-9A8719007520}"/>
                </c:ext>
              </c:extLst>
            </c:dLbl>
            <c:dLbl>
              <c:idx val="5"/>
              <c:layout>
                <c:manualLayout>
                  <c:x val="0"/>
                  <c:y val="3.867640739149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03-4170-A7FA-9A8719007520}"/>
                </c:ext>
              </c:extLst>
            </c:dLbl>
            <c:dLbl>
              <c:idx val="6"/>
              <c:layout>
                <c:manualLayout>
                  <c:x val="-9.2358294949867961E-17"/>
                  <c:y val="4.7271164589600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703-4170-A7FA-9A8719007520}"/>
                </c:ext>
              </c:extLst>
            </c:dLbl>
            <c:dLbl>
              <c:idx val="7"/>
              <c:layout>
                <c:manualLayout>
                  <c:x val="0"/>
                  <c:y val="1.2892135797163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703-4170-A7FA-9A8719007520}"/>
                </c:ext>
              </c:extLst>
            </c:dLbl>
            <c:dLbl>
              <c:idx val="8"/>
              <c:layout>
                <c:manualLayout>
                  <c:x val="0"/>
                  <c:y val="1.289213579716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703-4170-A7FA-9A8719007520}"/>
                </c:ext>
              </c:extLst>
            </c:dLbl>
            <c:spPr>
              <a:noFill/>
              <a:ln>
                <a:noFill/>
              </a:ln>
              <a:effectLst/>
            </c:spPr>
            <c:txPr>
              <a:bodyPr wrap="square" lIns="38100" tIns="19050" rIns="38100" bIns="19050" anchor="ctr">
                <a:spAutoFit/>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(2)'!$B$14:$K$14</c:f>
              <c:numCache>
                <c:formatCode>#,##0.0</c:formatCode>
                <c:ptCount val="10"/>
                <c:pt idx="0">
                  <c:v>22.7</c:v>
                </c:pt>
                <c:pt idx="1">
                  <c:v>22.6</c:v>
                </c:pt>
                <c:pt idx="2">
                  <c:v>31.6</c:v>
                </c:pt>
                <c:pt idx="3">
                  <c:v>37.800000000000004</c:v>
                </c:pt>
                <c:pt idx="4">
                  <c:v>32.1</c:v>
                </c:pt>
                <c:pt idx="5">
                  <c:v>27</c:v>
                </c:pt>
                <c:pt idx="6">
                  <c:v>27.9</c:v>
                </c:pt>
                <c:pt idx="7">
                  <c:v>26.3</c:v>
                </c:pt>
                <c:pt idx="8">
                  <c:v>29.3</c:v>
                </c:pt>
                <c:pt idx="9">
                  <c:v>32.800000000000004</c:v>
                </c:pt>
              </c:numCache>
            </c:numRef>
          </c:val>
          <c:smooth val="0"/>
          <c:extLst>
            <c:ext xmlns:c16="http://schemas.microsoft.com/office/drawing/2014/chart" uri="{C3380CC4-5D6E-409C-BE32-E72D297353CC}">
              <c16:uniqueId val="{00000001-0D93-4ABC-B479-ECBFD1CA74F9}"/>
            </c:ext>
          </c:extLst>
        </c:ser>
        <c:ser>
          <c:idx val="2"/>
          <c:order val="2"/>
          <c:tx>
            <c:strRef>
              <c:f>'Data (2)'!$A$15</c:f>
              <c:strCache>
                <c:ptCount val="1"/>
                <c:pt idx="0">
                  <c:v>Χωρίς αναπηρία</c:v>
                </c:pt>
              </c:strCache>
            </c:strRef>
          </c:tx>
          <c:marker>
            <c:symbol val="none"/>
          </c:marker>
          <c:dLbls>
            <c:dLbl>
              <c:idx val="0"/>
              <c:layout>
                <c:manualLayout>
                  <c:x val="0"/>
                  <c:y val="1.289213579716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703-4170-A7FA-9A8719007520}"/>
                </c:ext>
              </c:extLst>
            </c:dLbl>
            <c:dLbl>
              <c:idx val="1"/>
              <c:layout>
                <c:manualLayout>
                  <c:x val="0"/>
                  <c:y val="-5.1568543188655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703-4170-A7FA-9A8719007520}"/>
                </c:ext>
              </c:extLst>
            </c:dLbl>
            <c:dLbl>
              <c:idx val="2"/>
              <c:layout>
                <c:manualLayout>
                  <c:x val="0"/>
                  <c:y val="1.289213579716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703-4170-A7FA-9A8719007520}"/>
                </c:ext>
              </c:extLst>
            </c:dLbl>
            <c:dLbl>
              <c:idx val="3"/>
              <c:layout>
                <c:manualLayout>
                  <c:x val="-4.617914747493398E-17"/>
                  <c:y val="3.0081650193382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03-4170-A7FA-9A8719007520}"/>
                </c:ext>
              </c:extLst>
            </c:dLbl>
            <c:dLbl>
              <c:idx val="4"/>
              <c:layout>
                <c:manualLayout>
                  <c:x val="0"/>
                  <c:y val="3.4379028792436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03-4170-A7FA-9A8719007520}"/>
                </c:ext>
              </c:extLst>
            </c:dLbl>
            <c:dLbl>
              <c:idx val="5"/>
              <c:layout>
                <c:manualLayout>
                  <c:x val="0"/>
                  <c:y val="3.0081650193381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03-4170-A7FA-9A8719007520}"/>
                </c:ext>
              </c:extLst>
            </c:dLbl>
            <c:dLbl>
              <c:idx val="6"/>
              <c:layout>
                <c:manualLayout>
                  <c:x val="-9.2358294949867961E-17"/>
                  <c:y val="3.867640739149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03-4170-A7FA-9A8719007520}"/>
                </c:ext>
              </c:extLst>
            </c:dLbl>
            <c:dLbl>
              <c:idx val="7"/>
              <c:layout>
                <c:manualLayout>
                  <c:x val="0"/>
                  <c:y val="-2.5784271594327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03-4170-A7FA-9A8719007520}"/>
                </c:ext>
              </c:extLst>
            </c:dLbl>
            <c:dLbl>
              <c:idx val="8"/>
              <c:layout>
                <c:manualLayout>
                  <c:x val="0"/>
                  <c:y val="-2.5784271594327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03-4170-A7FA-9A8719007520}"/>
                </c:ext>
              </c:extLst>
            </c:dLbl>
            <c:spPr>
              <a:noFill/>
              <a:ln>
                <a:noFill/>
              </a:ln>
              <a:effectLst/>
            </c:spPr>
            <c:txPr>
              <a:bodyPr wrap="square" lIns="38100" tIns="19050" rIns="38100" bIns="19050" anchor="ctr">
                <a:spAutoFit/>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(2)'!$B$15:$K$15</c:f>
              <c:numCache>
                <c:formatCode>#,##0.0</c:formatCode>
                <c:ptCount val="10"/>
                <c:pt idx="0">
                  <c:v>7.4</c:v>
                </c:pt>
                <c:pt idx="1">
                  <c:v>11.6</c:v>
                </c:pt>
                <c:pt idx="2">
                  <c:v>13.8</c:v>
                </c:pt>
                <c:pt idx="3">
                  <c:v>16.899999999999999</c:v>
                </c:pt>
                <c:pt idx="4">
                  <c:v>17</c:v>
                </c:pt>
                <c:pt idx="5">
                  <c:v>17</c:v>
                </c:pt>
                <c:pt idx="6">
                  <c:v>17</c:v>
                </c:pt>
                <c:pt idx="7">
                  <c:v>15.4</c:v>
                </c:pt>
                <c:pt idx="8">
                  <c:v>14.3</c:v>
                </c:pt>
                <c:pt idx="9">
                  <c:v>13</c:v>
                </c:pt>
              </c:numCache>
            </c:numRef>
          </c:val>
          <c:smooth val="0"/>
          <c:extLst>
            <c:ext xmlns:c16="http://schemas.microsoft.com/office/drawing/2014/chart" uri="{C3380CC4-5D6E-409C-BE32-E72D297353CC}">
              <c16:uniqueId val="{00000002-0D93-4ABC-B479-ECBFD1CA74F9}"/>
            </c:ext>
          </c:extLst>
        </c:ser>
        <c:dLbls>
          <c:showLegendKey val="0"/>
          <c:showVal val="0"/>
          <c:showCatName val="0"/>
          <c:showSerName val="0"/>
          <c:showPercent val="0"/>
          <c:showBubbleSize val="0"/>
        </c:dLbls>
        <c:smooth val="0"/>
        <c:axId val="124792832"/>
        <c:axId val="124794368"/>
      </c:lineChart>
      <c:catAx>
        <c:axId val="124792832"/>
        <c:scaling>
          <c:orientation val="minMax"/>
        </c:scaling>
        <c:delete val="0"/>
        <c:axPos val="b"/>
        <c:numFmt formatCode="General" sourceLinked="0"/>
        <c:majorTickMark val="none"/>
        <c:minorTickMark val="none"/>
        <c:tickLblPos val="nextTo"/>
        <c:crossAx val="124794368"/>
        <c:crosses val="autoZero"/>
        <c:auto val="1"/>
        <c:lblAlgn val="ctr"/>
        <c:lblOffset val="100"/>
        <c:noMultiLvlLbl val="0"/>
      </c:catAx>
      <c:valAx>
        <c:axId val="124794368"/>
        <c:scaling>
          <c:orientation val="minMax"/>
        </c:scaling>
        <c:delete val="0"/>
        <c:axPos val="l"/>
        <c:numFmt formatCode="#,##0.0" sourceLinked="1"/>
        <c:majorTickMark val="none"/>
        <c:minorTickMark val="none"/>
        <c:tickLblPos val="nextTo"/>
        <c:spPr>
          <a:ln w="9525">
            <a:noFill/>
          </a:ln>
        </c:spPr>
        <c:crossAx val="12479283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Φύλλο1!$A$2</c:f>
              <c:strCache>
                <c:ptCount val="1"/>
                <c:pt idx="0">
                  <c:v>ΣΟΒΑΡΗ ΑΝΑΠΗΡΙΑ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Φύλλο1!$B$1:$G$1</c:f>
              <c:strCache>
                <c:ptCount val="6"/>
                <c:pt idx="0">
                  <c:v>16-24 ετών</c:v>
                </c:pt>
                <c:pt idx="1">
                  <c:v>25-34 ετών</c:v>
                </c:pt>
                <c:pt idx="2">
                  <c:v>35-44 ετών</c:v>
                </c:pt>
                <c:pt idx="3">
                  <c:v>45-54 ετών</c:v>
                </c:pt>
                <c:pt idx="4">
                  <c:v>55-64 ετών</c:v>
                </c:pt>
                <c:pt idx="5">
                  <c:v>65 και άνω </c:v>
                </c:pt>
              </c:strCache>
            </c:strRef>
          </c:cat>
          <c:val>
            <c:numRef>
              <c:f>Φύλλο1!$B$2:$G$2</c:f>
              <c:numCache>
                <c:formatCode>#,##0.0</c:formatCode>
                <c:ptCount val="6"/>
                <c:pt idx="0">
                  <c:v>42.1</c:v>
                </c:pt>
                <c:pt idx="1">
                  <c:v>69.2</c:v>
                </c:pt>
                <c:pt idx="2">
                  <c:v>67.599999999999994</c:v>
                </c:pt>
                <c:pt idx="3">
                  <c:v>58.6</c:v>
                </c:pt>
                <c:pt idx="4">
                  <c:v>50.9</c:v>
                </c:pt>
                <c:pt idx="5">
                  <c:v>26</c:v>
                </c:pt>
              </c:numCache>
            </c:numRef>
          </c:val>
          <c:extLst>
            <c:ext xmlns:c16="http://schemas.microsoft.com/office/drawing/2014/chart" uri="{C3380CC4-5D6E-409C-BE32-E72D297353CC}">
              <c16:uniqueId val="{00000000-D25C-4D84-9C85-B3D4CC516D2F}"/>
            </c:ext>
          </c:extLst>
        </c:ser>
        <c:ser>
          <c:idx val="1"/>
          <c:order val="1"/>
          <c:tx>
            <c:strRef>
              <c:f>Φύλλο1!$A$3</c:f>
              <c:strCache>
                <c:ptCount val="1"/>
                <c:pt idx="0">
                  <c:v>ΧΩΡΙΣ ΑΝΑΠΗΡΙΑ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Φύλλο1!$B$1:$G$1</c:f>
              <c:strCache>
                <c:ptCount val="6"/>
                <c:pt idx="0">
                  <c:v>16-24 ετών</c:v>
                </c:pt>
                <c:pt idx="1">
                  <c:v>25-34 ετών</c:v>
                </c:pt>
                <c:pt idx="2">
                  <c:v>35-44 ετών</c:v>
                </c:pt>
                <c:pt idx="3">
                  <c:v>45-54 ετών</c:v>
                </c:pt>
                <c:pt idx="4">
                  <c:v>55-64 ετών</c:v>
                </c:pt>
                <c:pt idx="5">
                  <c:v>65 και άνω </c:v>
                </c:pt>
              </c:strCache>
            </c:strRef>
          </c:cat>
          <c:val>
            <c:numRef>
              <c:f>Φύλλο1!$B$3:$G$3</c:f>
              <c:numCache>
                <c:formatCode>#,##0.0</c:formatCode>
                <c:ptCount val="6"/>
                <c:pt idx="0">
                  <c:v>38.9</c:v>
                </c:pt>
                <c:pt idx="1">
                  <c:v>32</c:v>
                </c:pt>
                <c:pt idx="2">
                  <c:v>26.4</c:v>
                </c:pt>
                <c:pt idx="3">
                  <c:v>28.6</c:v>
                </c:pt>
                <c:pt idx="4">
                  <c:v>32.800000000000004</c:v>
                </c:pt>
                <c:pt idx="5">
                  <c:v>16.3</c:v>
                </c:pt>
              </c:numCache>
            </c:numRef>
          </c:val>
          <c:extLst>
            <c:ext xmlns:c16="http://schemas.microsoft.com/office/drawing/2014/chart" uri="{C3380CC4-5D6E-409C-BE32-E72D297353CC}">
              <c16:uniqueId val="{00000001-D25C-4D84-9C85-B3D4CC516D2F}"/>
            </c:ext>
          </c:extLst>
        </c:ser>
        <c:dLbls>
          <c:showLegendKey val="0"/>
          <c:showVal val="0"/>
          <c:showCatName val="0"/>
          <c:showSerName val="0"/>
          <c:showPercent val="0"/>
          <c:showBubbleSize val="0"/>
        </c:dLbls>
        <c:gapWidth val="75"/>
        <c:overlap val="-25"/>
        <c:axId val="109804928"/>
        <c:axId val="109810816"/>
      </c:barChart>
      <c:catAx>
        <c:axId val="109804928"/>
        <c:scaling>
          <c:orientation val="minMax"/>
        </c:scaling>
        <c:delete val="0"/>
        <c:axPos val="b"/>
        <c:numFmt formatCode="General" sourceLinked="0"/>
        <c:majorTickMark val="none"/>
        <c:minorTickMark val="none"/>
        <c:tickLblPos val="nextTo"/>
        <c:crossAx val="109810816"/>
        <c:crosses val="autoZero"/>
        <c:auto val="1"/>
        <c:lblAlgn val="ctr"/>
        <c:lblOffset val="100"/>
        <c:noMultiLvlLbl val="0"/>
      </c:catAx>
      <c:valAx>
        <c:axId val="109810816"/>
        <c:scaling>
          <c:orientation val="minMax"/>
        </c:scaling>
        <c:delete val="0"/>
        <c:axPos val="l"/>
        <c:numFmt formatCode="#,##0.0" sourceLinked="1"/>
        <c:majorTickMark val="none"/>
        <c:minorTickMark val="none"/>
        <c:tickLblPos val="nextTo"/>
        <c:spPr>
          <a:ln w="9525">
            <a:noFill/>
          </a:ln>
        </c:spPr>
        <c:crossAx val="10980492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'16-64'!$A$7</c:f>
              <c:strCache>
                <c:ptCount val="1"/>
                <c:pt idx="0">
                  <c:v>ΣΟΒΑΡΗ ΑΝΑΠΗΡΙΑ</c:v>
                </c:pt>
              </c:strCache>
            </c:strRef>
          </c:tx>
          <c:spPr>
            <a:solidFill>
              <a:schemeClr val="accent1"/>
            </a:solidFill>
            <a:ln>
              <a:noFill/>
            </a:ln>
            <a:effectLst/>
          </c:spPr>
          <c:invertIfNegative val="0"/>
          <c:cat>
            <c:strRef>
              <c:f>'16-64'!$B$6:$K$6</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'16-64'!$B$7:$K$7</c:f>
              <c:numCache>
                <c:formatCode>#,##0.0</c:formatCode>
                <c:ptCount val="10"/>
                <c:pt idx="0">
                  <c:v>43.3</c:v>
                </c:pt>
                <c:pt idx="1">
                  <c:v>56.5</c:v>
                </c:pt>
                <c:pt idx="2">
                  <c:v>57</c:v>
                </c:pt>
                <c:pt idx="3">
                  <c:v>60.7</c:v>
                </c:pt>
                <c:pt idx="4">
                  <c:v>55.5</c:v>
                </c:pt>
                <c:pt idx="5">
                  <c:v>54.5</c:v>
                </c:pt>
                <c:pt idx="6">
                  <c:v>58.2</c:v>
                </c:pt>
                <c:pt idx="7">
                  <c:v>59.4</c:v>
                </c:pt>
                <c:pt idx="8">
                  <c:v>58.2</c:v>
                </c:pt>
                <c:pt idx="9" formatCode="0.0">
                  <c:v>57.2</c:v>
                </c:pt>
              </c:numCache>
            </c:numRef>
          </c:val>
          <c:extLst>
            <c:ext xmlns:c16="http://schemas.microsoft.com/office/drawing/2014/chart" uri="{C3380CC4-5D6E-409C-BE32-E72D297353CC}">
              <c16:uniqueId val="{00000000-A35B-A04F-AD22-ECC2A4257593}"/>
            </c:ext>
          </c:extLst>
        </c:ser>
        <c:ser>
          <c:idx val="1"/>
          <c:order val="1"/>
          <c:tx>
            <c:strRef>
              <c:f>'16-64'!$A$8</c:f>
              <c:strCache>
                <c:ptCount val="1"/>
                <c:pt idx="0">
                  <c:v>ΧΩΡΙΣ ΑΝΑΠΗΡΙΑ</c:v>
                </c:pt>
              </c:strCache>
            </c:strRef>
          </c:tx>
          <c:spPr>
            <a:solidFill>
              <a:schemeClr val="accent2"/>
            </a:solidFill>
            <a:ln>
              <a:noFill/>
            </a:ln>
            <a:effectLst/>
          </c:spPr>
          <c:invertIfNegative val="0"/>
          <c:cat>
            <c:strRef>
              <c:f>'16-64'!$B$6:$K$6</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'16-64'!$B$8:$K$8</c:f>
              <c:numCache>
                <c:formatCode>#,##0.0</c:formatCode>
                <c:ptCount val="10"/>
                <c:pt idx="0">
                  <c:v>26.7</c:v>
                </c:pt>
                <c:pt idx="1">
                  <c:v>30.3</c:v>
                </c:pt>
                <c:pt idx="2">
                  <c:v>36.6</c:v>
                </c:pt>
                <c:pt idx="3">
                  <c:v>36.800000000000004</c:v>
                </c:pt>
                <c:pt idx="4">
                  <c:v>38.6</c:v>
                </c:pt>
                <c:pt idx="5">
                  <c:v>38.1</c:v>
                </c:pt>
                <c:pt idx="6">
                  <c:v>37.9</c:v>
                </c:pt>
                <c:pt idx="7">
                  <c:v>36.6</c:v>
                </c:pt>
                <c:pt idx="8">
                  <c:v>33.4</c:v>
                </c:pt>
                <c:pt idx="9">
                  <c:v>31</c:v>
                </c:pt>
              </c:numCache>
            </c:numRef>
          </c:val>
          <c:extLst>
            <c:ext xmlns:c16="http://schemas.microsoft.com/office/drawing/2014/chart" uri="{C3380CC4-5D6E-409C-BE32-E72D297353CC}">
              <c16:uniqueId val="{00000001-A35B-A04F-AD22-ECC2A4257593}"/>
            </c:ext>
          </c:extLst>
        </c:ser>
        <c:dLbls>
          <c:showLegendKey val="0"/>
          <c:showVal val="0"/>
          <c:showCatName val="0"/>
          <c:showSerName val="0"/>
          <c:showPercent val="0"/>
          <c:showBubbleSize val="0"/>
        </c:dLbls>
        <c:gapWidth val="150"/>
        <c:axId val="117121024"/>
        <c:axId val="117122560"/>
      </c:barChart>
      <c:catAx>
        <c:axId val="11712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7122560"/>
        <c:crosses val="autoZero"/>
        <c:auto val="1"/>
        <c:lblAlgn val="ctr"/>
        <c:lblOffset val="100"/>
        <c:noMultiLvlLbl val="0"/>
      </c:catAx>
      <c:valAx>
        <c:axId val="1171225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en-US"/>
          </a:p>
        </c:txPr>
        <c:crossAx val="117121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onstantia" panose="020306020503060303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3'!$A$10</c:f>
              <c:strCache>
                <c:ptCount val="1"/>
                <c:pt idx="0">
                  <c:v>Χάσμα κινδύνου Φτώχειας ή αποκλεισμού (%πληθυσμού με σοβαρή αναπηρία-%πληθυσμού χωρίς αναπηρία)</c:v>
                </c:pt>
              </c:strCache>
            </c:strRef>
          </c:tx>
          <c:marker>
            <c:symbol val="none"/>
          </c:marker>
          <c:dLbls>
            <c:dLbl>
              <c:idx val="1"/>
              <c:layout>
                <c:manualLayout>
                  <c:x val="-4.6361880231809427E-2"/>
                  <c:y val="-4.0846639435573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D7-422E-B1EA-4EF49C37EF08}"/>
                </c:ext>
              </c:extLst>
            </c:dLbl>
            <c:dLbl>
              <c:idx val="2"/>
              <c:layout>
                <c:manualLayout>
                  <c:x val="-3.8634900193174504E-2"/>
                  <c:y val="4.4559970293353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D7-422E-B1EA-4EF49C37EF08}"/>
                </c:ext>
              </c:extLst>
            </c:dLbl>
            <c:dLbl>
              <c:idx val="4"/>
              <c:layout>
                <c:manualLayout>
                  <c:x val="-1.5453960077269801E-2"/>
                  <c:y val="-4.4559970293353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D7-422E-B1EA-4EF49C37EF08}"/>
                </c:ext>
              </c:extLst>
            </c:dLbl>
            <c:dLbl>
              <c:idx val="6"/>
              <c:layout>
                <c:manualLayout>
                  <c:x val="-2.8332260141661396E-2"/>
                  <c:y val="-8.5406609728926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D7-422E-B1EA-4EF49C37EF08}"/>
                </c:ext>
              </c:extLst>
            </c:dLbl>
            <c:dLbl>
              <c:idx val="7"/>
              <c:layout>
                <c:manualLayout>
                  <c:x val="-1.2878300064391595E-2"/>
                  <c:y val="3.3419977720014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D7-422E-B1EA-4EF49C37EF08}"/>
                </c:ext>
              </c:extLst>
            </c:dLbl>
            <c:dLbl>
              <c:idx val="8"/>
              <c:layout>
                <c:manualLayout>
                  <c:x val="-3.0907920154539602E-2"/>
                  <c:y val="-7.0553286297809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D7-422E-B1EA-4EF49C37EF08}"/>
                </c:ext>
              </c:extLst>
            </c:dLbl>
            <c:spPr>
              <a:noFill/>
              <a:ln>
                <a:noFill/>
              </a:ln>
              <a:effectLst/>
            </c:spPr>
            <c:txPr>
              <a:bodyPr wrap="square" lIns="38100" tIns="19050" rIns="38100" bIns="19050" anchor="ctr">
                <a:spAutoFit/>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3'!$B$6:$K$6</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'ΓΡΑΦΗΜΑ 3'!$B$10:$K$10</c:f>
              <c:numCache>
                <c:formatCode>#,##0.0</c:formatCode>
                <c:ptCount val="10"/>
                <c:pt idx="0">
                  <c:v>16.599999999999987</c:v>
                </c:pt>
                <c:pt idx="1">
                  <c:v>26.2</c:v>
                </c:pt>
                <c:pt idx="2">
                  <c:v>20.399999999999999</c:v>
                </c:pt>
                <c:pt idx="3">
                  <c:v>23.900000000000006</c:v>
                </c:pt>
                <c:pt idx="4">
                  <c:v>16.899999999999999</c:v>
                </c:pt>
                <c:pt idx="5">
                  <c:v>16.399999999999999</c:v>
                </c:pt>
                <c:pt idx="6">
                  <c:v>20.300000000000004</c:v>
                </c:pt>
                <c:pt idx="7">
                  <c:v>22.799999999999986</c:v>
                </c:pt>
                <c:pt idx="8">
                  <c:v>24.800000000000004</c:v>
                </c:pt>
                <c:pt idx="9">
                  <c:v>26.200000000000003</c:v>
                </c:pt>
              </c:numCache>
            </c:numRef>
          </c:val>
          <c:smooth val="0"/>
          <c:extLst>
            <c:ext xmlns:c16="http://schemas.microsoft.com/office/drawing/2014/chart" uri="{C3380CC4-5D6E-409C-BE32-E72D297353CC}">
              <c16:uniqueId val="{00000000-4AD9-4462-B170-26A0B162B54C}"/>
            </c:ext>
          </c:extLst>
        </c:ser>
        <c:dLbls>
          <c:showLegendKey val="0"/>
          <c:showVal val="0"/>
          <c:showCatName val="0"/>
          <c:showSerName val="0"/>
          <c:showPercent val="0"/>
          <c:showBubbleSize val="0"/>
        </c:dLbls>
        <c:smooth val="0"/>
        <c:axId val="105264256"/>
        <c:axId val="105265792"/>
      </c:lineChart>
      <c:catAx>
        <c:axId val="105264256"/>
        <c:scaling>
          <c:orientation val="minMax"/>
        </c:scaling>
        <c:delete val="0"/>
        <c:axPos val="b"/>
        <c:numFmt formatCode="General" sourceLinked="0"/>
        <c:majorTickMark val="none"/>
        <c:minorTickMark val="none"/>
        <c:tickLblPos val="nextTo"/>
        <c:crossAx val="105265792"/>
        <c:crosses val="autoZero"/>
        <c:auto val="1"/>
        <c:lblAlgn val="ctr"/>
        <c:lblOffset val="100"/>
        <c:noMultiLvlLbl val="0"/>
      </c:catAx>
      <c:valAx>
        <c:axId val="105265792"/>
        <c:scaling>
          <c:orientation val="minMax"/>
        </c:scaling>
        <c:delete val="0"/>
        <c:axPos val="l"/>
        <c:majorGridlines/>
        <c:numFmt formatCode="#,##0.0" sourceLinked="1"/>
        <c:majorTickMark val="none"/>
        <c:minorTickMark val="none"/>
        <c:tickLblPos val="nextTo"/>
        <c:spPr>
          <a:ln w="9525">
            <a:noFill/>
          </a:ln>
        </c:spPr>
        <c:crossAx val="10526425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Φύλλο1!$C$2</c:f>
              <c:strCache>
                <c:ptCount val="1"/>
                <c:pt idx="0">
                  <c:v>Σοβαρή και μέτρια αναπηρία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Φύλλο1!$B$3:$B$9</c:f>
              <c:strCache>
                <c:ptCount val="7"/>
                <c:pt idx="0">
                  <c:v>16-24 ετών</c:v>
                </c:pt>
                <c:pt idx="1">
                  <c:v>25-34 ετών</c:v>
                </c:pt>
                <c:pt idx="2">
                  <c:v>35-44 ετών</c:v>
                </c:pt>
                <c:pt idx="3">
                  <c:v>45-54 ετών</c:v>
                </c:pt>
                <c:pt idx="4">
                  <c:v>55-64 ετών</c:v>
                </c:pt>
                <c:pt idx="5">
                  <c:v>65+ ετών</c:v>
                </c:pt>
                <c:pt idx="6">
                  <c:v>Σύνολο</c:v>
                </c:pt>
              </c:strCache>
            </c:strRef>
          </c:cat>
          <c:val>
            <c:numRef>
              <c:f>Φύλλο1!$C$3:$C$9</c:f>
              <c:numCache>
                <c:formatCode>#,##0.0</c:formatCode>
                <c:ptCount val="7"/>
                <c:pt idx="0">
                  <c:v>29.6</c:v>
                </c:pt>
                <c:pt idx="1">
                  <c:v>30.7</c:v>
                </c:pt>
                <c:pt idx="2">
                  <c:v>25.3</c:v>
                </c:pt>
                <c:pt idx="3">
                  <c:v>24.6</c:v>
                </c:pt>
                <c:pt idx="4">
                  <c:v>24.3</c:v>
                </c:pt>
                <c:pt idx="5">
                  <c:v>13.9</c:v>
                </c:pt>
                <c:pt idx="6">
                  <c:v>17.7</c:v>
                </c:pt>
              </c:numCache>
            </c:numRef>
          </c:val>
          <c:extLst>
            <c:ext xmlns:c16="http://schemas.microsoft.com/office/drawing/2014/chart" uri="{C3380CC4-5D6E-409C-BE32-E72D297353CC}">
              <c16:uniqueId val="{00000000-BA5F-4B53-86CB-0D1DEA0C7006}"/>
            </c:ext>
          </c:extLst>
        </c:ser>
        <c:ser>
          <c:idx val="1"/>
          <c:order val="1"/>
          <c:tx>
            <c:strRef>
              <c:f>Φύλλο1!$D$2</c:f>
              <c:strCache>
                <c:ptCount val="1"/>
                <c:pt idx="0">
                  <c:v>Χωρίς αναπηρία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Φύλλο1!$B$3:$B$9</c:f>
              <c:strCache>
                <c:ptCount val="7"/>
                <c:pt idx="0">
                  <c:v>16-24 ετών</c:v>
                </c:pt>
                <c:pt idx="1">
                  <c:v>25-34 ετών</c:v>
                </c:pt>
                <c:pt idx="2">
                  <c:v>35-44 ετών</c:v>
                </c:pt>
                <c:pt idx="3">
                  <c:v>45-54 ετών</c:v>
                </c:pt>
                <c:pt idx="4">
                  <c:v>55-64 ετών</c:v>
                </c:pt>
                <c:pt idx="5">
                  <c:v>65+ ετών</c:v>
                </c:pt>
                <c:pt idx="6">
                  <c:v>Σύνολο</c:v>
                </c:pt>
              </c:strCache>
            </c:strRef>
          </c:cat>
          <c:val>
            <c:numRef>
              <c:f>Φύλλο1!$D$3:$D$9</c:f>
              <c:numCache>
                <c:formatCode>#,##0.0</c:formatCode>
                <c:ptCount val="7"/>
                <c:pt idx="0">
                  <c:v>25.8</c:v>
                </c:pt>
                <c:pt idx="1">
                  <c:v>17.100000000000001</c:v>
                </c:pt>
                <c:pt idx="2">
                  <c:v>16.399999999999999</c:v>
                </c:pt>
                <c:pt idx="3">
                  <c:v>17.5</c:v>
                </c:pt>
                <c:pt idx="4">
                  <c:v>16.7</c:v>
                </c:pt>
                <c:pt idx="5">
                  <c:v>9.4</c:v>
                </c:pt>
                <c:pt idx="6">
                  <c:v>17</c:v>
                </c:pt>
              </c:numCache>
            </c:numRef>
          </c:val>
          <c:extLst>
            <c:ext xmlns:c16="http://schemas.microsoft.com/office/drawing/2014/chart" uri="{C3380CC4-5D6E-409C-BE32-E72D297353CC}">
              <c16:uniqueId val="{00000001-BA5F-4B53-86CB-0D1DEA0C7006}"/>
            </c:ext>
          </c:extLst>
        </c:ser>
        <c:dLbls>
          <c:showLegendKey val="0"/>
          <c:showVal val="0"/>
          <c:showCatName val="0"/>
          <c:showSerName val="0"/>
          <c:showPercent val="0"/>
          <c:showBubbleSize val="0"/>
        </c:dLbls>
        <c:gapWidth val="75"/>
        <c:overlap val="-25"/>
        <c:axId val="105270272"/>
        <c:axId val="105288448"/>
      </c:barChart>
      <c:catAx>
        <c:axId val="105270272"/>
        <c:scaling>
          <c:orientation val="minMax"/>
        </c:scaling>
        <c:delete val="0"/>
        <c:axPos val="b"/>
        <c:numFmt formatCode="General" sourceLinked="0"/>
        <c:majorTickMark val="none"/>
        <c:minorTickMark val="none"/>
        <c:tickLblPos val="nextTo"/>
        <c:crossAx val="105288448"/>
        <c:crosses val="autoZero"/>
        <c:auto val="1"/>
        <c:lblAlgn val="ctr"/>
        <c:lblOffset val="100"/>
        <c:noMultiLvlLbl val="0"/>
      </c:catAx>
      <c:valAx>
        <c:axId val="105288448"/>
        <c:scaling>
          <c:orientation val="minMax"/>
        </c:scaling>
        <c:delete val="0"/>
        <c:axPos val="l"/>
        <c:numFmt formatCode="#,##0.0" sourceLinked="1"/>
        <c:majorTickMark val="none"/>
        <c:minorTickMark val="none"/>
        <c:tickLblPos val="nextTo"/>
        <c:spPr>
          <a:ln w="9525">
            <a:noFill/>
          </a:ln>
        </c:spPr>
        <c:crossAx val="10527027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(2)'!$A$13</c:f>
              <c:strCache>
                <c:ptCount val="1"/>
                <c:pt idx="0">
                  <c:v>Σοβαρή αναπηρία</c:v>
                </c:pt>
              </c:strCache>
            </c:strRef>
          </c:tx>
          <c:marker>
            <c:symbol val="none"/>
          </c:marker>
          <c:dLbls>
            <c:dLbl>
              <c:idx val="1"/>
              <c:layout>
                <c:manualLayout>
                  <c:x val="-4.4923110873679956E-17"/>
                  <c:y val="3.1633056544088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60-4008-BAB3-1354EBE3391B}"/>
                </c:ext>
              </c:extLst>
            </c:dLbl>
            <c:dLbl>
              <c:idx val="3"/>
              <c:layout>
                <c:manualLayout>
                  <c:x val="0"/>
                  <c:y val="-1.9770660340055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60-4008-BAB3-1354EBE3391B}"/>
                </c:ext>
              </c:extLst>
            </c:dLbl>
            <c:dLbl>
              <c:idx val="4"/>
              <c:layout>
                <c:manualLayout>
                  <c:x val="0"/>
                  <c:y val="-3.5587188612099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60-4008-BAB3-1354EBE3391B}"/>
                </c:ext>
              </c:extLst>
            </c:dLbl>
            <c:dLbl>
              <c:idx val="5"/>
              <c:layout>
                <c:manualLayout>
                  <c:x val="-8.9846221747359912E-17"/>
                  <c:y val="-2.3724792408066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60-4008-BAB3-1354EBE3391B}"/>
                </c:ext>
              </c:extLst>
            </c:dLbl>
            <c:dLbl>
              <c:idx val="7"/>
              <c:layout>
                <c:manualLayout>
                  <c:x val="0"/>
                  <c:y val="-3.5587188612099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60-4008-BAB3-1354EBE3391B}"/>
                </c:ext>
              </c:extLst>
            </c:dLbl>
            <c:dLbl>
              <c:idx val="8"/>
              <c:layout>
                <c:manualLayout>
                  <c:x val="0"/>
                  <c:y val="5.5357848952154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60-4008-BAB3-1354EBE3391B}"/>
                </c:ext>
              </c:extLst>
            </c:dLbl>
            <c:spPr>
              <a:noFill/>
              <a:ln>
                <a:noFill/>
              </a:ln>
              <a:effectLst/>
            </c:spPr>
            <c:txPr>
              <a:bodyPr wrap="square" lIns="38100" tIns="19050" rIns="38100" bIns="19050" anchor="ctr">
                <a:spAutoFit/>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(2)'!$B$13:$K$13</c:f>
              <c:numCache>
                <c:formatCode>#,##0.0</c:formatCode>
                <c:ptCount val="10"/>
                <c:pt idx="0">
                  <c:v>24.8</c:v>
                </c:pt>
                <c:pt idx="1">
                  <c:v>34</c:v>
                </c:pt>
                <c:pt idx="2">
                  <c:v>34.5</c:v>
                </c:pt>
                <c:pt idx="3">
                  <c:v>31.3</c:v>
                </c:pt>
                <c:pt idx="4">
                  <c:v>29.5</c:v>
                </c:pt>
                <c:pt idx="5">
                  <c:v>27.9</c:v>
                </c:pt>
                <c:pt idx="6">
                  <c:v>24.8</c:v>
                </c:pt>
                <c:pt idx="7">
                  <c:v>29.4</c:v>
                </c:pt>
                <c:pt idx="8">
                  <c:v>29.1</c:v>
                </c:pt>
                <c:pt idx="9">
                  <c:v>26.9</c:v>
                </c:pt>
              </c:numCache>
            </c:numRef>
          </c:val>
          <c:smooth val="0"/>
          <c:extLst>
            <c:ext xmlns:c16="http://schemas.microsoft.com/office/drawing/2014/chart" uri="{C3380CC4-5D6E-409C-BE32-E72D297353CC}">
              <c16:uniqueId val="{00000000-D0C3-4313-850F-27AC830DCFE6}"/>
            </c:ext>
          </c:extLst>
        </c:ser>
        <c:ser>
          <c:idx val="1"/>
          <c:order val="1"/>
          <c:tx>
            <c:strRef>
              <c:f>'Data (2)'!$A$14</c:f>
              <c:strCache>
                <c:ptCount val="1"/>
                <c:pt idx="0">
                  <c:v>Χωρίς αναπηρία</c:v>
                </c:pt>
              </c:strCache>
            </c:strRef>
          </c:tx>
          <c:marker>
            <c:symbol val="none"/>
          </c:marker>
          <c:dLbls>
            <c:dLbl>
              <c:idx val="0"/>
              <c:layout>
                <c:manualLayout>
                  <c:x val="-2.2461555436839978E-17"/>
                  <c:y val="3.5587188612099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C60-4008-BAB3-1354EBE3391B}"/>
                </c:ext>
              </c:extLst>
            </c:dLbl>
            <c:dLbl>
              <c:idx val="2"/>
              <c:layout>
                <c:manualLayout>
                  <c:x val="0"/>
                  <c:y val="-2.3724792408066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60-4008-BAB3-1354EBE3391B}"/>
                </c:ext>
              </c:extLst>
            </c:dLbl>
            <c:dLbl>
              <c:idx val="3"/>
              <c:layout>
                <c:manualLayout>
                  <c:x val="0"/>
                  <c:y val="5.1403716884143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60-4008-BAB3-1354EBE3391B}"/>
                </c:ext>
              </c:extLst>
            </c:dLbl>
            <c:dLbl>
              <c:idx val="4"/>
              <c:layout>
                <c:manualLayout>
                  <c:x val="0"/>
                  <c:y val="-1.1862396204033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C60-4008-BAB3-1354EBE3391B}"/>
                </c:ext>
              </c:extLst>
            </c:dLbl>
            <c:dLbl>
              <c:idx val="5"/>
              <c:layout>
                <c:manualLayout>
                  <c:x val="-8.9846221747359912E-17"/>
                  <c:y val="2.37247924080663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C60-4008-BAB3-1354EBE3391B}"/>
                </c:ext>
              </c:extLst>
            </c:dLbl>
            <c:dLbl>
              <c:idx val="6"/>
              <c:layout>
                <c:manualLayout>
                  <c:x val="0"/>
                  <c:y val="5.5357848952155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C60-4008-BAB3-1354EBE3391B}"/>
                </c:ext>
              </c:extLst>
            </c:dLbl>
            <c:dLbl>
              <c:idx val="7"/>
              <c:layout>
                <c:manualLayout>
                  <c:x val="0"/>
                  <c:y val="-1.1862396204033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C60-4008-BAB3-1354EBE3391B}"/>
                </c:ext>
              </c:extLst>
            </c:dLbl>
            <c:dLbl>
              <c:idx val="8"/>
              <c:layout>
                <c:manualLayout>
                  <c:x val="0"/>
                  <c:y val="-2.3724792408066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C60-4008-BAB3-1354EBE3391B}"/>
                </c:ext>
              </c:extLst>
            </c:dLbl>
            <c:spPr>
              <a:noFill/>
              <a:ln>
                <a:noFill/>
              </a:ln>
              <a:effectLst/>
            </c:spPr>
            <c:txPr>
              <a:bodyPr wrap="square" lIns="38100" tIns="19050" rIns="38100" bIns="19050" anchor="ctr">
                <a:spAutoFit/>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(2)'!$B$12:$K$12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'Data (2)'!$B$14:$K$14</c:f>
              <c:numCache>
                <c:formatCode>#,##0.0</c:formatCode>
                <c:ptCount val="10"/>
                <c:pt idx="0">
                  <c:v>18.7</c:v>
                </c:pt>
                <c:pt idx="1">
                  <c:v>19.3</c:v>
                </c:pt>
                <c:pt idx="2">
                  <c:v>23.5</c:v>
                </c:pt>
                <c:pt idx="3">
                  <c:v>23.2</c:v>
                </c:pt>
                <c:pt idx="4">
                  <c:v>23.2</c:v>
                </c:pt>
                <c:pt idx="5">
                  <c:v>21.9</c:v>
                </c:pt>
                <c:pt idx="6">
                  <c:v>22.3</c:v>
                </c:pt>
                <c:pt idx="7">
                  <c:v>20.9</c:v>
                </c:pt>
                <c:pt idx="8">
                  <c:v>19.2</c:v>
                </c:pt>
                <c:pt idx="9">
                  <c:v>18.2</c:v>
                </c:pt>
              </c:numCache>
            </c:numRef>
          </c:val>
          <c:smooth val="0"/>
          <c:extLst>
            <c:ext xmlns:c16="http://schemas.microsoft.com/office/drawing/2014/chart" uri="{C3380CC4-5D6E-409C-BE32-E72D297353CC}">
              <c16:uniqueId val="{00000001-D0C3-4313-850F-27AC830DCFE6}"/>
            </c:ext>
          </c:extLst>
        </c:ser>
        <c:dLbls>
          <c:showLegendKey val="0"/>
          <c:showVal val="0"/>
          <c:showCatName val="0"/>
          <c:showSerName val="0"/>
          <c:showPercent val="0"/>
          <c:showBubbleSize val="0"/>
        </c:dLbls>
        <c:smooth val="0"/>
        <c:axId val="105297408"/>
        <c:axId val="105298944"/>
      </c:lineChart>
      <c:catAx>
        <c:axId val="105297408"/>
        <c:scaling>
          <c:orientation val="minMax"/>
        </c:scaling>
        <c:delete val="0"/>
        <c:axPos val="b"/>
        <c:numFmt formatCode="General" sourceLinked="0"/>
        <c:majorTickMark val="none"/>
        <c:minorTickMark val="none"/>
        <c:tickLblPos val="nextTo"/>
        <c:crossAx val="105298944"/>
        <c:crosses val="autoZero"/>
        <c:auto val="1"/>
        <c:lblAlgn val="ctr"/>
        <c:lblOffset val="100"/>
        <c:noMultiLvlLbl val="0"/>
      </c:catAx>
      <c:valAx>
        <c:axId val="105298944"/>
        <c:scaling>
          <c:orientation val="minMax"/>
          <c:max val="35"/>
          <c:min val="0"/>
        </c:scaling>
        <c:delete val="0"/>
        <c:axPos val="l"/>
        <c:numFmt formatCode="#,##0.0" sourceLinked="1"/>
        <c:majorTickMark val="none"/>
        <c:minorTickMark val="none"/>
        <c:tickLblPos val="nextTo"/>
        <c:spPr>
          <a:ln w="9525">
            <a:noFill/>
          </a:ln>
        </c:spPr>
        <c:crossAx val="10529740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Φύλλο1!$A$4</c:f>
              <c:strCache>
                <c:ptCount val="1"/>
                <c:pt idx="0">
                  <c:v>Σοβαρή αναπηρία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Φύλλο1!$B$3:$G$3</c:f>
              <c:strCache>
                <c:ptCount val="6"/>
                <c:pt idx="0">
                  <c:v>16-24 ετών</c:v>
                </c:pt>
                <c:pt idx="1">
                  <c:v>25-34 ετών</c:v>
                </c:pt>
                <c:pt idx="2">
                  <c:v>35-44 ετών</c:v>
                </c:pt>
                <c:pt idx="3">
                  <c:v>45-54 ετών</c:v>
                </c:pt>
                <c:pt idx="4">
                  <c:v>55-64 ετών</c:v>
                </c:pt>
                <c:pt idx="5">
                  <c:v>65+ ετών</c:v>
                </c:pt>
              </c:strCache>
            </c:strRef>
          </c:cat>
          <c:val>
            <c:numRef>
              <c:f>Φύλλο1!$B$4:$G$4</c:f>
              <c:numCache>
                <c:formatCode>#,##0.0</c:formatCode>
                <c:ptCount val="6"/>
                <c:pt idx="0">
                  <c:v>40.1</c:v>
                </c:pt>
                <c:pt idx="1">
                  <c:v>75.3</c:v>
                </c:pt>
                <c:pt idx="2">
                  <c:v>69.099999999999994</c:v>
                </c:pt>
                <c:pt idx="3">
                  <c:v>55.7</c:v>
                </c:pt>
                <c:pt idx="4">
                  <c:v>69.599999999999994</c:v>
                </c:pt>
                <c:pt idx="5">
                  <c:v>88.3</c:v>
                </c:pt>
              </c:numCache>
            </c:numRef>
          </c:val>
          <c:extLst>
            <c:ext xmlns:c16="http://schemas.microsoft.com/office/drawing/2014/chart" uri="{C3380CC4-5D6E-409C-BE32-E72D297353CC}">
              <c16:uniqueId val="{00000000-7141-450C-A218-651C3423680B}"/>
            </c:ext>
          </c:extLst>
        </c:ser>
        <c:ser>
          <c:idx val="1"/>
          <c:order val="1"/>
          <c:tx>
            <c:strRef>
              <c:f>Φύλλο1!$A$5</c:f>
              <c:strCache>
                <c:ptCount val="1"/>
                <c:pt idx="0">
                  <c:v>Μέτρια αναπηρία</c:v>
                </c:pt>
              </c:strCache>
            </c:strRef>
          </c:tx>
          <c:invertIfNegative val="0"/>
          <c:dLbls>
            <c:dLbl>
              <c:idx val="5"/>
              <c:layout>
                <c:manualLayout>
                  <c:x val="0"/>
                  <c:y val="-2.5058170753534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CE-4CA7-A812-E47CECBFAC2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Φύλλο1!$B$3:$G$3</c:f>
              <c:strCache>
                <c:ptCount val="6"/>
                <c:pt idx="0">
                  <c:v>16-24 ετών</c:v>
                </c:pt>
                <c:pt idx="1">
                  <c:v>25-34 ετών</c:v>
                </c:pt>
                <c:pt idx="2">
                  <c:v>35-44 ετών</c:v>
                </c:pt>
                <c:pt idx="3">
                  <c:v>45-54 ετών</c:v>
                </c:pt>
                <c:pt idx="4">
                  <c:v>55-64 ετών</c:v>
                </c:pt>
                <c:pt idx="5">
                  <c:v>65+ ετών</c:v>
                </c:pt>
              </c:strCache>
            </c:strRef>
          </c:cat>
          <c:val>
            <c:numRef>
              <c:f>Φύλλο1!$B$5:$G$5</c:f>
              <c:numCache>
                <c:formatCode>#,##0.0</c:formatCode>
                <c:ptCount val="6"/>
                <c:pt idx="0">
                  <c:v>65.2</c:v>
                </c:pt>
                <c:pt idx="1">
                  <c:v>60.2</c:v>
                </c:pt>
                <c:pt idx="2">
                  <c:v>48.1</c:v>
                </c:pt>
                <c:pt idx="3">
                  <c:v>42.8</c:v>
                </c:pt>
                <c:pt idx="4">
                  <c:v>67.7</c:v>
                </c:pt>
                <c:pt idx="5">
                  <c:v>88.6</c:v>
                </c:pt>
              </c:numCache>
            </c:numRef>
          </c:val>
          <c:extLst>
            <c:ext xmlns:c16="http://schemas.microsoft.com/office/drawing/2014/chart" uri="{C3380CC4-5D6E-409C-BE32-E72D297353CC}">
              <c16:uniqueId val="{00000001-7141-450C-A218-651C3423680B}"/>
            </c:ext>
          </c:extLst>
        </c:ser>
        <c:ser>
          <c:idx val="2"/>
          <c:order val="2"/>
          <c:tx>
            <c:strRef>
              <c:f>Φύλλο1!$A$6</c:f>
              <c:strCache>
                <c:ptCount val="1"/>
                <c:pt idx="0">
                  <c:v>Χωρίς αναπηρία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Φύλλο1!$B$3:$G$3</c:f>
              <c:strCache>
                <c:ptCount val="6"/>
                <c:pt idx="0">
                  <c:v>16-24 ετών</c:v>
                </c:pt>
                <c:pt idx="1">
                  <c:v>25-34 ετών</c:v>
                </c:pt>
                <c:pt idx="2">
                  <c:v>35-44 ετών</c:v>
                </c:pt>
                <c:pt idx="3">
                  <c:v>45-54 ετών</c:v>
                </c:pt>
                <c:pt idx="4">
                  <c:v>55-64 ετών</c:v>
                </c:pt>
                <c:pt idx="5">
                  <c:v>65+ ετών</c:v>
                </c:pt>
              </c:strCache>
            </c:strRef>
          </c:cat>
          <c:val>
            <c:numRef>
              <c:f>Φύλλο1!$B$6:$G$6</c:f>
              <c:numCache>
                <c:formatCode>#,##0.0</c:formatCode>
                <c:ptCount val="6"/>
                <c:pt idx="0">
                  <c:v>40.9</c:v>
                </c:pt>
                <c:pt idx="1">
                  <c:v>33.700000000000003</c:v>
                </c:pt>
                <c:pt idx="2">
                  <c:v>29.6</c:v>
                </c:pt>
                <c:pt idx="3">
                  <c:v>31.4</c:v>
                </c:pt>
                <c:pt idx="4">
                  <c:v>49.5</c:v>
                </c:pt>
                <c:pt idx="5">
                  <c:v>81.400000000000006</c:v>
                </c:pt>
              </c:numCache>
            </c:numRef>
          </c:val>
          <c:extLst>
            <c:ext xmlns:c16="http://schemas.microsoft.com/office/drawing/2014/chart" uri="{C3380CC4-5D6E-409C-BE32-E72D297353CC}">
              <c16:uniqueId val="{00000002-7141-450C-A218-651C3423680B}"/>
            </c:ext>
          </c:extLst>
        </c:ser>
        <c:dLbls>
          <c:showLegendKey val="0"/>
          <c:showVal val="0"/>
          <c:showCatName val="0"/>
          <c:showSerName val="0"/>
          <c:showPercent val="0"/>
          <c:showBubbleSize val="0"/>
        </c:dLbls>
        <c:gapWidth val="75"/>
        <c:overlap val="-25"/>
        <c:axId val="124679296"/>
        <c:axId val="124680832"/>
      </c:barChart>
      <c:catAx>
        <c:axId val="124679296"/>
        <c:scaling>
          <c:orientation val="minMax"/>
        </c:scaling>
        <c:delete val="0"/>
        <c:axPos val="b"/>
        <c:numFmt formatCode="General" sourceLinked="0"/>
        <c:majorTickMark val="none"/>
        <c:minorTickMark val="none"/>
        <c:tickLblPos val="nextTo"/>
        <c:crossAx val="124680832"/>
        <c:crosses val="autoZero"/>
        <c:auto val="1"/>
        <c:lblAlgn val="ctr"/>
        <c:lblOffset val="100"/>
        <c:noMultiLvlLbl val="0"/>
      </c:catAx>
      <c:valAx>
        <c:axId val="124680832"/>
        <c:scaling>
          <c:orientation val="minMax"/>
        </c:scaling>
        <c:delete val="0"/>
        <c:axPos val="l"/>
        <c:numFmt formatCode="#,##0.0" sourceLinked="1"/>
        <c:majorTickMark val="none"/>
        <c:minorTickMark val="none"/>
        <c:tickLblPos val="nextTo"/>
        <c:spPr>
          <a:ln w="9525">
            <a:noFill/>
          </a:ln>
        </c:spPr>
        <c:crossAx val="124679296"/>
        <c:crosses val="autoZero"/>
        <c:crossBetween val="between"/>
      </c:valAx>
    </c:plotArea>
    <c:legend>
      <c:legendPos val="b"/>
      <c:overlay val="0"/>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'16+'!$A$13</c:f>
              <c:strCache>
                <c:ptCount val="1"/>
                <c:pt idx="0">
                  <c:v>Σοβαρή αναπηρία</c:v>
                </c:pt>
              </c:strCache>
            </c:strRef>
          </c:tx>
          <c:invertIfNegative val="0"/>
          <c:cat>
            <c:strRef>
              <c:f>'16+'!$B$12:$K$12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'16+'!$B$13:$K$13</c:f>
              <c:numCache>
                <c:formatCode>#,##0.0</c:formatCode>
                <c:ptCount val="10"/>
                <c:pt idx="0">
                  <c:v>18.8</c:v>
                </c:pt>
                <c:pt idx="1">
                  <c:v>21.2</c:v>
                </c:pt>
                <c:pt idx="2">
                  <c:v>25.2</c:v>
                </c:pt>
                <c:pt idx="3">
                  <c:v>23.5</c:v>
                </c:pt>
                <c:pt idx="4">
                  <c:v>26</c:v>
                </c:pt>
                <c:pt idx="5">
                  <c:v>27.1</c:v>
                </c:pt>
                <c:pt idx="6">
                  <c:v>25.7</c:v>
                </c:pt>
                <c:pt idx="7">
                  <c:v>27.5</c:v>
                </c:pt>
                <c:pt idx="8">
                  <c:v>21.9</c:v>
                </c:pt>
                <c:pt idx="9">
                  <c:v>22.1</c:v>
                </c:pt>
              </c:numCache>
            </c:numRef>
          </c:val>
          <c:extLst>
            <c:ext xmlns:c16="http://schemas.microsoft.com/office/drawing/2014/chart" uri="{C3380CC4-5D6E-409C-BE32-E72D297353CC}">
              <c16:uniqueId val="{00000000-9EE0-4722-AFD3-2F4D8B3AA916}"/>
            </c:ext>
          </c:extLst>
        </c:ser>
        <c:ser>
          <c:idx val="1"/>
          <c:order val="1"/>
          <c:tx>
            <c:strRef>
              <c:f>'16+'!$A$14</c:f>
              <c:strCache>
                <c:ptCount val="1"/>
                <c:pt idx="0">
                  <c:v>Μέτρια αναπηρία</c:v>
                </c:pt>
              </c:strCache>
            </c:strRef>
          </c:tx>
          <c:invertIfNegative val="0"/>
          <c:cat>
            <c:strRef>
              <c:f>'16+'!$B$12:$K$12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'16+'!$B$14:$K$14</c:f>
              <c:numCache>
                <c:formatCode>#,##0.0</c:formatCode>
                <c:ptCount val="10"/>
                <c:pt idx="0">
                  <c:v>16.2</c:v>
                </c:pt>
                <c:pt idx="1">
                  <c:v>14.7</c:v>
                </c:pt>
                <c:pt idx="2">
                  <c:v>21</c:v>
                </c:pt>
                <c:pt idx="3">
                  <c:v>21</c:v>
                </c:pt>
                <c:pt idx="4">
                  <c:v>20</c:v>
                </c:pt>
                <c:pt idx="5">
                  <c:v>20.2</c:v>
                </c:pt>
                <c:pt idx="6">
                  <c:v>22.4</c:v>
                </c:pt>
                <c:pt idx="7">
                  <c:v>21.9</c:v>
                </c:pt>
                <c:pt idx="8">
                  <c:v>17.600000000000001</c:v>
                </c:pt>
                <c:pt idx="9">
                  <c:v>17.5</c:v>
                </c:pt>
              </c:numCache>
            </c:numRef>
          </c:val>
          <c:extLst>
            <c:ext xmlns:c16="http://schemas.microsoft.com/office/drawing/2014/chart" uri="{C3380CC4-5D6E-409C-BE32-E72D297353CC}">
              <c16:uniqueId val="{00000001-9EE0-4722-AFD3-2F4D8B3AA916}"/>
            </c:ext>
          </c:extLst>
        </c:ser>
        <c:ser>
          <c:idx val="2"/>
          <c:order val="2"/>
          <c:tx>
            <c:strRef>
              <c:f>'16+'!$A$15</c:f>
              <c:strCache>
                <c:ptCount val="1"/>
                <c:pt idx="0">
                  <c:v>Χωρίς αναπηρία</c:v>
                </c:pt>
              </c:strCache>
            </c:strRef>
          </c:tx>
          <c:invertIfNegative val="0"/>
          <c:cat>
            <c:strRef>
              <c:f>'16+'!$B$12:$K$12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'16+'!$B$15:$K$15</c:f>
              <c:numCache>
                <c:formatCode>#,##0.0</c:formatCode>
                <c:ptCount val="10"/>
                <c:pt idx="0">
                  <c:v>10.200000000000001</c:v>
                </c:pt>
                <c:pt idx="1">
                  <c:v>14.2</c:v>
                </c:pt>
                <c:pt idx="2">
                  <c:v>18.600000000000001</c:v>
                </c:pt>
                <c:pt idx="3">
                  <c:v>19.2</c:v>
                </c:pt>
                <c:pt idx="4">
                  <c:v>20.7</c:v>
                </c:pt>
                <c:pt idx="5">
                  <c:v>20.9</c:v>
                </c:pt>
                <c:pt idx="6">
                  <c:v>21.1</c:v>
                </c:pt>
                <c:pt idx="7">
                  <c:v>19.399999999999999</c:v>
                </c:pt>
                <c:pt idx="8">
                  <c:v>15.6</c:v>
                </c:pt>
                <c:pt idx="9">
                  <c:v>15.1</c:v>
                </c:pt>
              </c:numCache>
            </c:numRef>
          </c:val>
          <c:extLst>
            <c:ext xmlns:c16="http://schemas.microsoft.com/office/drawing/2014/chart" uri="{C3380CC4-5D6E-409C-BE32-E72D297353CC}">
              <c16:uniqueId val="{00000002-9EE0-4722-AFD3-2F4D8B3AA916}"/>
            </c:ext>
          </c:extLst>
        </c:ser>
        <c:dLbls>
          <c:showLegendKey val="0"/>
          <c:showVal val="0"/>
          <c:showCatName val="0"/>
          <c:showSerName val="0"/>
          <c:showPercent val="0"/>
          <c:showBubbleSize val="0"/>
        </c:dLbls>
        <c:gapWidth val="150"/>
        <c:axId val="124703488"/>
        <c:axId val="124705024"/>
      </c:barChart>
      <c:catAx>
        <c:axId val="124703488"/>
        <c:scaling>
          <c:orientation val="minMax"/>
        </c:scaling>
        <c:delete val="0"/>
        <c:axPos val="b"/>
        <c:numFmt formatCode="General" sourceLinked="0"/>
        <c:majorTickMark val="none"/>
        <c:minorTickMark val="none"/>
        <c:tickLblPos val="nextTo"/>
        <c:crossAx val="124705024"/>
        <c:crosses val="autoZero"/>
        <c:auto val="1"/>
        <c:lblAlgn val="ctr"/>
        <c:lblOffset val="100"/>
        <c:noMultiLvlLbl val="0"/>
      </c:catAx>
      <c:valAx>
        <c:axId val="124705024"/>
        <c:scaling>
          <c:orientation val="minMax"/>
        </c:scaling>
        <c:delete val="0"/>
        <c:axPos val="l"/>
        <c:majorGridlines/>
        <c:numFmt formatCode="#,##0.0" sourceLinked="1"/>
        <c:majorTickMark val="none"/>
        <c:minorTickMark val="none"/>
        <c:tickLblPos val="nextTo"/>
        <c:crossAx val="124703488"/>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'16-64 (2)'!$A$10</c:f>
              <c:strCache>
                <c:ptCount val="1"/>
                <c:pt idx="0">
                  <c:v>ΣΟΒΑΡΗ ΑΝΑΠΗΡΙΑ</c:v>
                </c:pt>
              </c:strCache>
            </c:strRef>
          </c:tx>
          <c:marker>
            <c:symbol val="none"/>
          </c:marker>
          <c:dLbls>
            <c:dLbl>
              <c:idx val="2"/>
              <c:layout>
                <c:manualLayout>
                  <c:x val="-4.4144284968814806E-17"/>
                  <c:y val="-2.7643400138217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E3-42D2-9D6D-3F7486E03FB6}"/>
                </c:ext>
              </c:extLst>
            </c:dLbl>
            <c:dLbl>
              <c:idx val="3"/>
              <c:layout>
                <c:manualLayout>
                  <c:x val="0"/>
                  <c:y val="1.3821700069108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E3-42D2-9D6D-3F7486E03FB6}"/>
                </c:ext>
              </c:extLst>
            </c:dLbl>
            <c:dLbl>
              <c:idx val="4"/>
              <c:layout>
                <c:manualLayout>
                  <c:x val="0"/>
                  <c:y val="2.764340013821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E3-42D2-9D6D-3F7486E03FB6}"/>
                </c:ext>
              </c:extLst>
            </c:dLbl>
            <c:dLbl>
              <c:idx val="5"/>
              <c:layout>
                <c:manualLayout>
                  <c:x val="0"/>
                  <c:y val="4.1465100207325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E3-42D2-9D6D-3F7486E03FB6}"/>
                </c:ext>
              </c:extLst>
            </c:dLbl>
            <c:dLbl>
              <c:idx val="6"/>
              <c:layout>
                <c:manualLayout>
                  <c:x val="-8.8288569937629612E-17"/>
                  <c:y val="5.0679566920064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E3-42D2-9D6D-3F7486E03FB6}"/>
                </c:ext>
              </c:extLst>
            </c:dLbl>
            <c:dLbl>
              <c:idx val="8"/>
              <c:layout>
                <c:manualLayout>
                  <c:x val="0"/>
                  <c:y val="-5.06795669200644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E3-42D2-9D6D-3F7486E03FB6}"/>
                </c:ext>
              </c:extLst>
            </c:dLbl>
            <c:dLbl>
              <c:idx val="9"/>
              <c:layout>
                <c:manualLayout>
                  <c:x val="0"/>
                  <c:y val="-1.3821700069108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E3-42D2-9D6D-3F7486E03FB6}"/>
                </c:ext>
              </c:extLst>
            </c:dLbl>
            <c:spPr>
              <a:noFill/>
              <a:ln>
                <a:noFill/>
              </a:ln>
              <a:effectLst/>
            </c:spPr>
            <c:txPr>
              <a:bodyPr wrap="square" lIns="38100" tIns="19050" rIns="38100" bIns="19050" anchor="ctr">
                <a:spAutoFit/>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'16-64 (2)'!$B$9:$K$9</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'16-64 (2)'!$B$10:$K$10</c:f>
              <c:numCache>
                <c:formatCode>#,##0.0</c:formatCode>
                <c:ptCount val="10"/>
                <c:pt idx="0">
                  <c:v>22.3</c:v>
                </c:pt>
                <c:pt idx="1">
                  <c:v>27.4</c:v>
                </c:pt>
                <c:pt idx="2">
                  <c:v>35</c:v>
                </c:pt>
                <c:pt idx="3">
                  <c:v>32.800000000000004</c:v>
                </c:pt>
                <c:pt idx="4">
                  <c:v>35.1</c:v>
                </c:pt>
                <c:pt idx="5">
                  <c:v>36.1</c:v>
                </c:pt>
                <c:pt idx="6">
                  <c:v>36.9</c:v>
                </c:pt>
                <c:pt idx="7">
                  <c:v>37.1</c:v>
                </c:pt>
                <c:pt idx="8">
                  <c:v>29.9</c:v>
                </c:pt>
                <c:pt idx="9" formatCode="General">
                  <c:v>30.8</c:v>
                </c:pt>
              </c:numCache>
            </c:numRef>
          </c:val>
          <c:smooth val="0"/>
          <c:extLst>
            <c:ext xmlns:c16="http://schemas.microsoft.com/office/drawing/2014/chart" uri="{C3380CC4-5D6E-409C-BE32-E72D297353CC}">
              <c16:uniqueId val="{00000000-5BF7-4A49-B629-927F5ED48543}"/>
            </c:ext>
          </c:extLst>
        </c:ser>
        <c:ser>
          <c:idx val="1"/>
          <c:order val="1"/>
          <c:tx>
            <c:strRef>
              <c:f>'16-64 (2)'!$A$11</c:f>
              <c:strCache>
                <c:ptCount val="1"/>
                <c:pt idx="0">
                  <c:v>ΧΩΡΙΣ ΑΝΑΠΗΡΙΑ</c:v>
                </c:pt>
              </c:strCache>
            </c:strRef>
          </c:tx>
          <c:marker>
            <c:symbol val="none"/>
          </c:marker>
          <c:dLbls>
            <c:dLbl>
              <c:idx val="0"/>
              <c:layout>
                <c:manualLayout>
                  <c:x val="-2.2072142484407403E-17"/>
                  <c:y val="3.2250633494586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FE3-42D2-9D6D-3F7486E03FB6}"/>
                </c:ext>
              </c:extLst>
            </c:dLbl>
            <c:dLbl>
              <c:idx val="1"/>
              <c:layout>
                <c:manualLayout>
                  <c:x val="0"/>
                  <c:y val="2.30361667818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FE3-42D2-9D6D-3F7486E03FB6}"/>
                </c:ext>
              </c:extLst>
            </c:dLbl>
            <c:dLbl>
              <c:idx val="2"/>
              <c:layout>
                <c:manualLayout>
                  <c:x val="-4.4144284968814806E-17"/>
                  <c:y val="3.6857866850956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FE3-42D2-9D6D-3F7486E03FB6}"/>
                </c:ext>
              </c:extLst>
            </c:dLbl>
            <c:dLbl>
              <c:idx val="3"/>
              <c:layout>
                <c:manualLayout>
                  <c:x val="0"/>
                  <c:y val="4.1465100207325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FE3-42D2-9D6D-3F7486E03FB6}"/>
                </c:ext>
              </c:extLst>
            </c:dLbl>
            <c:dLbl>
              <c:idx val="4"/>
              <c:layout>
                <c:manualLayout>
                  <c:x val="0"/>
                  <c:y val="6.9108500345542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FE3-42D2-9D6D-3F7486E03FB6}"/>
                </c:ext>
              </c:extLst>
            </c:dLbl>
            <c:dLbl>
              <c:idx val="5"/>
              <c:layout>
                <c:manualLayout>
                  <c:x val="0"/>
                  <c:y val="7.8322967058281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FE3-42D2-9D6D-3F7486E03FB6}"/>
                </c:ext>
              </c:extLst>
            </c:dLbl>
            <c:dLbl>
              <c:idx val="6"/>
              <c:layout>
                <c:manualLayout>
                  <c:x val="-8.8288569937629612E-17"/>
                  <c:y val="-1.8428933425478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FE3-42D2-9D6D-3F7486E03FB6}"/>
                </c:ext>
              </c:extLst>
            </c:dLbl>
            <c:dLbl>
              <c:idx val="7"/>
              <c:layout>
                <c:manualLayout>
                  <c:x val="0"/>
                  <c:y val="-1.3821700069108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FE3-42D2-9D6D-3F7486E03FB6}"/>
                </c:ext>
              </c:extLst>
            </c:dLbl>
            <c:dLbl>
              <c:idx val="8"/>
              <c:layout>
                <c:manualLayout>
                  <c:x val="0"/>
                  <c:y val="-2.7643400138217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FE3-42D2-9D6D-3F7486E03FB6}"/>
                </c:ext>
              </c:extLst>
            </c:dLbl>
            <c:dLbl>
              <c:idx val="9"/>
              <c:layout>
                <c:manualLayout>
                  <c:x val="0"/>
                  <c:y val="-1.3821700069108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E3-42D2-9D6D-3F7486E03FB6}"/>
                </c:ext>
              </c:extLst>
            </c:dLbl>
            <c:spPr>
              <a:noFill/>
              <a:ln>
                <a:noFill/>
              </a:ln>
              <a:effectLst/>
            </c:spPr>
            <c:txPr>
              <a:bodyPr wrap="square" lIns="38100" tIns="19050" rIns="38100" bIns="19050" anchor="ctr">
                <a:spAutoFit/>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'16-64 (2)'!$B$9:$K$9</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'16-64 (2)'!$B$11:$K$11</c:f>
              <c:numCache>
                <c:formatCode>#,##0.0</c:formatCode>
                <c:ptCount val="10"/>
                <c:pt idx="0">
                  <c:v>10.4</c:v>
                </c:pt>
                <c:pt idx="1">
                  <c:v>14.9</c:v>
                </c:pt>
                <c:pt idx="2">
                  <c:v>20.100000000000001</c:v>
                </c:pt>
                <c:pt idx="3">
                  <c:v>20.7</c:v>
                </c:pt>
                <c:pt idx="4">
                  <c:v>22</c:v>
                </c:pt>
                <c:pt idx="5">
                  <c:v>22.4</c:v>
                </c:pt>
                <c:pt idx="6">
                  <c:v>22.5</c:v>
                </c:pt>
                <c:pt idx="7">
                  <c:v>20.7</c:v>
                </c:pt>
                <c:pt idx="8">
                  <c:v>16.399999999999999</c:v>
                </c:pt>
                <c:pt idx="9">
                  <c:v>15.9</c:v>
                </c:pt>
              </c:numCache>
            </c:numRef>
          </c:val>
          <c:smooth val="0"/>
          <c:extLst>
            <c:ext xmlns:c16="http://schemas.microsoft.com/office/drawing/2014/chart" uri="{C3380CC4-5D6E-409C-BE32-E72D297353CC}">
              <c16:uniqueId val="{00000001-5BF7-4A49-B629-927F5ED48543}"/>
            </c:ext>
          </c:extLst>
        </c:ser>
        <c:dLbls>
          <c:showLegendKey val="0"/>
          <c:showVal val="0"/>
          <c:showCatName val="0"/>
          <c:showSerName val="0"/>
          <c:showPercent val="0"/>
          <c:showBubbleSize val="0"/>
        </c:dLbls>
        <c:smooth val="0"/>
        <c:axId val="124744064"/>
        <c:axId val="124745600"/>
      </c:lineChart>
      <c:catAx>
        <c:axId val="124744064"/>
        <c:scaling>
          <c:orientation val="minMax"/>
        </c:scaling>
        <c:delete val="0"/>
        <c:axPos val="b"/>
        <c:numFmt formatCode="General" sourceLinked="0"/>
        <c:majorTickMark val="none"/>
        <c:minorTickMark val="none"/>
        <c:tickLblPos val="nextTo"/>
        <c:crossAx val="124745600"/>
        <c:crosses val="autoZero"/>
        <c:auto val="1"/>
        <c:lblAlgn val="ctr"/>
        <c:lblOffset val="100"/>
        <c:noMultiLvlLbl val="0"/>
      </c:catAx>
      <c:valAx>
        <c:axId val="124745600"/>
        <c:scaling>
          <c:orientation val="minMax"/>
        </c:scaling>
        <c:delete val="0"/>
        <c:axPos val="l"/>
        <c:numFmt formatCode="#,##0.0" sourceLinked="1"/>
        <c:majorTickMark val="none"/>
        <c:minorTickMark val="none"/>
        <c:tickLblPos val="nextTo"/>
        <c:spPr>
          <a:ln w="9525">
            <a:noFill/>
          </a:ln>
        </c:spPr>
        <c:crossAx val="1247440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1AB8-37CD-4F41-BED8-0D83F3BD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23</Pages>
  <Words>5537</Words>
  <Characters>31564</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5ο ΔΕΛΤΙΟ ΣΤΑΤΙΣΤΙΚΗΣ ΠΛΗΡΟΦΟΡΗΣΗΣ</vt:lpstr>
    </vt:vector>
  </TitlesOfParts>
  <Company>Εθνική Συνομοσπονδία Ατόμων με Αναπηρία (Ε.Σ.Α.μεΑ.)</Company>
  <LinksUpToDate>false</LinksUpToDate>
  <CharactersWithSpaces>37027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5ο ΔΕΛΤΙΟ ΣΤΑΤΙΣΤΙΚΗΣ ΠΛΗΡΟΦΟΡΗΣΗΣ</dc:title>
  <dc:subject>ΣΤΟΙΧΕΙΑ ΓΙΑ ΤΗΝ ΕΚΠΑΙΔΕΥΣΗ ΤΩΝ ΜΑΘΗΤΩΝ ΜΕ ΑΝΑΠΗΡΙΑ Η/ΚΑΙ ΕΙΔΙΚΕΣ ΕΚΠΑΙΔΕΥΤΙΚΕΣ ΑΝΑΓΚΕΣ</dc:subject>
  <dc:creator>Παρατηρητήριο Θεμάτων Αναπηρίας</dc:creator>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AM</cp:lastModifiedBy>
  <cp:revision>6</cp:revision>
  <cp:lastPrinted>2020-12-23T11:26:00Z</cp:lastPrinted>
  <dcterms:created xsi:type="dcterms:W3CDTF">2020-12-21T13:09:00Z</dcterms:created>
  <dcterms:modified xsi:type="dcterms:W3CDTF">2020-12-23T11:27:00Z</dcterms:modified>
</cp:coreProperties>
</file>