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796" w:rsidRDefault="005C5796" w:rsidP="005C5796">
      <w:pPr>
        <w:tabs>
          <w:tab w:val="left" w:pos="2268"/>
        </w:tabs>
        <w:jc w:val="center"/>
        <w:rPr>
          <w:b/>
          <w:sz w:val="24"/>
          <w:szCs w:val="24"/>
        </w:rPr>
      </w:pPr>
      <w:r>
        <w:rPr>
          <w:b/>
          <w:sz w:val="24"/>
          <w:szCs w:val="24"/>
        </w:rPr>
        <w:t>…… MAHKEMESİNE</w:t>
      </w:r>
    </w:p>
    <w:p w:rsidR="005C5796" w:rsidRDefault="005C5796" w:rsidP="005C5796">
      <w:pPr>
        <w:tabs>
          <w:tab w:val="left" w:pos="2268"/>
        </w:tabs>
        <w:jc w:val="both"/>
        <w:rPr>
          <w:b/>
          <w:sz w:val="24"/>
          <w:szCs w:val="24"/>
        </w:rPr>
      </w:pPr>
      <w:r>
        <w:rPr>
          <w:b/>
          <w:sz w:val="24"/>
          <w:szCs w:val="24"/>
          <w:u w:val="single"/>
        </w:rPr>
        <w:t>DOSYA NO</w:t>
      </w:r>
      <w:r>
        <w:rPr>
          <w:b/>
          <w:sz w:val="24"/>
          <w:szCs w:val="24"/>
          <w:u w:val="single"/>
        </w:rPr>
        <w:tab/>
      </w:r>
      <w:r>
        <w:rPr>
          <w:b/>
          <w:sz w:val="24"/>
          <w:szCs w:val="24"/>
        </w:rPr>
        <w:t xml:space="preserve">: </w:t>
      </w:r>
      <w:r>
        <w:rPr>
          <w:sz w:val="24"/>
          <w:szCs w:val="24"/>
        </w:rPr>
        <w:t>……</w:t>
      </w:r>
    </w:p>
    <w:p w:rsidR="005C5796" w:rsidRDefault="005C5796" w:rsidP="005C5796">
      <w:pPr>
        <w:tabs>
          <w:tab w:val="left" w:pos="2268"/>
        </w:tabs>
        <w:jc w:val="both"/>
        <w:rPr>
          <w:b/>
          <w:sz w:val="24"/>
          <w:szCs w:val="24"/>
        </w:rPr>
      </w:pPr>
      <w:r>
        <w:rPr>
          <w:b/>
          <w:sz w:val="24"/>
          <w:szCs w:val="24"/>
          <w:u w:val="single"/>
        </w:rPr>
        <w:t>SANIK</w:t>
      </w:r>
      <w:r>
        <w:rPr>
          <w:b/>
          <w:sz w:val="24"/>
          <w:szCs w:val="24"/>
          <w:u w:val="single"/>
        </w:rPr>
        <w:tab/>
      </w:r>
      <w:r>
        <w:rPr>
          <w:b/>
          <w:sz w:val="24"/>
          <w:szCs w:val="24"/>
        </w:rPr>
        <w:t xml:space="preserve">: </w:t>
      </w:r>
      <w:r>
        <w:rPr>
          <w:sz w:val="24"/>
          <w:szCs w:val="24"/>
        </w:rPr>
        <w:t>……</w:t>
      </w:r>
    </w:p>
    <w:p w:rsidR="005C5796" w:rsidRDefault="005C5796" w:rsidP="005C5796">
      <w:pPr>
        <w:tabs>
          <w:tab w:val="left" w:pos="2268"/>
        </w:tabs>
        <w:jc w:val="both"/>
        <w:rPr>
          <w:b/>
          <w:sz w:val="24"/>
          <w:szCs w:val="24"/>
        </w:rPr>
      </w:pPr>
      <w:r>
        <w:rPr>
          <w:b/>
          <w:sz w:val="24"/>
          <w:szCs w:val="24"/>
          <w:u w:val="single"/>
        </w:rPr>
        <w:t>MÜDAFİ</w:t>
      </w:r>
      <w:r>
        <w:rPr>
          <w:b/>
          <w:sz w:val="24"/>
          <w:szCs w:val="24"/>
          <w:u w:val="single"/>
        </w:rPr>
        <w:tab/>
      </w:r>
      <w:r>
        <w:rPr>
          <w:b/>
          <w:sz w:val="24"/>
          <w:szCs w:val="24"/>
        </w:rPr>
        <w:t xml:space="preserve">: </w:t>
      </w:r>
      <w:r>
        <w:rPr>
          <w:sz w:val="24"/>
          <w:szCs w:val="24"/>
        </w:rPr>
        <w:t>……</w:t>
      </w:r>
    </w:p>
    <w:p w:rsidR="005C5796" w:rsidRDefault="005C5796" w:rsidP="005C5796">
      <w:pPr>
        <w:tabs>
          <w:tab w:val="left" w:pos="2268"/>
        </w:tabs>
        <w:jc w:val="both"/>
        <w:rPr>
          <w:sz w:val="24"/>
          <w:szCs w:val="24"/>
        </w:rPr>
      </w:pPr>
      <w:r>
        <w:rPr>
          <w:b/>
          <w:sz w:val="24"/>
          <w:szCs w:val="24"/>
          <w:u w:val="single"/>
        </w:rPr>
        <w:t>KONU</w:t>
      </w:r>
      <w:r>
        <w:rPr>
          <w:b/>
          <w:sz w:val="24"/>
          <w:szCs w:val="24"/>
          <w:u w:val="single"/>
        </w:rPr>
        <w:tab/>
      </w:r>
      <w:r>
        <w:rPr>
          <w:b/>
          <w:sz w:val="24"/>
          <w:szCs w:val="24"/>
        </w:rPr>
        <w:t xml:space="preserve">: </w:t>
      </w:r>
      <w:r>
        <w:rPr>
          <w:sz w:val="24"/>
          <w:szCs w:val="24"/>
        </w:rPr>
        <w:t xml:space="preserve">Savunma dilekçesi </w:t>
      </w:r>
    </w:p>
    <w:p w:rsidR="005C5796" w:rsidRDefault="005C5796" w:rsidP="005C5796">
      <w:pPr>
        <w:tabs>
          <w:tab w:val="left" w:pos="567"/>
        </w:tabs>
        <w:jc w:val="center"/>
        <w:rPr>
          <w:b/>
          <w:sz w:val="24"/>
          <w:szCs w:val="24"/>
        </w:rPr>
      </w:pPr>
      <w:r>
        <w:rPr>
          <w:b/>
          <w:sz w:val="24"/>
          <w:szCs w:val="24"/>
        </w:rPr>
        <w:t>AÇIKLAMALARIMIZ</w:t>
      </w:r>
    </w:p>
    <w:p w:rsidR="005C5796" w:rsidRDefault="005C5796" w:rsidP="005C5796">
      <w:pPr>
        <w:tabs>
          <w:tab w:val="left" w:pos="567"/>
        </w:tabs>
        <w:jc w:val="both"/>
        <w:rPr>
          <w:sz w:val="24"/>
          <w:szCs w:val="24"/>
        </w:rPr>
      </w:pPr>
      <w:r>
        <w:rPr>
          <w:sz w:val="24"/>
          <w:szCs w:val="24"/>
        </w:rPr>
        <w:tab/>
        <w:t>Müvekkil</w:t>
      </w:r>
      <w:r>
        <w:rPr>
          <w:b/>
          <w:sz w:val="24"/>
          <w:szCs w:val="24"/>
        </w:rPr>
        <w:t xml:space="preserve"> </w:t>
      </w:r>
      <w:r>
        <w:rPr>
          <w:sz w:val="24"/>
          <w:szCs w:val="24"/>
        </w:rPr>
        <w:t xml:space="preserve">…… suçsuz olup; beraatine karar verilmesi gerekmektedir. Şöyle ki; </w:t>
      </w:r>
    </w:p>
    <w:p w:rsidR="005C5796" w:rsidRDefault="005C5796" w:rsidP="005C5796">
      <w:pPr>
        <w:tabs>
          <w:tab w:val="left" w:pos="567"/>
        </w:tabs>
        <w:jc w:val="both"/>
        <w:rPr>
          <w:sz w:val="24"/>
          <w:szCs w:val="24"/>
        </w:rPr>
      </w:pPr>
      <w:r>
        <w:rPr>
          <w:b/>
          <w:sz w:val="24"/>
          <w:szCs w:val="24"/>
        </w:rPr>
        <w:t>1-</w:t>
      </w:r>
      <w:r>
        <w:rPr>
          <w:sz w:val="24"/>
          <w:szCs w:val="24"/>
        </w:rPr>
        <w:t xml:space="preserve"> Müvekkil, uyuşturucu madde ele geçirilen aracın sahibi olmayıp; araç …… ismine kayıtlıdır ve aracı fiilen …… isimli kişi kullanmaktadır.</w:t>
      </w:r>
    </w:p>
    <w:p w:rsidR="005C5796" w:rsidRDefault="005C5796" w:rsidP="005C5796">
      <w:pPr>
        <w:tabs>
          <w:tab w:val="left" w:pos="567"/>
        </w:tabs>
        <w:jc w:val="both"/>
        <w:rPr>
          <w:sz w:val="24"/>
          <w:szCs w:val="24"/>
        </w:rPr>
      </w:pPr>
      <w:r>
        <w:rPr>
          <w:b/>
          <w:sz w:val="24"/>
          <w:szCs w:val="24"/>
        </w:rPr>
        <w:t>2-</w:t>
      </w:r>
      <w:r>
        <w:rPr>
          <w:sz w:val="24"/>
          <w:szCs w:val="24"/>
        </w:rPr>
        <w:t xml:space="preserve"> Uyuşturucu maddelerin söz konusu araca müvekkil tarafından konulduğuna ilişkin hiçbir somut delil bulunmamaktadır. Suç konusu uyuşturucu maddelerde ve aracın torpido kısmında müvekkilin parmak izi ve benzeri hiçbir delil bulunmamaktadır. </w:t>
      </w:r>
    </w:p>
    <w:p w:rsidR="005C5796" w:rsidRDefault="005C5796" w:rsidP="005C5796">
      <w:pPr>
        <w:tabs>
          <w:tab w:val="left" w:pos="567"/>
        </w:tabs>
        <w:jc w:val="both"/>
        <w:rPr>
          <w:sz w:val="24"/>
          <w:szCs w:val="24"/>
        </w:rPr>
      </w:pPr>
      <w:r>
        <w:rPr>
          <w:b/>
          <w:sz w:val="24"/>
          <w:szCs w:val="24"/>
        </w:rPr>
        <w:t>3-</w:t>
      </w:r>
      <w:r>
        <w:rPr>
          <w:sz w:val="24"/>
          <w:szCs w:val="24"/>
        </w:rPr>
        <w:t xml:space="preserve"> Masumiyet karinesi uyarınca da müvekkile beraat kararı verilmesi gerekmektedir. </w:t>
      </w:r>
    </w:p>
    <w:p w:rsidR="005C5796" w:rsidRDefault="005C5796" w:rsidP="005C5796">
      <w:pPr>
        <w:tabs>
          <w:tab w:val="left" w:pos="567"/>
        </w:tabs>
        <w:jc w:val="center"/>
        <w:rPr>
          <w:b/>
          <w:sz w:val="24"/>
          <w:szCs w:val="24"/>
          <w:u w:val="single"/>
        </w:rPr>
      </w:pPr>
      <w:r>
        <w:rPr>
          <w:b/>
          <w:sz w:val="24"/>
          <w:szCs w:val="24"/>
          <w:u w:val="single"/>
        </w:rPr>
        <w:t>CGK., E. 2011/10-776 K. 2012/252 T. 26.6.2012</w:t>
      </w:r>
    </w:p>
    <w:p w:rsidR="005C5796" w:rsidRDefault="005C5796" w:rsidP="005C5796">
      <w:pPr>
        <w:tabs>
          <w:tab w:val="left" w:pos="567"/>
        </w:tabs>
        <w:jc w:val="both"/>
        <w:rPr>
          <w:i/>
          <w:sz w:val="24"/>
          <w:szCs w:val="24"/>
        </w:rPr>
      </w:pPr>
      <w:r>
        <w:rPr>
          <w:i/>
          <w:sz w:val="24"/>
          <w:szCs w:val="24"/>
        </w:rPr>
        <w:t xml:space="preserve">“…masumiyet (suçsuzluk) karinesinin bir uzantısı olan “şüpheden sanık yararlanır ilkesi” ceza yargılaması hukukunun evrensel nitelikteki önemli ilkelerinden birisidir. </w:t>
      </w:r>
      <w:r>
        <w:rPr>
          <w:i/>
          <w:sz w:val="24"/>
          <w:szCs w:val="24"/>
          <w:u w:val="single"/>
        </w:rPr>
        <w:t>Sanığın bir suçtan cezalandırılmasının temel koşulu, suçun kuşkuya yer vermeyen bir kesinlikle ispat edilmesine bağlıdır. Şüpheli ve aydınlatılamamış olaylar ve iddialar sanığın aleyhine yorumlanarak hüküm tesis edilemez. Ceza mahkûmiyeti bir ihtimale değil, kesin ve açık bir ispata dayanmalıdır</w:t>
      </w:r>
      <w:r>
        <w:rPr>
          <w:i/>
          <w:sz w:val="24"/>
          <w:szCs w:val="24"/>
        </w:rPr>
        <w:t xml:space="preserve">. Bu ispat, teorik de olsa hiçbir kuşku ve başka türlü bir oluşa olanak vermemelidir. </w:t>
      </w:r>
      <w:r>
        <w:rPr>
          <w:i/>
          <w:sz w:val="24"/>
          <w:szCs w:val="24"/>
          <w:u w:val="single"/>
        </w:rPr>
        <w:t>Yüksek de olsa bir ihtimale dayanılarak sanığı cezalandırmak, ceza yargılamasının en önemli amacı olan gerçeğe ulaşmadan hüküm vermektir</w:t>
      </w:r>
      <w:r>
        <w:rPr>
          <w:i/>
          <w:sz w:val="24"/>
          <w:szCs w:val="24"/>
        </w:rPr>
        <w:t>. İhtimallere dayanan gerekçe ile hüküm kurulamaz…”</w:t>
      </w:r>
    </w:p>
    <w:p w:rsidR="005C5796" w:rsidRDefault="005C5796" w:rsidP="005C5796">
      <w:pPr>
        <w:tabs>
          <w:tab w:val="left" w:pos="567"/>
        </w:tabs>
        <w:jc w:val="both"/>
        <w:rPr>
          <w:sz w:val="24"/>
          <w:szCs w:val="24"/>
        </w:rPr>
      </w:pPr>
      <w:r>
        <w:rPr>
          <w:b/>
          <w:sz w:val="24"/>
          <w:szCs w:val="24"/>
        </w:rPr>
        <w:t xml:space="preserve">4- </w:t>
      </w:r>
      <w:r>
        <w:rPr>
          <w:sz w:val="24"/>
          <w:szCs w:val="24"/>
        </w:rPr>
        <w:t xml:space="preserve">Müvekkilin kanında herhangi bir uyuşturucu maddeye de rastlanılamamış olup; benzeri bir suçtan sabıkası bulunmamaktadır. Ayrıca yapılan arama hukuka aykırıdır. </w:t>
      </w:r>
    </w:p>
    <w:p w:rsidR="005C5796" w:rsidRDefault="005C5796" w:rsidP="005C5796">
      <w:pPr>
        <w:tabs>
          <w:tab w:val="left" w:pos="567"/>
        </w:tabs>
        <w:jc w:val="center"/>
        <w:rPr>
          <w:b/>
          <w:sz w:val="24"/>
          <w:szCs w:val="24"/>
        </w:rPr>
      </w:pPr>
      <w:r>
        <w:rPr>
          <w:b/>
          <w:sz w:val="24"/>
          <w:szCs w:val="24"/>
        </w:rPr>
        <w:t>T.C. YARGITAY 20. CEZA DAİRESİ E.2015/28 K. 2015/2428 T.24.06.2015</w:t>
      </w:r>
    </w:p>
    <w:p w:rsidR="005C5796" w:rsidRDefault="005C5796" w:rsidP="005C5796">
      <w:pPr>
        <w:tabs>
          <w:tab w:val="left" w:pos="567"/>
        </w:tabs>
        <w:jc w:val="both"/>
        <w:rPr>
          <w:i/>
          <w:sz w:val="24"/>
          <w:szCs w:val="24"/>
        </w:rPr>
      </w:pPr>
      <w:r>
        <w:rPr>
          <w:i/>
          <w:sz w:val="24"/>
          <w:szCs w:val="24"/>
        </w:rPr>
        <w:t xml:space="preserve">“…hukuka aykırı aramalar sonucu ele geçirilen uyuşturucu maddelerin, “suçun maddi konusu” ve “suçun delili” olarak hükme esas alınamayacağı gözetilerek, somut olayda suçun maddi konusunun bulunmaması sebebiyle suçun unsurları oluşmadığından, </w:t>
      </w:r>
      <w:r>
        <w:rPr>
          <w:i/>
          <w:sz w:val="24"/>
          <w:szCs w:val="24"/>
          <w:u w:val="single"/>
        </w:rPr>
        <w:t>SANIK HAKKINDA BERAAT KARARI VERİLMESİ GEREKİRKEN</w:t>
      </w:r>
      <w:r>
        <w:rPr>
          <w:i/>
          <w:sz w:val="24"/>
          <w:szCs w:val="24"/>
        </w:rPr>
        <w:t>, TCK’ nın 188/3-4 fıkraları uyarınca mahkûmiyet hükmü kurulması…”</w:t>
      </w:r>
    </w:p>
    <w:p w:rsidR="005C5796" w:rsidRDefault="005C5796" w:rsidP="005C5796">
      <w:pPr>
        <w:tabs>
          <w:tab w:val="left" w:pos="567"/>
        </w:tabs>
        <w:jc w:val="both"/>
        <w:rPr>
          <w:sz w:val="24"/>
          <w:szCs w:val="24"/>
        </w:rPr>
      </w:pPr>
      <w:r>
        <w:rPr>
          <w:sz w:val="24"/>
          <w:szCs w:val="24"/>
        </w:rPr>
        <w:lastRenderedPageBreak/>
        <w:t xml:space="preserve">Yukarıda açıklanan tüm sebeplerle müvekkile beraat kararı verilmesini talep etme zorunluluğu hâsıl olmuştur. </w:t>
      </w:r>
    </w:p>
    <w:p w:rsidR="005C5796" w:rsidRDefault="005C5796" w:rsidP="005C5796">
      <w:pPr>
        <w:tabs>
          <w:tab w:val="left" w:pos="567"/>
        </w:tabs>
        <w:jc w:val="both"/>
        <w:rPr>
          <w:sz w:val="24"/>
          <w:szCs w:val="24"/>
        </w:rPr>
      </w:pPr>
      <w:r>
        <w:rPr>
          <w:b/>
          <w:sz w:val="24"/>
          <w:szCs w:val="24"/>
          <w:u w:val="single"/>
        </w:rPr>
        <w:t>SONUÇ VE İSTEM</w:t>
      </w:r>
      <w:r>
        <w:rPr>
          <w:b/>
          <w:sz w:val="24"/>
          <w:szCs w:val="24"/>
          <w:u w:val="single"/>
        </w:rPr>
        <w:tab/>
      </w:r>
      <w:r>
        <w:rPr>
          <w:sz w:val="24"/>
          <w:szCs w:val="24"/>
        </w:rPr>
        <w:t>: Müvekkilin iddia edilen suçu işlediğine ilişkin olarak hiçbir somut delil bulunmaması ve müvekkilin suçsuz olması sebebiyle BERAATİNE karar verilmesini saygılarımızla arz ve talep ederiz. (Tarih: …/…/………)</w:t>
      </w:r>
    </w:p>
    <w:p w:rsidR="005C5796" w:rsidRDefault="005C5796" w:rsidP="005C5796">
      <w:pPr>
        <w:tabs>
          <w:tab w:val="left" w:pos="567"/>
        </w:tabs>
        <w:jc w:val="right"/>
        <w:rPr>
          <w:b/>
          <w:sz w:val="24"/>
          <w:szCs w:val="24"/>
        </w:rPr>
      </w:pPr>
      <w:r>
        <w:rPr>
          <w:b/>
          <w:sz w:val="24"/>
          <w:szCs w:val="24"/>
        </w:rPr>
        <w:t>SANIK MÜDAFİ</w:t>
      </w:r>
    </w:p>
    <w:p w:rsidR="005C5796" w:rsidRDefault="005C5796" w:rsidP="005C5796">
      <w:pPr>
        <w:tabs>
          <w:tab w:val="left" w:pos="567"/>
        </w:tabs>
        <w:jc w:val="right"/>
        <w:rPr>
          <w:b/>
          <w:sz w:val="24"/>
          <w:szCs w:val="24"/>
        </w:rPr>
      </w:pPr>
      <w:r>
        <w:rPr>
          <w:b/>
          <w:sz w:val="24"/>
          <w:szCs w:val="24"/>
        </w:rPr>
        <w:t xml:space="preserve">…… </w:t>
      </w:r>
    </w:p>
    <w:p w:rsidR="007A44FE" w:rsidRDefault="007A44FE">
      <w:bookmarkStart w:id="0" w:name="_GoBack"/>
      <w:bookmarkEnd w:id="0"/>
    </w:p>
    <w:sectPr w:rsidR="007A44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0AB"/>
    <w:rsid w:val="000670AB"/>
    <w:rsid w:val="005C5796"/>
    <w:rsid w:val="007A44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7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7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29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2021-05-11T06:51:00Z</dcterms:created>
  <dcterms:modified xsi:type="dcterms:W3CDTF">2021-05-11T06:51:00Z</dcterms:modified>
</cp:coreProperties>
</file>