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2DD89" w14:textId="1535E34A" w:rsidR="00E90984" w:rsidRPr="00F6472A" w:rsidRDefault="00E90984" w:rsidP="00E90984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 xml:space="preserve">RST LEAVER </w:t>
      </w:r>
      <w:r>
        <w:rPr>
          <w:rFonts w:ascii="Calibri" w:hAnsi="Calibri" w:cs="Arial"/>
          <w:b/>
          <w:sz w:val="22"/>
          <w:szCs w:val="22"/>
        </w:rPr>
        <w:t xml:space="preserve">– </w:t>
      </w:r>
      <w:r w:rsidRPr="00F6472A">
        <w:rPr>
          <w:rFonts w:ascii="Calibri" w:hAnsi="Calibri" w:cs="Arial"/>
          <w:b/>
          <w:sz w:val="22"/>
          <w:szCs w:val="22"/>
        </w:rPr>
        <w:t>PRESERVED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 xml:space="preserve">CETV </w:t>
      </w:r>
      <w:r>
        <w:rPr>
          <w:rFonts w:ascii="Calibri" w:hAnsi="Calibri" w:cs="Arial"/>
          <w:b/>
          <w:sz w:val="22"/>
          <w:szCs w:val="22"/>
        </w:rPr>
        <w:t>(</w:t>
      </w:r>
      <w:r w:rsidRPr="00F6472A">
        <w:rPr>
          <w:rFonts w:ascii="Calibri" w:hAnsi="Calibri" w:cs="Arial"/>
          <w:b/>
          <w:sz w:val="22"/>
          <w:szCs w:val="22"/>
        </w:rPr>
        <w:t xml:space="preserve">WITH </w:t>
      </w:r>
      <w:r>
        <w:rPr>
          <w:rFonts w:ascii="Calibri" w:hAnsi="Calibri" w:cs="Arial"/>
          <w:b/>
          <w:sz w:val="22"/>
          <w:szCs w:val="22"/>
        </w:rPr>
        <w:t>TRANSFER IN)</w:t>
      </w:r>
    </w:p>
    <w:p w14:paraId="00199987" w14:textId="3081ACE0" w:rsidR="00E90984" w:rsidRPr="00F6472A" w:rsidRDefault="00E90984" w:rsidP="00E90984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Letter to </w:t>
      </w:r>
      <w:r>
        <w:rPr>
          <w:rFonts w:ascii="Calibri" w:hAnsi="Calibri" w:cs="Arial"/>
          <w:b/>
          <w:sz w:val="22"/>
          <w:szCs w:val="22"/>
        </w:rPr>
        <w:t>AILSA COOK</w:t>
      </w:r>
    </w:p>
    <w:p w14:paraId="712391D4" w14:textId="77777777" w:rsidR="00E90984" w:rsidRPr="00F6472A" w:rsidRDefault="00E90984" w:rsidP="00E90984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7C9E5E49" w14:textId="01DFBA57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Pr="00B478C3">
        <w:rPr>
          <w:rFonts w:ascii="Calibri" w:hAnsi="Calibri" w:cs="Arial"/>
          <w:b/>
          <w:sz w:val="22"/>
          <w:szCs w:val="22"/>
        </w:rPr>
        <w:t>0</w:t>
      </w:r>
      <w:r>
        <w:rPr>
          <w:rFonts w:ascii="Calibri" w:hAnsi="Calibri" w:cs="Arial"/>
          <w:b/>
          <w:sz w:val="22"/>
          <w:szCs w:val="22"/>
        </w:rPr>
        <w:t>2</w:t>
      </w:r>
      <w:r w:rsidRPr="00B478C3">
        <w:rPr>
          <w:rFonts w:ascii="Calibri" w:hAnsi="Calibri" w:cs="Arial"/>
          <w:b/>
          <w:sz w:val="22"/>
          <w:szCs w:val="22"/>
        </w:rPr>
        <w:t>/09/2020</w:t>
      </w:r>
      <w:r>
        <w:rPr>
          <w:rFonts w:ascii="Calibri" w:hAnsi="Calibri" w:cs="Arial"/>
          <w:sz w:val="22"/>
          <w:szCs w:val="22"/>
        </w:rPr>
        <w:t>)</w:t>
      </w:r>
    </w:p>
    <w:p w14:paraId="653B9455" w14:textId="59881F79" w:rsidR="00E90984" w:rsidRPr="00F82F15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i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 xml:space="preserve">13,246.99 </w:t>
      </w:r>
      <w:r w:rsidRPr="00F6472A">
        <w:rPr>
          <w:rFonts w:ascii="Calibri" w:hAnsi="Calibri" w:cs="Arial"/>
          <w:sz w:val="22"/>
          <w:szCs w:val="22"/>
        </w:rPr>
        <w:t xml:space="preserve">per annum [versus </w:t>
      </w:r>
      <w:r>
        <w:rPr>
          <w:rFonts w:ascii="Calibri" w:hAnsi="Calibri" w:cs="Arial"/>
          <w:sz w:val="22"/>
          <w:szCs w:val="22"/>
        </w:rPr>
        <w:t>UNDERPIN</w:t>
      </w:r>
      <w:r w:rsidRPr="00F6472A">
        <w:rPr>
          <w:rFonts w:ascii="Calibri" w:hAnsi="Calibri" w:cs="Arial"/>
          <w:sz w:val="22"/>
          <w:szCs w:val="22"/>
        </w:rPr>
        <w:t xml:space="preserve"> pension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>
        <w:rPr>
          <w:rFonts w:ascii="Calibri" w:hAnsi="Calibri" w:cs="Arial"/>
          <w:b/>
          <w:sz w:val="22"/>
          <w:szCs w:val="22"/>
          <w:lang w:val="en-US"/>
        </w:rPr>
        <w:t>10,986.67</w:t>
      </w:r>
      <w:r w:rsidRPr="00F6472A">
        <w:rPr>
          <w:rFonts w:ascii="Calibri" w:hAnsi="Calibri" w:cs="Arial"/>
          <w:sz w:val="22"/>
          <w:szCs w:val="22"/>
        </w:rPr>
        <w:t xml:space="preserve"> p</w:t>
      </w:r>
      <w:r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 [</w:t>
      </w:r>
      <w:r w:rsidRPr="000B7FCB">
        <w:rPr>
          <w:rFonts w:ascii="Calibri" w:hAnsi="Calibri" w:cs="Arial"/>
          <w:sz w:val="22"/>
          <w:szCs w:val="22"/>
        </w:rPr>
        <w:t>split pre 6/04/2006</w:t>
      </w:r>
      <w:r>
        <w:rPr>
          <w:rFonts w:ascii="Calibri" w:hAnsi="Calibri" w:cs="Arial"/>
          <w:sz w:val="22"/>
          <w:szCs w:val="22"/>
        </w:rPr>
        <w:t xml:space="preserve"> = 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5</w:t>
      </w:r>
      <w:r w:rsidRPr="000B7FCB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>718</w:t>
      </w:r>
      <w:r w:rsidRPr="000B7FCB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39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 </w:t>
      </w:r>
      <w:r w:rsidRPr="000B7FCB">
        <w:rPr>
          <w:rFonts w:ascii="Calibri" w:hAnsi="Calibri" w:cs="Arial"/>
          <w:sz w:val="22"/>
          <w:szCs w:val="22"/>
        </w:rPr>
        <w:t>and post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 xml:space="preserve">7,528.60 </w:t>
      </w:r>
      <w:r>
        <w:rPr>
          <w:rFonts w:ascii="Calibri" w:hAnsi="Calibri" w:cs="Arial"/>
          <w:sz w:val="22"/>
          <w:szCs w:val="22"/>
        </w:rPr>
        <w:t xml:space="preserve">per annum] – </w:t>
      </w:r>
      <w:r w:rsidRPr="00F82F15">
        <w:rPr>
          <w:rFonts w:ascii="Calibri" w:hAnsi="Calibri" w:cs="Arial"/>
          <w:i/>
          <w:sz w:val="22"/>
          <w:szCs w:val="22"/>
        </w:rPr>
        <w:t>plus men</w:t>
      </w:r>
      <w:r>
        <w:rPr>
          <w:rFonts w:ascii="Calibri" w:hAnsi="Calibri" w:cs="Arial"/>
          <w:i/>
          <w:sz w:val="22"/>
          <w:szCs w:val="22"/>
        </w:rPr>
        <w:t>t</w:t>
      </w:r>
      <w:r w:rsidRPr="00F82F15">
        <w:rPr>
          <w:rFonts w:ascii="Calibri" w:hAnsi="Calibri" w:cs="Arial"/>
          <w:i/>
          <w:sz w:val="22"/>
          <w:szCs w:val="22"/>
        </w:rPr>
        <w:t xml:space="preserve">ion transfer in of </w:t>
      </w:r>
      <w:r w:rsidRPr="00F82F15">
        <w:rPr>
          <w:rFonts w:ascii="Calibri" w:hAnsi="Calibri" w:cs="Arial"/>
          <w:b/>
          <w:i/>
          <w:sz w:val="22"/>
          <w:szCs w:val="22"/>
        </w:rPr>
        <w:t>£3,250.00</w:t>
      </w:r>
      <w:r w:rsidRPr="00F82F15">
        <w:rPr>
          <w:rFonts w:ascii="Calibri" w:hAnsi="Calibri" w:cs="Arial"/>
          <w:i/>
          <w:sz w:val="22"/>
          <w:szCs w:val="22"/>
        </w:rPr>
        <w:t xml:space="preserve"> per annum payable from NPD</w:t>
      </w:r>
    </w:p>
    <w:p w14:paraId="39B6729F" w14:textId="4AA9F4E8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>
        <w:rPr>
          <w:rFonts w:ascii="Calibri" w:hAnsi="Calibri" w:cs="Arial"/>
          <w:b/>
          <w:sz w:val="22"/>
          <w:szCs w:val="22"/>
        </w:rPr>
        <w:t>03/08/2037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27580D43" w14:textId="77777777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2.5% per annum compound </w:t>
      </w:r>
    </w:p>
    <w:p w14:paraId="78019276" w14:textId="5226BAA7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FE5F52">
        <w:rPr>
          <w:rFonts w:ascii="Calibri" w:hAnsi="Calibri" w:cs="Arial"/>
          <w:b/>
          <w:sz w:val="22"/>
          <w:szCs w:val="22"/>
          <w:lang w:val="en-US"/>
        </w:rPr>
        <w:t>22,</w:t>
      </w:r>
      <w:r>
        <w:rPr>
          <w:rFonts w:ascii="Calibri" w:hAnsi="Calibri" w:cs="Arial"/>
          <w:b/>
          <w:sz w:val="22"/>
          <w:szCs w:val="22"/>
          <w:lang w:val="en-US"/>
        </w:rPr>
        <w:t>9</w:t>
      </w:r>
      <w:r w:rsidR="00FE5F52">
        <w:rPr>
          <w:rFonts w:ascii="Calibri" w:hAnsi="Calibri" w:cs="Arial"/>
          <w:b/>
          <w:sz w:val="22"/>
          <w:szCs w:val="22"/>
          <w:lang w:val="en-US"/>
        </w:rPr>
        <w:t>15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FE5F52">
        <w:rPr>
          <w:rFonts w:ascii="Calibri" w:hAnsi="Calibri" w:cs="Arial"/>
          <w:b/>
          <w:sz w:val="22"/>
          <w:szCs w:val="22"/>
          <w:lang w:val="en-US"/>
        </w:rPr>
        <w:t>29</w:t>
      </w:r>
      <w:r>
        <w:rPr>
          <w:rFonts w:ascii="Calibri" w:hAnsi="Calibri" w:cs="Arial"/>
          <w:sz w:val="22"/>
          <w:szCs w:val="22"/>
        </w:rPr>
        <w:t xml:space="preserve"> per annum [</w:t>
      </w:r>
      <w:r w:rsidR="008169A3">
        <w:rPr>
          <w:rFonts w:ascii="Calibri" w:hAnsi="Calibri" w:cs="Arial"/>
          <w:sz w:val="22"/>
          <w:szCs w:val="22"/>
        </w:rPr>
        <w:t xml:space="preserve">split pre 06/04/2006 = </w:t>
      </w:r>
      <w:r w:rsidR="008169A3" w:rsidRPr="000B7FCB">
        <w:rPr>
          <w:rFonts w:ascii="Calibri" w:hAnsi="Calibri" w:cs="Arial"/>
          <w:b/>
          <w:sz w:val="22"/>
          <w:szCs w:val="22"/>
        </w:rPr>
        <w:t>£</w:t>
      </w:r>
      <w:r w:rsidR="008169A3">
        <w:rPr>
          <w:rFonts w:ascii="Calibri" w:hAnsi="Calibri" w:cs="Arial"/>
          <w:b/>
          <w:sz w:val="22"/>
          <w:szCs w:val="22"/>
        </w:rPr>
        <w:t>11</w:t>
      </w:r>
      <w:r w:rsidR="008169A3" w:rsidRPr="000B7FCB">
        <w:rPr>
          <w:rFonts w:ascii="Calibri" w:hAnsi="Calibri" w:cs="Arial"/>
          <w:b/>
          <w:sz w:val="22"/>
          <w:szCs w:val="22"/>
        </w:rPr>
        <w:t>,</w:t>
      </w:r>
      <w:r w:rsidR="008169A3">
        <w:rPr>
          <w:rFonts w:ascii="Calibri" w:hAnsi="Calibri" w:cs="Arial"/>
          <w:b/>
          <w:sz w:val="22"/>
          <w:szCs w:val="22"/>
        </w:rPr>
        <w:t xml:space="preserve">739.01 </w:t>
      </w:r>
      <w:r w:rsidR="009F5827" w:rsidRPr="00F82F15">
        <w:rPr>
          <w:rFonts w:ascii="Calibri" w:hAnsi="Calibri" w:cs="Arial"/>
          <w:sz w:val="22"/>
          <w:szCs w:val="22"/>
        </w:rPr>
        <w:t xml:space="preserve">per annum </w:t>
      </w:r>
      <w:r w:rsidR="008169A3" w:rsidRPr="00F82F15">
        <w:rPr>
          <w:rFonts w:ascii="Calibri" w:hAnsi="Calibri" w:cs="Arial"/>
          <w:sz w:val="22"/>
          <w:szCs w:val="22"/>
        </w:rPr>
        <w:t>(</w:t>
      </w:r>
      <w:r w:rsidR="008169A3" w:rsidRPr="00F82F15">
        <w:rPr>
          <w:rFonts w:ascii="Calibri" w:hAnsi="Calibri" w:cs="Arial"/>
          <w:i/>
          <w:sz w:val="22"/>
          <w:szCs w:val="22"/>
        </w:rPr>
        <w:t xml:space="preserve">including transfer in of </w:t>
      </w:r>
      <w:r w:rsidR="008169A3" w:rsidRPr="00F82F15">
        <w:rPr>
          <w:rFonts w:ascii="Calibri" w:hAnsi="Calibri" w:cs="Arial"/>
          <w:b/>
          <w:i/>
          <w:sz w:val="22"/>
          <w:szCs w:val="22"/>
        </w:rPr>
        <w:t>£3,250.00</w:t>
      </w:r>
      <w:r w:rsidR="008169A3" w:rsidRPr="00F82F15">
        <w:rPr>
          <w:rFonts w:ascii="Calibri" w:hAnsi="Calibri" w:cs="Arial"/>
          <w:i/>
          <w:sz w:val="22"/>
          <w:szCs w:val="22"/>
        </w:rPr>
        <w:t xml:space="preserve"> per annum</w:t>
      </w:r>
      <w:r w:rsidR="008169A3" w:rsidRPr="00F82F15">
        <w:rPr>
          <w:rFonts w:ascii="Calibri" w:hAnsi="Calibri" w:cs="Arial"/>
          <w:sz w:val="22"/>
          <w:szCs w:val="22"/>
        </w:rPr>
        <w:t>)</w:t>
      </w:r>
      <w:r w:rsidR="008169A3">
        <w:rPr>
          <w:rFonts w:ascii="Calibri" w:hAnsi="Calibri" w:cs="Arial"/>
          <w:b/>
          <w:sz w:val="22"/>
          <w:szCs w:val="22"/>
        </w:rPr>
        <w:t xml:space="preserve"> </w:t>
      </w:r>
      <w:r w:rsidR="008169A3" w:rsidRPr="000B7FCB">
        <w:rPr>
          <w:rFonts w:ascii="Calibri" w:hAnsi="Calibri" w:cs="Arial"/>
          <w:sz w:val="22"/>
          <w:szCs w:val="22"/>
        </w:rPr>
        <w:t>and post 5/04/2006</w:t>
      </w:r>
      <w:r w:rsidR="008169A3">
        <w:rPr>
          <w:rFonts w:ascii="Calibri" w:hAnsi="Calibri" w:cs="Arial"/>
          <w:sz w:val="22"/>
          <w:szCs w:val="22"/>
        </w:rPr>
        <w:t xml:space="preserve"> =</w:t>
      </w:r>
      <w:r w:rsidR="008169A3" w:rsidRPr="000B7FCB">
        <w:rPr>
          <w:rFonts w:ascii="Calibri" w:hAnsi="Calibri" w:cs="Arial"/>
          <w:sz w:val="22"/>
          <w:szCs w:val="22"/>
        </w:rPr>
        <w:t xml:space="preserve"> </w:t>
      </w:r>
      <w:r w:rsidR="008169A3" w:rsidRPr="000B7FCB">
        <w:rPr>
          <w:rFonts w:ascii="Calibri" w:hAnsi="Calibri" w:cs="Arial"/>
          <w:b/>
          <w:sz w:val="22"/>
          <w:szCs w:val="22"/>
        </w:rPr>
        <w:t>£</w:t>
      </w:r>
      <w:r w:rsidR="008169A3">
        <w:rPr>
          <w:rFonts w:ascii="Calibri" w:hAnsi="Calibri" w:cs="Arial"/>
          <w:b/>
          <w:sz w:val="22"/>
          <w:szCs w:val="22"/>
        </w:rPr>
        <w:t xml:space="preserve">11,176.28  </w:t>
      </w:r>
      <w:r w:rsidR="008169A3">
        <w:rPr>
          <w:rFonts w:ascii="Calibri" w:hAnsi="Calibri" w:cs="Arial"/>
          <w:sz w:val="22"/>
          <w:szCs w:val="22"/>
        </w:rPr>
        <w:t xml:space="preserve">per annum] </w:t>
      </w:r>
    </w:p>
    <w:p w14:paraId="6F5CB1E0" w14:textId="77777777" w:rsidR="00E90984" w:rsidRDefault="00E90984" w:rsidP="00E90984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5220C5B3" w14:textId="192E37B2" w:rsidR="00E90984" w:rsidRDefault="00E90984" w:rsidP="00E90984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>£</w:t>
      </w:r>
      <w:r w:rsidR="008169A3">
        <w:rPr>
          <w:rFonts w:ascii="Calibri" w:hAnsi="Calibri" w:cs="Arial"/>
          <w:b/>
          <w:sz w:val="22"/>
          <w:szCs w:val="22"/>
        </w:rPr>
        <w:t>49,893.98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B478C3">
        <w:rPr>
          <w:rFonts w:ascii="Calibri" w:hAnsi="Calibri" w:cs="Arial"/>
          <w:sz w:val="22"/>
          <w:szCs w:val="22"/>
        </w:rPr>
        <w:t>{</w:t>
      </w:r>
      <w:r w:rsidR="008169A3">
        <w:rPr>
          <w:rFonts w:ascii="Calibri" w:hAnsi="Calibri" w:cs="Arial"/>
          <w:sz w:val="22"/>
          <w:szCs w:val="22"/>
        </w:rPr>
        <w:t xml:space="preserve">including scheme contributions of </w:t>
      </w:r>
      <w:r w:rsidR="008169A3" w:rsidRPr="00F82F15">
        <w:rPr>
          <w:rFonts w:ascii="Calibri" w:hAnsi="Calibri" w:cs="Arial"/>
          <w:b/>
          <w:sz w:val="22"/>
          <w:szCs w:val="22"/>
        </w:rPr>
        <w:t>£38,761.22</w:t>
      </w:r>
      <w:r w:rsidR="008169A3">
        <w:rPr>
          <w:rFonts w:ascii="Calibri" w:hAnsi="Calibri" w:cs="Arial"/>
          <w:sz w:val="22"/>
          <w:szCs w:val="22"/>
        </w:rPr>
        <w:t xml:space="preserve"> plus transferred-in contributions of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8169A3">
        <w:rPr>
          <w:rFonts w:ascii="Calibri" w:hAnsi="Calibri" w:cs="Arial"/>
          <w:b/>
          <w:sz w:val="22"/>
          <w:szCs w:val="22"/>
        </w:rPr>
        <w:t>11,132.76</w:t>
      </w:r>
      <w:r>
        <w:rPr>
          <w:rFonts w:ascii="Calibri" w:hAnsi="Calibri" w:cs="Arial"/>
          <w:sz w:val="22"/>
          <w:szCs w:val="22"/>
        </w:rPr>
        <w:t>} 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4E4D5073" w14:textId="16816C0D" w:rsidR="00E90984" w:rsidRDefault="00E90984" w:rsidP="00E90984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8169A3">
        <w:rPr>
          <w:rFonts w:ascii="Calibri" w:hAnsi="Calibri" w:cs="Arial"/>
          <w:b/>
          <w:sz w:val="22"/>
          <w:szCs w:val="22"/>
        </w:rPr>
        <w:t>5,</w:t>
      </w:r>
      <w:r w:rsidRPr="00B478C3">
        <w:rPr>
          <w:rFonts w:ascii="Calibri" w:hAnsi="Calibri" w:cs="Arial"/>
          <w:b/>
          <w:sz w:val="22"/>
          <w:szCs w:val="22"/>
        </w:rPr>
        <w:t>2</w:t>
      </w:r>
      <w:r w:rsidR="008169A3">
        <w:rPr>
          <w:rFonts w:ascii="Calibri" w:hAnsi="Calibri" w:cs="Arial"/>
          <w:b/>
          <w:sz w:val="22"/>
          <w:szCs w:val="22"/>
        </w:rPr>
        <w:t>98</w:t>
      </w:r>
      <w:r w:rsidRPr="00B478C3">
        <w:rPr>
          <w:rFonts w:ascii="Calibri" w:hAnsi="Calibri" w:cs="Arial"/>
          <w:b/>
          <w:sz w:val="22"/>
          <w:szCs w:val="22"/>
        </w:rPr>
        <w:t>.</w:t>
      </w:r>
      <w:r w:rsidR="008169A3">
        <w:rPr>
          <w:rFonts w:ascii="Calibri" w:hAnsi="Calibri" w:cs="Arial"/>
          <w:b/>
          <w:sz w:val="22"/>
          <w:szCs w:val="22"/>
        </w:rPr>
        <w:t>80</w:t>
      </w:r>
      <w:r>
        <w:rPr>
          <w:rFonts w:ascii="Calibri" w:hAnsi="Calibri" w:cs="Arial"/>
          <w:sz w:val="22"/>
          <w:szCs w:val="22"/>
        </w:rPr>
        <w:t xml:space="preserve"> per annum at DOL  (based on member’s pension at DOL</w:t>
      </w:r>
      <w:r w:rsidR="008169A3">
        <w:rPr>
          <w:rFonts w:ascii="Calibri" w:hAnsi="Calibri" w:cs="Arial"/>
          <w:sz w:val="22"/>
          <w:szCs w:val="22"/>
        </w:rPr>
        <w:t xml:space="preserve">; split pre 06/04/2006 = </w:t>
      </w:r>
      <w:r w:rsidR="008169A3" w:rsidRPr="00F82F15">
        <w:rPr>
          <w:rFonts w:ascii="Calibri" w:hAnsi="Calibri" w:cs="Arial"/>
          <w:b/>
          <w:sz w:val="22"/>
          <w:szCs w:val="22"/>
        </w:rPr>
        <w:t>£2,287.36</w:t>
      </w:r>
      <w:r w:rsidR="008169A3">
        <w:rPr>
          <w:rFonts w:ascii="Calibri" w:hAnsi="Calibri" w:cs="Arial"/>
          <w:sz w:val="22"/>
          <w:szCs w:val="22"/>
        </w:rPr>
        <w:t xml:space="preserve"> per annum and post 05/04/2006 = </w:t>
      </w:r>
      <w:r w:rsidR="008169A3" w:rsidRPr="00F82F15">
        <w:rPr>
          <w:rFonts w:ascii="Calibri" w:hAnsi="Calibri" w:cs="Arial"/>
          <w:b/>
          <w:sz w:val="22"/>
          <w:szCs w:val="22"/>
        </w:rPr>
        <w:t>£3,011.44</w:t>
      </w:r>
      <w:r w:rsidR="008169A3">
        <w:rPr>
          <w:rFonts w:ascii="Calibri" w:hAnsi="Calibri" w:cs="Arial"/>
          <w:sz w:val="22"/>
          <w:szCs w:val="22"/>
        </w:rPr>
        <w:t xml:space="preserve"> per annum</w:t>
      </w:r>
      <w:r>
        <w:rPr>
          <w:rFonts w:ascii="Calibri" w:hAnsi="Calibri" w:cs="Arial"/>
          <w:sz w:val="22"/>
          <w:szCs w:val="22"/>
        </w:rPr>
        <w:t xml:space="preserve">) revalued to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8169A3">
        <w:rPr>
          <w:rFonts w:ascii="Calibri" w:hAnsi="Calibri" w:cs="Arial"/>
          <w:b/>
          <w:sz w:val="22"/>
          <w:szCs w:val="22"/>
          <w:lang w:val="en-US"/>
        </w:rPr>
        <w:t>9,166.</w:t>
      </w:r>
      <w:r w:rsidR="00D17A1E">
        <w:rPr>
          <w:rFonts w:ascii="Calibri" w:hAnsi="Calibri" w:cs="Arial"/>
          <w:b/>
          <w:sz w:val="22"/>
          <w:szCs w:val="22"/>
          <w:lang w:val="en-US"/>
        </w:rPr>
        <w:t>1</w:t>
      </w:r>
      <w:r w:rsidR="008169A3">
        <w:rPr>
          <w:rFonts w:ascii="Calibri" w:hAnsi="Calibri" w:cs="Arial"/>
          <w:b/>
          <w:sz w:val="22"/>
          <w:szCs w:val="22"/>
          <w:lang w:val="en-US"/>
        </w:rPr>
        <w:t>1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</w:rPr>
        <w:t>per annum at NPD (based on member’s revalued pension at NPD</w:t>
      </w:r>
      <w:r w:rsidR="008169A3">
        <w:rPr>
          <w:rFonts w:ascii="Calibri" w:hAnsi="Calibri" w:cs="Arial"/>
          <w:sz w:val="22"/>
          <w:szCs w:val="22"/>
        </w:rPr>
        <w:t>; split</w:t>
      </w:r>
      <w:r w:rsidR="008169A3" w:rsidRPr="008169A3">
        <w:rPr>
          <w:rFonts w:ascii="Calibri" w:hAnsi="Calibri" w:cs="Arial"/>
          <w:sz w:val="22"/>
          <w:szCs w:val="22"/>
        </w:rPr>
        <w:t xml:space="preserve"> </w:t>
      </w:r>
      <w:r w:rsidR="008169A3">
        <w:rPr>
          <w:rFonts w:ascii="Calibri" w:hAnsi="Calibri" w:cs="Arial"/>
          <w:sz w:val="22"/>
          <w:szCs w:val="22"/>
        </w:rPr>
        <w:t xml:space="preserve">pre 06/04/2006 = </w:t>
      </w:r>
      <w:r w:rsidR="008169A3" w:rsidRPr="00B478C3">
        <w:rPr>
          <w:rFonts w:ascii="Calibri" w:hAnsi="Calibri" w:cs="Arial"/>
          <w:b/>
          <w:sz w:val="22"/>
          <w:szCs w:val="22"/>
        </w:rPr>
        <w:t>£</w:t>
      </w:r>
      <w:r w:rsidR="00CF479F">
        <w:rPr>
          <w:rFonts w:ascii="Calibri" w:hAnsi="Calibri" w:cs="Arial"/>
          <w:b/>
          <w:sz w:val="22"/>
          <w:szCs w:val="22"/>
        </w:rPr>
        <w:t>4</w:t>
      </w:r>
      <w:r w:rsidR="008169A3" w:rsidRPr="00B478C3">
        <w:rPr>
          <w:rFonts w:ascii="Calibri" w:hAnsi="Calibri" w:cs="Arial"/>
          <w:b/>
          <w:sz w:val="22"/>
          <w:szCs w:val="22"/>
        </w:rPr>
        <w:t>,</w:t>
      </w:r>
      <w:r w:rsidR="00CF479F">
        <w:rPr>
          <w:rFonts w:ascii="Calibri" w:hAnsi="Calibri" w:cs="Arial"/>
          <w:b/>
          <w:sz w:val="22"/>
          <w:szCs w:val="22"/>
        </w:rPr>
        <w:t xml:space="preserve">695.60 </w:t>
      </w:r>
      <w:r w:rsidR="00CF479F" w:rsidRPr="00F82F15">
        <w:rPr>
          <w:rFonts w:ascii="Calibri" w:hAnsi="Calibri" w:cs="Arial"/>
          <w:sz w:val="22"/>
          <w:szCs w:val="22"/>
        </w:rPr>
        <w:t>per annum {</w:t>
      </w:r>
      <w:r w:rsidR="00CF479F" w:rsidRPr="00F82F15">
        <w:rPr>
          <w:rFonts w:ascii="Calibri" w:hAnsi="Calibri" w:cs="Arial"/>
          <w:i/>
          <w:sz w:val="22"/>
          <w:szCs w:val="22"/>
        </w:rPr>
        <w:t>including transfer in</w:t>
      </w:r>
      <w:r w:rsidR="00CF479F" w:rsidRPr="00F82F15">
        <w:rPr>
          <w:rFonts w:ascii="Calibri" w:hAnsi="Calibri" w:cs="Arial"/>
          <w:sz w:val="22"/>
          <w:szCs w:val="22"/>
        </w:rPr>
        <w:t>}</w:t>
      </w:r>
      <w:r w:rsidR="00CF479F">
        <w:rPr>
          <w:rFonts w:ascii="Calibri" w:hAnsi="Calibri" w:cs="Arial"/>
          <w:b/>
          <w:sz w:val="22"/>
          <w:szCs w:val="22"/>
        </w:rPr>
        <w:t xml:space="preserve"> </w:t>
      </w:r>
      <w:r w:rsidR="00CF479F" w:rsidRPr="00F82F15">
        <w:rPr>
          <w:rFonts w:ascii="Calibri" w:hAnsi="Calibri" w:cs="Arial"/>
          <w:sz w:val="22"/>
          <w:szCs w:val="22"/>
        </w:rPr>
        <w:t>and</w:t>
      </w:r>
      <w:r w:rsidR="008169A3" w:rsidRPr="00CF479F">
        <w:rPr>
          <w:rFonts w:ascii="Calibri" w:hAnsi="Calibri" w:cs="Arial"/>
          <w:sz w:val="22"/>
          <w:szCs w:val="22"/>
        </w:rPr>
        <w:t xml:space="preserve"> </w:t>
      </w:r>
      <w:r w:rsidR="008169A3">
        <w:rPr>
          <w:rFonts w:ascii="Calibri" w:hAnsi="Calibri" w:cs="Arial"/>
          <w:sz w:val="22"/>
          <w:szCs w:val="22"/>
        </w:rPr>
        <w:t xml:space="preserve">post 05/04/2006 = </w:t>
      </w:r>
      <w:r w:rsidR="008169A3" w:rsidRPr="00B478C3">
        <w:rPr>
          <w:rFonts w:ascii="Calibri" w:hAnsi="Calibri" w:cs="Arial"/>
          <w:b/>
          <w:sz w:val="22"/>
          <w:szCs w:val="22"/>
        </w:rPr>
        <w:t>£</w:t>
      </w:r>
      <w:r w:rsidR="00CF479F">
        <w:rPr>
          <w:rFonts w:ascii="Calibri" w:hAnsi="Calibri" w:cs="Arial"/>
          <w:b/>
          <w:sz w:val="22"/>
          <w:szCs w:val="22"/>
        </w:rPr>
        <w:t>4</w:t>
      </w:r>
      <w:r w:rsidR="008169A3" w:rsidRPr="00B478C3">
        <w:rPr>
          <w:rFonts w:ascii="Calibri" w:hAnsi="Calibri" w:cs="Arial"/>
          <w:b/>
          <w:sz w:val="22"/>
          <w:szCs w:val="22"/>
        </w:rPr>
        <w:t>,</w:t>
      </w:r>
      <w:r w:rsidR="00CF479F">
        <w:rPr>
          <w:rFonts w:ascii="Calibri" w:hAnsi="Calibri" w:cs="Arial"/>
          <w:b/>
          <w:sz w:val="22"/>
          <w:szCs w:val="22"/>
        </w:rPr>
        <w:t>470</w:t>
      </w:r>
      <w:r w:rsidR="008169A3" w:rsidRPr="00B478C3">
        <w:rPr>
          <w:rFonts w:ascii="Calibri" w:hAnsi="Calibri" w:cs="Arial"/>
          <w:b/>
          <w:sz w:val="22"/>
          <w:szCs w:val="22"/>
        </w:rPr>
        <w:t>.</w:t>
      </w:r>
      <w:r w:rsidR="00CF479F">
        <w:rPr>
          <w:rFonts w:ascii="Calibri" w:hAnsi="Calibri" w:cs="Arial"/>
          <w:b/>
          <w:sz w:val="22"/>
          <w:szCs w:val="22"/>
        </w:rPr>
        <w:t>51</w:t>
      </w:r>
      <w:r w:rsidR="008169A3">
        <w:rPr>
          <w:rFonts w:ascii="Calibri" w:hAnsi="Calibri" w:cs="Arial"/>
          <w:sz w:val="22"/>
          <w:szCs w:val="22"/>
        </w:rPr>
        <w:t xml:space="preserve"> per annum</w:t>
      </w:r>
      <w:r>
        <w:rPr>
          <w:rFonts w:ascii="Calibri" w:hAnsi="Calibri" w:cs="Arial"/>
          <w:sz w:val="22"/>
          <w:szCs w:val="22"/>
        </w:rPr>
        <w:t xml:space="preserve">) </w:t>
      </w:r>
    </w:p>
    <w:p w14:paraId="07141F40" w14:textId="77777777" w:rsidR="00E90984" w:rsidRDefault="00E90984" w:rsidP="00E90984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 </w:t>
      </w:r>
    </w:p>
    <w:p w14:paraId="29FF9B11" w14:textId="77777777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the member’s spouse / civil partner at the date of the member’s death is more than 10 years younger than the member, the pension will be reduced</w:t>
      </w:r>
    </w:p>
    <w:p w14:paraId="705ED3CD" w14:textId="77777777" w:rsidR="00CF479F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Post retirement pension increases applied on the anniversary of the commencement of the member’s pension </w:t>
      </w:r>
    </w:p>
    <w:p w14:paraId="4DEC9339" w14:textId="393F6416" w:rsidR="00E90984" w:rsidRDefault="00CF479F" w:rsidP="00F82F15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</w:t>
      </w:r>
      <w:r w:rsidR="00E9098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06/04/2006 </w:t>
      </w:r>
      <w:r w:rsidR="00E90984">
        <w:rPr>
          <w:rFonts w:ascii="Calibri" w:hAnsi="Calibri" w:cs="Arial"/>
          <w:sz w:val="22"/>
          <w:szCs w:val="22"/>
        </w:rPr>
        <w:t xml:space="preserve">pension </w:t>
      </w:r>
      <w:r w:rsidR="00F611D2">
        <w:rPr>
          <w:rFonts w:ascii="Calibri" w:hAnsi="Calibri" w:cs="Arial"/>
          <w:sz w:val="22"/>
          <w:szCs w:val="22"/>
        </w:rPr>
        <w:t>{</w:t>
      </w:r>
      <w:r w:rsidR="00F611D2" w:rsidRPr="00F82F15">
        <w:rPr>
          <w:rFonts w:ascii="Calibri" w:hAnsi="Calibri" w:cs="Arial"/>
          <w:i/>
          <w:sz w:val="22"/>
          <w:szCs w:val="22"/>
        </w:rPr>
        <w:t>including transfer in</w:t>
      </w:r>
      <w:r w:rsidR="00F611D2">
        <w:rPr>
          <w:rFonts w:ascii="Calibri" w:hAnsi="Calibri" w:cs="Arial"/>
          <w:sz w:val="22"/>
          <w:szCs w:val="22"/>
        </w:rPr>
        <w:t xml:space="preserve">} </w:t>
      </w:r>
      <w:r w:rsidR="00E90984">
        <w:rPr>
          <w:rFonts w:ascii="Calibri" w:hAnsi="Calibri" w:cs="Arial"/>
          <w:sz w:val="22"/>
          <w:szCs w:val="22"/>
        </w:rPr>
        <w:t xml:space="preserve">will increase each year by RPI, subject to a maximum of </w:t>
      </w:r>
      <w:r>
        <w:rPr>
          <w:rFonts w:ascii="Calibri" w:hAnsi="Calibri" w:cs="Arial"/>
          <w:sz w:val="22"/>
          <w:szCs w:val="22"/>
        </w:rPr>
        <w:t>5.0</w:t>
      </w:r>
      <w:r w:rsidR="00E90984">
        <w:rPr>
          <w:rFonts w:ascii="Calibri" w:hAnsi="Calibri" w:cs="Arial"/>
          <w:sz w:val="22"/>
          <w:szCs w:val="22"/>
        </w:rPr>
        <w:t>%)</w:t>
      </w:r>
    </w:p>
    <w:p w14:paraId="29CAC11B" w14:textId="573BC78A" w:rsidR="00CF479F" w:rsidRDefault="00CF479F" w:rsidP="00F82F15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 05/04/2006 pension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will increase each year by RPI, subject to a maximum of 2.5%)</w:t>
      </w:r>
    </w:p>
    <w:p w14:paraId="07D8C674" w14:textId="77777777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22421454" w14:textId="77777777" w:rsidR="00E90984" w:rsidRDefault="00E90984" w:rsidP="00E90984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5C12993B" w14:textId="77777777" w:rsidR="00E90984" w:rsidRDefault="00E90984" w:rsidP="00E90984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508D478C" w14:textId="77777777" w:rsidR="00E90984" w:rsidRDefault="00E90984" w:rsidP="00E9098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NOTE </w:t>
      </w:r>
      <w:r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p w14:paraId="56FE9AE7" w14:textId="77777777" w:rsidR="00E90984" w:rsidRDefault="00E90984" w:rsidP="00E90984">
      <w:pPr>
        <w:jc w:val="both"/>
        <w:rPr>
          <w:rFonts w:ascii="Calibri" w:hAnsi="Calibri" w:cs="Arial"/>
          <w:sz w:val="22"/>
          <w:szCs w:val="22"/>
        </w:rPr>
      </w:pPr>
    </w:p>
    <w:p w14:paraId="10F6448A" w14:textId="386CB7EA" w:rsidR="0037511E" w:rsidRPr="000B7FCB" w:rsidRDefault="0037511E" w:rsidP="00F82F15">
      <w:pPr>
        <w:tabs>
          <w:tab w:val="left" w:pos="-720"/>
        </w:tabs>
        <w:suppressAutoHyphens/>
        <w:rPr>
          <w:sz w:val="22"/>
          <w:szCs w:val="22"/>
        </w:rPr>
      </w:pPr>
    </w:p>
    <w:sectPr w:rsidR="0037511E" w:rsidRPr="000B7FCB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121"/>
    <w:multiLevelType w:val="hybridMultilevel"/>
    <w:tmpl w:val="ED0A2A36"/>
    <w:lvl w:ilvl="0" w:tplc="1202249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B7FCB"/>
    <w:rsid w:val="000C375F"/>
    <w:rsid w:val="000E348A"/>
    <w:rsid w:val="000E3E5A"/>
    <w:rsid w:val="000F66A2"/>
    <w:rsid w:val="001058A8"/>
    <w:rsid w:val="00137F14"/>
    <w:rsid w:val="00144E6E"/>
    <w:rsid w:val="00144FAE"/>
    <w:rsid w:val="00161AD3"/>
    <w:rsid w:val="00162141"/>
    <w:rsid w:val="00170ADD"/>
    <w:rsid w:val="00181251"/>
    <w:rsid w:val="001825AF"/>
    <w:rsid w:val="00185DDC"/>
    <w:rsid w:val="001B3157"/>
    <w:rsid w:val="001E22B3"/>
    <w:rsid w:val="00210ECC"/>
    <w:rsid w:val="00230382"/>
    <w:rsid w:val="00234BB5"/>
    <w:rsid w:val="00235BE5"/>
    <w:rsid w:val="0025012B"/>
    <w:rsid w:val="0028380E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7511E"/>
    <w:rsid w:val="003937BA"/>
    <w:rsid w:val="00395C63"/>
    <w:rsid w:val="003A4569"/>
    <w:rsid w:val="003A70D2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277A0"/>
    <w:rsid w:val="0054194F"/>
    <w:rsid w:val="005611C5"/>
    <w:rsid w:val="005728A2"/>
    <w:rsid w:val="005A6157"/>
    <w:rsid w:val="005B4243"/>
    <w:rsid w:val="005E079C"/>
    <w:rsid w:val="005E2455"/>
    <w:rsid w:val="005E2699"/>
    <w:rsid w:val="005F07D4"/>
    <w:rsid w:val="005F7829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A0E0F"/>
    <w:rsid w:val="007A62D5"/>
    <w:rsid w:val="007B4E1B"/>
    <w:rsid w:val="007D54BE"/>
    <w:rsid w:val="007E2612"/>
    <w:rsid w:val="007E3F31"/>
    <w:rsid w:val="007F55C9"/>
    <w:rsid w:val="008169A3"/>
    <w:rsid w:val="00817397"/>
    <w:rsid w:val="008260B0"/>
    <w:rsid w:val="008272E7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35E"/>
    <w:rsid w:val="009D4CC8"/>
    <w:rsid w:val="009F5827"/>
    <w:rsid w:val="00A00BD4"/>
    <w:rsid w:val="00A12FBD"/>
    <w:rsid w:val="00A2223A"/>
    <w:rsid w:val="00A25A11"/>
    <w:rsid w:val="00A33BD7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0763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57B3"/>
    <w:rsid w:val="00C6177C"/>
    <w:rsid w:val="00C6390E"/>
    <w:rsid w:val="00C6481B"/>
    <w:rsid w:val="00C80EBE"/>
    <w:rsid w:val="00CA2953"/>
    <w:rsid w:val="00CA4952"/>
    <w:rsid w:val="00CE2C53"/>
    <w:rsid w:val="00CE6C27"/>
    <w:rsid w:val="00CF479F"/>
    <w:rsid w:val="00CF5BA9"/>
    <w:rsid w:val="00D012DE"/>
    <w:rsid w:val="00D1193A"/>
    <w:rsid w:val="00D13723"/>
    <w:rsid w:val="00D17A1E"/>
    <w:rsid w:val="00D2258D"/>
    <w:rsid w:val="00D42799"/>
    <w:rsid w:val="00D4458C"/>
    <w:rsid w:val="00D4783B"/>
    <w:rsid w:val="00D50A1D"/>
    <w:rsid w:val="00D52229"/>
    <w:rsid w:val="00D54635"/>
    <w:rsid w:val="00D557CB"/>
    <w:rsid w:val="00D60CAF"/>
    <w:rsid w:val="00D72412"/>
    <w:rsid w:val="00D80AD8"/>
    <w:rsid w:val="00D83DA3"/>
    <w:rsid w:val="00D92725"/>
    <w:rsid w:val="00DA7F84"/>
    <w:rsid w:val="00DB230A"/>
    <w:rsid w:val="00DB3FDD"/>
    <w:rsid w:val="00DB4669"/>
    <w:rsid w:val="00DC0BE7"/>
    <w:rsid w:val="00DC16DF"/>
    <w:rsid w:val="00DC2DAD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75DFD"/>
    <w:rsid w:val="00E90984"/>
    <w:rsid w:val="00E90FD4"/>
    <w:rsid w:val="00E979BF"/>
    <w:rsid w:val="00EA053D"/>
    <w:rsid w:val="00EA2511"/>
    <w:rsid w:val="00EA25DF"/>
    <w:rsid w:val="00EA3659"/>
    <w:rsid w:val="00EC2E1B"/>
    <w:rsid w:val="00EE19D3"/>
    <w:rsid w:val="00EF0DE7"/>
    <w:rsid w:val="00EF6D60"/>
    <w:rsid w:val="00F16BE1"/>
    <w:rsid w:val="00F3061F"/>
    <w:rsid w:val="00F455BF"/>
    <w:rsid w:val="00F51A21"/>
    <w:rsid w:val="00F53CBE"/>
    <w:rsid w:val="00F55F21"/>
    <w:rsid w:val="00F611D2"/>
    <w:rsid w:val="00F66FCA"/>
    <w:rsid w:val="00F82F15"/>
    <w:rsid w:val="00F87DC4"/>
    <w:rsid w:val="00FA557D"/>
    <w:rsid w:val="00FB244F"/>
    <w:rsid w:val="00FB4459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A097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75A45-9EDE-449B-9D39-71774344DF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BAFE6-B31D-4440-8EDB-DBB6218B2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0803A-BE25-4568-A056-6BDF6A8BE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2020-04-09T12:59:00Z</cp:lastPrinted>
  <dcterms:created xsi:type="dcterms:W3CDTF">2020-06-01T17:03:00Z</dcterms:created>
  <dcterms:modified xsi:type="dcterms:W3CDTF">2020-06-01T19:31:00Z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