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59B8CB7F" w:rsidR="004E26CA" w:rsidRPr="004E26CA" w:rsidRDefault="004E26CA" w:rsidP="00316A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222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DEATHS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57811610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CF23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F23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111B9CA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06813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57D655A8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="004D58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ON</w:t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TEH</w:t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PENELOPE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77CC39DD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6746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</w:t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55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653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0E3859D4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10BCAC1D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57C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1997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6392DD5C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A13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A50A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1997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677CCBDA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72E8743C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2C2FF7F9" w:rsidR="004E26CA" w:rsidRPr="004E26CA" w:rsidRDefault="003A1393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2B747A36" w:rsidR="004E26CA" w:rsidRPr="004E26CA" w:rsidRDefault="00A50A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62</w:t>
            </w:r>
            <w:r w:rsidR="003A139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1CC1C19F" w:rsidR="004E26CA" w:rsidRPr="004E26CA" w:rsidRDefault="00A50A2C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63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  <w:r w:rsidR="00EC50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036EDB4E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6DCD2F35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005A77D4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A50A2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431714C7" w:rsidR="004E26CA" w:rsidRPr="004E26CA" w:rsidRDefault="00EC5029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166A0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166A0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555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7B2CBD3B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166A0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70,334</w:t>
      </w:r>
      <w:r w:rsidR="006339B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166A0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66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3BDA14C6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E15BF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112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E15BF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535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E15BF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46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CC9771C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6FEB1DA4" w:rsidR="004E26CA" w:rsidRPr="004E26CA" w:rsidRDefault="00FA0A9C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26</w:t>
            </w:r>
            <w:r w:rsidR="00710E67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164</w:t>
            </w:r>
            <w:r w:rsidR="00710E67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3889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009AB86C" w:rsidR="004E26CA" w:rsidRPr="004E26CA" w:rsidRDefault="005025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41</w:t>
            </w:r>
            <w:r w:rsidR="00BA6605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863</w:t>
            </w:r>
            <w:r w:rsidR="00BA6605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0222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3D533195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604F4B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00298D2B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0EC6EAC7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48755FA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551958E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0233C5CB" w:rsidR="004E26CA" w:rsidRPr="004E26CA" w:rsidRDefault="004D40C2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6</w:t>
            </w:r>
            <w:r w:rsidR="00A6085C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322.9888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1D66E0B3" w:rsidR="004E26CA" w:rsidRPr="004E26CA" w:rsidRDefault="004D40C2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10,116.7821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193790A1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56BFDABE" w:rsidR="004E26CA" w:rsidRPr="004E26CA" w:rsidRDefault="004E26CA" w:rsidP="004E26C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D917D9F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BE29216" w14:textId="1D80F4FC" w:rsidR="00D13701" w:rsidRDefault="00E15BF0" w:rsidP="00E15BF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19 December 1997, </w:t>
      </w:r>
      <w:r w:rsidR="006C76DC">
        <w:rPr>
          <w:rFonts w:ascii="Times New Roman" w:eastAsia="Times New Roman" w:hAnsi="Times New Roman" w:cs="Times New Roman"/>
          <w:spacing w:val="-3"/>
          <w:sz w:val="24"/>
          <w:szCs w:val="24"/>
        </w:rPr>
        <w:t>Penelope Conteh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transferred in to the OPQ Retirement &amp; Death Benefits Plan </w:t>
      </w:r>
      <w:r w:rsidR="00B553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value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="00984FA4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benefits from </w:t>
      </w:r>
      <w:r w:rsidR="00B553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her </w:t>
      </w:r>
      <w:r w:rsidR="00EB4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previous employer’s </w:t>
      </w:r>
      <w:r w:rsidR="00984FA4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roup </w:t>
      </w:r>
      <w:r w:rsidR="00984FA4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ersonal </w:t>
      </w:r>
      <w:r w:rsidR="00984FA4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ension </w:t>
      </w:r>
      <w:r w:rsidR="00984FA4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lan.  The transfer</w:t>
      </w:r>
      <w:r w:rsidR="005C75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value amounted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 £</w:t>
      </w:r>
      <w:r w:rsidR="00642974">
        <w:rPr>
          <w:rFonts w:ascii="Times New Roman" w:eastAsia="Times New Roman" w:hAnsi="Times New Roman" w:cs="Times New Roman"/>
          <w:spacing w:val="-3"/>
          <w:sz w:val="24"/>
          <w:szCs w:val="24"/>
        </w:rPr>
        <w:t>102,333.4</w:t>
      </w:r>
      <w:r w:rsidR="0044433A"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="0064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F4D0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="00D137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split between </w:t>
      </w:r>
      <w:r w:rsidR="009E26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</w:t>
      </w:r>
      <w:r w:rsidR="009D7B23">
        <w:rPr>
          <w:rFonts w:ascii="Times New Roman" w:eastAsia="Times New Roman" w:hAnsi="Times New Roman" w:cs="Times New Roman"/>
          <w:spacing w:val="-3"/>
          <w:sz w:val="24"/>
          <w:szCs w:val="24"/>
        </w:rPr>
        <w:t>member</w:t>
      </w:r>
      <w:r w:rsidR="009E26FA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9D7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contributions </w:t>
      </w:r>
      <w:r w:rsidR="00D137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of </w:t>
      </w:r>
      <w:r w:rsidR="0044433A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D1286B">
        <w:rPr>
          <w:rFonts w:ascii="Times New Roman" w:eastAsia="Times New Roman" w:hAnsi="Times New Roman" w:cs="Times New Roman"/>
          <w:spacing w:val="-3"/>
          <w:sz w:val="24"/>
          <w:szCs w:val="24"/>
        </w:rPr>
        <w:t>34,111.15</w:t>
      </w:r>
      <w:r w:rsidR="009D7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F4D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and </w:t>
      </w:r>
      <w:r w:rsidR="009E26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employer</w:t>
      </w:r>
      <w:r w:rsidR="009E26FA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contributions </w:t>
      </w:r>
      <w:r w:rsidR="00D13701">
        <w:rPr>
          <w:rFonts w:ascii="Times New Roman" w:eastAsia="Times New Roman" w:hAnsi="Times New Roman" w:cs="Times New Roman"/>
          <w:spacing w:val="-3"/>
          <w:sz w:val="24"/>
          <w:szCs w:val="24"/>
        </w:rPr>
        <w:t>of</w:t>
      </w:r>
      <w:r w:rsidR="009D7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F4D06">
        <w:rPr>
          <w:rFonts w:ascii="Times New Roman" w:eastAsia="Times New Roman" w:hAnsi="Times New Roman" w:cs="Times New Roman"/>
          <w:spacing w:val="-3"/>
          <w:sz w:val="24"/>
          <w:szCs w:val="24"/>
        </w:rPr>
        <w:t>£68,222.30</w:t>
      </w:r>
      <w:r w:rsidR="009D7B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).  </w:t>
      </w:r>
    </w:p>
    <w:p w14:paraId="2D90178E" w14:textId="77777777" w:rsidR="00D13701" w:rsidRDefault="00D13701" w:rsidP="00E15BF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5BC9BB" w14:textId="21A4585B" w:rsidR="00E15BF0" w:rsidRDefault="00D13701" w:rsidP="00E15BF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The transfer</w:t>
      </w:r>
      <w:r w:rsidR="005126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value 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>purchased 1</w:t>
      </w:r>
      <w:r w:rsidR="00BC3D71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BC3D71">
        <w:rPr>
          <w:rFonts w:ascii="Times New Roman" w:eastAsia="Times New Roman" w:hAnsi="Times New Roman" w:cs="Times New Roman"/>
          <w:spacing w:val="-3"/>
          <w:sz w:val="24"/>
          <w:szCs w:val="24"/>
        </w:rPr>
        <w:t>223.9881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units in the </w:t>
      </w:r>
      <w:r w:rsidR="00BC3D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Balanced 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>Fund</w:t>
      </w:r>
      <w:r w:rsidR="00A718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(split </w:t>
      </w:r>
      <w:r w:rsidR="00AE2A00"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 w:rsidR="00F030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,407.9960 </w:t>
      </w:r>
      <w:r w:rsidR="00725439">
        <w:rPr>
          <w:rFonts w:ascii="Times New Roman" w:eastAsia="Times New Roman" w:hAnsi="Times New Roman" w:cs="Times New Roman"/>
          <w:spacing w:val="-3"/>
          <w:sz w:val="24"/>
          <w:szCs w:val="24"/>
        </w:rPr>
        <w:t>in respect of the member</w:t>
      </w:r>
      <w:r w:rsidR="005126A1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7254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contributions and </w:t>
      </w:r>
      <w:r w:rsidR="00E16917">
        <w:rPr>
          <w:rFonts w:ascii="Times New Roman" w:eastAsia="Times New Roman" w:hAnsi="Times New Roman" w:cs="Times New Roman"/>
          <w:spacing w:val="-3"/>
          <w:sz w:val="24"/>
          <w:szCs w:val="24"/>
        </w:rPr>
        <w:t>10,815.</w:t>
      </w:r>
      <w:r w:rsidR="00A71850">
        <w:rPr>
          <w:rFonts w:ascii="Times New Roman" w:eastAsia="Times New Roman" w:hAnsi="Times New Roman" w:cs="Times New Roman"/>
          <w:spacing w:val="-3"/>
          <w:sz w:val="24"/>
          <w:szCs w:val="24"/>
        </w:rPr>
        <w:t>9921</w:t>
      </w:r>
      <w:r w:rsidR="004017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in respect of the employer</w:t>
      </w:r>
      <w:r w:rsidR="005126A1">
        <w:rPr>
          <w:rFonts w:ascii="Times New Roman" w:eastAsia="Times New Roman" w:hAnsi="Times New Roman" w:cs="Times New Roman"/>
          <w:spacing w:val="-3"/>
          <w:sz w:val="24"/>
          <w:szCs w:val="24"/>
        </w:rPr>
        <w:t>’s</w:t>
      </w:r>
      <w:r w:rsidR="004017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contributions)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 These units </w:t>
      </w:r>
      <w:r w:rsidR="005E3D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the Balanced Fund 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>are addition</w:t>
      </w:r>
      <w:r w:rsidR="006D265A"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to </w:t>
      </w:r>
      <w:r w:rsidR="0017775E">
        <w:rPr>
          <w:rFonts w:ascii="Times New Roman" w:eastAsia="Times New Roman" w:hAnsi="Times New Roman" w:cs="Times New Roman"/>
          <w:spacing w:val="-3"/>
          <w:sz w:val="24"/>
          <w:szCs w:val="24"/>
        </w:rPr>
        <w:t>all other Unit Holdings detailed above</w:t>
      </w:r>
      <w:r w:rsidR="00E15BF0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59EFA76F" w14:textId="77777777" w:rsidR="007E2DAB" w:rsidRDefault="007E2DAB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8A0ED81" w14:textId="2EFEFBC6" w:rsidR="004E26CA" w:rsidRPr="004E26CA" w:rsidRDefault="00802847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Penelope Conteh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’s 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is £986,334.54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sectPr w:rsidR="004E26CA" w:rsidRPr="004E26C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35FE0"/>
    <w:rsid w:val="00040410"/>
    <w:rsid w:val="00076FD1"/>
    <w:rsid w:val="000C006A"/>
    <w:rsid w:val="00112F5F"/>
    <w:rsid w:val="00166A03"/>
    <w:rsid w:val="0017775E"/>
    <w:rsid w:val="00206813"/>
    <w:rsid w:val="00225514"/>
    <w:rsid w:val="00290DCA"/>
    <w:rsid w:val="002B012C"/>
    <w:rsid w:val="002B366E"/>
    <w:rsid w:val="002E3808"/>
    <w:rsid w:val="00307176"/>
    <w:rsid w:val="00316AD1"/>
    <w:rsid w:val="003861C1"/>
    <w:rsid w:val="003A1393"/>
    <w:rsid w:val="00401723"/>
    <w:rsid w:val="0044433A"/>
    <w:rsid w:val="00447613"/>
    <w:rsid w:val="0045131D"/>
    <w:rsid w:val="00490024"/>
    <w:rsid w:val="00492547"/>
    <w:rsid w:val="004B47A4"/>
    <w:rsid w:val="004D40C2"/>
    <w:rsid w:val="004D5833"/>
    <w:rsid w:val="004E26CA"/>
    <w:rsid w:val="004F4D06"/>
    <w:rsid w:val="005025CA"/>
    <w:rsid w:val="005126A1"/>
    <w:rsid w:val="00513F11"/>
    <w:rsid w:val="00525A02"/>
    <w:rsid w:val="005416EB"/>
    <w:rsid w:val="00557C7E"/>
    <w:rsid w:val="00567C21"/>
    <w:rsid w:val="00581089"/>
    <w:rsid w:val="00593314"/>
    <w:rsid w:val="00594E50"/>
    <w:rsid w:val="005C752E"/>
    <w:rsid w:val="005E2C66"/>
    <w:rsid w:val="005E3D76"/>
    <w:rsid w:val="006122E9"/>
    <w:rsid w:val="006339B5"/>
    <w:rsid w:val="00642974"/>
    <w:rsid w:val="00645C19"/>
    <w:rsid w:val="006740FA"/>
    <w:rsid w:val="00674627"/>
    <w:rsid w:val="00691E6F"/>
    <w:rsid w:val="006A7536"/>
    <w:rsid w:val="006C76DC"/>
    <w:rsid w:val="006D265A"/>
    <w:rsid w:val="006F735D"/>
    <w:rsid w:val="00710E67"/>
    <w:rsid w:val="00725439"/>
    <w:rsid w:val="007307B5"/>
    <w:rsid w:val="00752B93"/>
    <w:rsid w:val="00771D2B"/>
    <w:rsid w:val="00772C9F"/>
    <w:rsid w:val="00785EF4"/>
    <w:rsid w:val="007E2DAB"/>
    <w:rsid w:val="007E6C8B"/>
    <w:rsid w:val="00802847"/>
    <w:rsid w:val="00823BA7"/>
    <w:rsid w:val="00861874"/>
    <w:rsid w:val="008F75BE"/>
    <w:rsid w:val="0093611F"/>
    <w:rsid w:val="00984FA4"/>
    <w:rsid w:val="00996474"/>
    <w:rsid w:val="00997AFA"/>
    <w:rsid w:val="009A0187"/>
    <w:rsid w:val="009D7B23"/>
    <w:rsid w:val="009E26FA"/>
    <w:rsid w:val="00A04804"/>
    <w:rsid w:val="00A2004C"/>
    <w:rsid w:val="00A33A1C"/>
    <w:rsid w:val="00A50A2C"/>
    <w:rsid w:val="00A6085C"/>
    <w:rsid w:val="00A71850"/>
    <w:rsid w:val="00A96664"/>
    <w:rsid w:val="00AA081F"/>
    <w:rsid w:val="00AC37C0"/>
    <w:rsid w:val="00AE2A00"/>
    <w:rsid w:val="00B06928"/>
    <w:rsid w:val="00B13134"/>
    <w:rsid w:val="00B32075"/>
    <w:rsid w:val="00B33A71"/>
    <w:rsid w:val="00B54F7F"/>
    <w:rsid w:val="00B553A8"/>
    <w:rsid w:val="00BA09A4"/>
    <w:rsid w:val="00BA6605"/>
    <w:rsid w:val="00BB6505"/>
    <w:rsid w:val="00BC3D71"/>
    <w:rsid w:val="00BE14FF"/>
    <w:rsid w:val="00C17B51"/>
    <w:rsid w:val="00C74E6C"/>
    <w:rsid w:val="00CB2784"/>
    <w:rsid w:val="00CF23E3"/>
    <w:rsid w:val="00D1286B"/>
    <w:rsid w:val="00D13701"/>
    <w:rsid w:val="00D137DA"/>
    <w:rsid w:val="00D42097"/>
    <w:rsid w:val="00D51243"/>
    <w:rsid w:val="00D51A33"/>
    <w:rsid w:val="00D6085D"/>
    <w:rsid w:val="00D77375"/>
    <w:rsid w:val="00DA6223"/>
    <w:rsid w:val="00DB287D"/>
    <w:rsid w:val="00E12FD6"/>
    <w:rsid w:val="00E15BF0"/>
    <w:rsid w:val="00E16917"/>
    <w:rsid w:val="00E2124C"/>
    <w:rsid w:val="00E25F86"/>
    <w:rsid w:val="00E92B6A"/>
    <w:rsid w:val="00EA0242"/>
    <w:rsid w:val="00EB4C23"/>
    <w:rsid w:val="00EB77DF"/>
    <w:rsid w:val="00EC5029"/>
    <w:rsid w:val="00ED3D52"/>
    <w:rsid w:val="00F010F7"/>
    <w:rsid w:val="00F03022"/>
    <w:rsid w:val="00F073ED"/>
    <w:rsid w:val="00F109D5"/>
    <w:rsid w:val="00F236A6"/>
    <w:rsid w:val="00F31CB6"/>
    <w:rsid w:val="00F47FDF"/>
    <w:rsid w:val="00F653FA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1A3415F-86B0-49D8-B497-6B46416ED2C0}"/>
</file>

<file path=customXml/itemProps2.xml><?xml version="1.0" encoding="utf-8"?>
<ds:datastoreItem xmlns:ds="http://schemas.openxmlformats.org/officeDocument/2006/customXml" ds:itemID="{7466425E-0823-45A4-B787-7724A1CFCBC3}"/>
</file>

<file path=customXml/itemProps3.xml><?xml version="1.0" encoding="utf-8"?>
<ds:datastoreItem xmlns:ds="http://schemas.openxmlformats.org/officeDocument/2006/customXml" ds:itemID="{10A8D037-51FA-4B2E-ABD6-2914A853B0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41</cp:revision>
  <dcterms:created xsi:type="dcterms:W3CDTF">2023-11-08T11:03:00Z</dcterms:created>
  <dcterms:modified xsi:type="dcterms:W3CDTF">2024-03-17T14:34:00Z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