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6D25C3D0" w:rsidR="004E26CA" w:rsidRPr="004E26CA" w:rsidRDefault="004E26CA" w:rsidP="00EB7C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505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</w:t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47F91CBD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D7252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</w:t>
      </w:r>
      <w:r w:rsidR="003B107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TIREMENT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6BCC41CC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60D45D0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7252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HOLMES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27C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RICARDO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3A401EB9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30D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427C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427C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B53F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</w:t>
      </w:r>
      <w:r w:rsidR="00427C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DE7C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30D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44F5808A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51468" w:rsidRPr="006514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30/03/1968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77CF75BA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E7C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DE7C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DE7C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2002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27BDBAD6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E7C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DE7C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DE7C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2002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5A714DE7" w:rsidR="004E26CA" w:rsidRPr="004E26CA" w:rsidRDefault="004E26CA" w:rsidP="00887074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</w:t>
      </w:r>
      <w:proofErr w:type="gramStart"/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April</w:t>
      </w:r>
      <w:proofErr w:type="gramEnd"/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188DACCC" w:rsidR="004E26CA" w:rsidRPr="004E26CA" w:rsidRDefault="00DE7C65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82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6F7F7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3BA46543" w:rsidR="004E26CA" w:rsidRPr="004E26CA" w:rsidRDefault="00DE7C65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 w:rsidR="007321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14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0161FB18" w:rsidR="004E26CA" w:rsidRPr="004E26CA" w:rsidRDefault="003946F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89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22737166" w:rsidR="004E26CA" w:rsidRPr="004E26CA" w:rsidRDefault="003946F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92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791BE50C" w:rsidR="004E26CA" w:rsidRPr="004E26CA" w:rsidRDefault="003946F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94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2891E885" w:rsidR="004E26CA" w:rsidRPr="004E26CA" w:rsidRDefault="003946F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52B4E602" w:rsidR="004E26CA" w:rsidRPr="004E26CA" w:rsidRDefault="003946F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98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570E5253" w:rsidR="004E26CA" w:rsidRPr="004E26CA" w:rsidRDefault="003946F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 w:rsidR="0068626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 w:rsidR="000F377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5FD8CC45" w:rsidR="004E26CA" w:rsidRPr="004E26CA" w:rsidRDefault="003946F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3E0FC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0F377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000</w:t>
            </w: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64F06E14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711DE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85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711DE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801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333B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 w:rsidR="00711DE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6BDE23CC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711DE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13</w:t>
      </w:r>
      <w:r w:rsidR="00040D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343A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283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343A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5111BDE6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21E6854B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1D3C005C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468CCF7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0DE9795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78E3A138" w:rsidR="004E26CA" w:rsidRPr="004E26CA" w:rsidRDefault="00132542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</w:t>
            </w:r>
            <w:r w:rsidR="00151E54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9,567.9996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04E983BD" w:rsidR="004E26CA" w:rsidRPr="004E26CA" w:rsidRDefault="00D46DBC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31</w:t>
            </w:r>
            <w:r w:rsidR="00151E54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,308</w:t>
            </w:r>
            <w:r w:rsidR="00B84314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.7994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1F8D1721" w:rsidR="004E26CA" w:rsidRPr="004E26CA" w:rsidRDefault="00B84314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11,333.8131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516A84C9" w:rsidR="004E26CA" w:rsidRPr="004E26CA" w:rsidRDefault="00B776B4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18,134.</w:t>
            </w:r>
            <w:r w:rsidR="00651468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1010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30AF0496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0FDF09CD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3C3672CD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5FA8ED5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1DD6F84F" w:rsidR="004E26CA" w:rsidRPr="004E26CA" w:rsidRDefault="004E26CA" w:rsidP="00A2490D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454FB4C6" w:rsidR="004E26CA" w:rsidRPr="004E26CA" w:rsidRDefault="004E26CA" w:rsidP="00A2490D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844938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844938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4B5E6A" w14:textId="15249B9A" w:rsidR="000964FB" w:rsidRDefault="000964FB" w:rsidP="000964FB">
      <w:pPr>
        <w:pStyle w:val="BodyText"/>
        <w:ind w:left="0" w:right="-99"/>
        <w:jc w:val="both"/>
      </w:pPr>
      <w:r>
        <w:t>On 1</w:t>
      </w:r>
      <w:r w:rsidR="00F173F6">
        <w:t>4</w:t>
      </w:r>
      <w:r>
        <w:t xml:space="preserve"> </w:t>
      </w:r>
      <w:r w:rsidR="00F173F6">
        <w:t xml:space="preserve">September </w:t>
      </w:r>
      <w:r>
        <w:t xml:space="preserve">2002, </w:t>
      </w:r>
      <w:r w:rsidR="00F173F6">
        <w:t>Ricardo Holmes</w:t>
      </w:r>
      <w:r>
        <w:t xml:space="preserve"> transferred his benefits from the registered pension scheme of one of his former employers into the OPQ Retirement &amp; Death Benefits Plan.</w:t>
      </w:r>
      <w:r>
        <w:rPr>
          <w:spacing w:val="51"/>
        </w:rPr>
        <w:t xml:space="preserve"> </w:t>
      </w:r>
      <w:r>
        <w:t>The transfer value of £</w:t>
      </w:r>
      <w:r w:rsidR="00A6212C">
        <w:t>131</w:t>
      </w:r>
      <w:r>
        <w:t>,</w:t>
      </w:r>
      <w:r w:rsidR="00CD23D5">
        <w:t>388</w:t>
      </w:r>
      <w:r>
        <w:t>.6</w:t>
      </w:r>
      <w:r w:rsidR="00CD23D5">
        <w:t>2</w:t>
      </w:r>
      <w:r>
        <w:t xml:space="preserve"> secured </w:t>
      </w:r>
      <w:r w:rsidR="00E5121B">
        <w:t>53</w:t>
      </w:r>
      <w:r>
        <w:t>,</w:t>
      </w:r>
      <w:r w:rsidR="00E5121B">
        <w:t>817.</w:t>
      </w:r>
      <w:r w:rsidR="0028400A">
        <w:t>3</w:t>
      </w:r>
      <w:r w:rsidR="00E5121B">
        <w:t>7</w:t>
      </w:r>
      <w:r w:rsidR="000A7640">
        <w:t>16 Member Units in the Index Linked Bond Fund and 53,817.</w:t>
      </w:r>
      <w:r w:rsidR="0028400A">
        <w:t>3</w:t>
      </w:r>
      <w:r w:rsidR="000A7640">
        <w:t>7</w:t>
      </w:r>
      <w:r w:rsidR="005728DE">
        <w:t>16</w:t>
      </w:r>
      <w:r w:rsidR="000A7640">
        <w:t xml:space="preserve"> Employer Units in the Index Linked Bond Fund</w:t>
      </w:r>
      <w:r w:rsidR="00BC22A9">
        <w:t>.  T</w:t>
      </w:r>
      <w:r>
        <w:t>hese</w:t>
      </w:r>
      <w:r w:rsidR="00BC22A9">
        <w:t xml:space="preserve"> Unit Holdings are additional to the other Units s</w:t>
      </w:r>
      <w:r w:rsidR="00176552">
        <w:t>tated above.</w:t>
      </w:r>
    </w:p>
    <w:p w14:paraId="1DC82278" w14:textId="77777777" w:rsidR="00B13B34" w:rsidRDefault="00B13B34" w:rsidP="000964FB">
      <w:pPr>
        <w:pStyle w:val="BodyText"/>
        <w:ind w:left="0" w:right="-99"/>
        <w:jc w:val="both"/>
      </w:pPr>
    </w:p>
    <w:p w14:paraId="7A0D3393" w14:textId="71123D73" w:rsidR="000964FB" w:rsidRDefault="00B13B34" w:rsidP="000964FB">
      <w:pPr>
        <w:pStyle w:val="BodyText"/>
        <w:ind w:left="0" w:right="-99"/>
        <w:jc w:val="both"/>
        <w:rPr>
          <w:rFonts w:cs="Times New Roman"/>
        </w:rPr>
      </w:pPr>
      <w:r>
        <w:t xml:space="preserve">Ricardo Holmes </w:t>
      </w:r>
      <w:r w:rsidR="000964FB">
        <w:t xml:space="preserve">has requested a quotation assuming he takes 25% of the value of his Personal Retirement Account at retirement as a tax-free cash sum, with the balance being used to purchase a joint life annuity (based </w:t>
      </w:r>
      <w:r w:rsidR="000964FB">
        <w:rPr>
          <w:rFonts w:cs="Times New Roman"/>
        </w:rPr>
        <w:t>on the “Annuity Bureau” factors) using one of the following</w:t>
      </w:r>
      <w:r w:rsidR="000964FB">
        <w:rPr>
          <w:rFonts w:cs="Times New Roman"/>
          <w:spacing w:val="-9"/>
        </w:rPr>
        <w:t xml:space="preserve"> </w:t>
      </w:r>
      <w:r w:rsidR="000964FB">
        <w:rPr>
          <w:rFonts w:cs="Times New Roman"/>
        </w:rPr>
        <w:t>options:</w:t>
      </w:r>
      <w:r w:rsidR="00046FC8" w:rsidRPr="00046FC8">
        <w:t xml:space="preserve"> </w:t>
      </w:r>
    </w:p>
    <w:p w14:paraId="5A06A0A2" w14:textId="77777777" w:rsidR="0028664E" w:rsidRDefault="0028664E" w:rsidP="00844938">
      <w:pPr>
        <w:spacing w:after="0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D5465" w14:textId="01EAB085" w:rsidR="0028664E" w:rsidRDefault="0028664E" w:rsidP="00844938">
      <w:pPr>
        <w:pStyle w:val="ListParagraph"/>
        <w:numPr>
          <w:ilvl w:val="0"/>
          <w:numId w:val="2"/>
        </w:numPr>
        <w:tabs>
          <w:tab w:val="left" w:pos="1276"/>
        </w:tabs>
        <w:ind w:left="0" w:right="-9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 (</w:t>
      </w:r>
      <w:r w:rsidR="0024418C">
        <w:rPr>
          <w:rFonts w:ascii="Times New Roman"/>
          <w:i/>
          <w:iCs/>
          <w:sz w:val="24"/>
        </w:rPr>
        <w:t>50% j</w:t>
      </w:r>
      <w:r w:rsidR="0007790A">
        <w:rPr>
          <w:rFonts w:ascii="Times New Roman"/>
          <w:i/>
          <w:iCs/>
          <w:sz w:val="24"/>
        </w:rPr>
        <w:t xml:space="preserve">oint </w:t>
      </w:r>
      <w:r w:rsidRPr="008E04F3">
        <w:rPr>
          <w:rFonts w:ascii="Times New Roman"/>
          <w:i/>
          <w:iCs/>
          <w:sz w:val="24"/>
        </w:rPr>
        <w:t>life</w:t>
      </w:r>
      <w:r>
        <w:rPr>
          <w:rFonts w:ascii="Times New Roman"/>
          <w:sz w:val="24"/>
        </w:rPr>
        <w:t>)</w:t>
      </w:r>
    </w:p>
    <w:p w14:paraId="70AB95F5" w14:textId="49F89D49" w:rsidR="0028664E" w:rsidRPr="00A56E79" w:rsidRDefault="0028664E" w:rsidP="00844938">
      <w:pPr>
        <w:pStyle w:val="ListParagraph"/>
        <w:numPr>
          <w:ilvl w:val="0"/>
          <w:numId w:val="2"/>
        </w:numPr>
        <w:tabs>
          <w:tab w:val="left" w:pos="1276"/>
        </w:tabs>
        <w:ind w:left="0" w:right="-9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Increasing annually by the lower of </w:t>
      </w:r>
      <w:r w:rsidR="0007790A">
        <w:rPr>
          <w:rFonts w:ascii="Times New Roman"/>
          <w:sz w:val="24"/>
        </w:rPr>
        <w:t>5</w:t>
      </w:r>
      <w:r w:rsidR="00472962">
        <w:rPr>
          <w:rFonts w:ascii="Times New Roman"/>
          <w:sz w:val="24"/>
        </w:rPr>
        <w:t>.0</w:t>
      </w:r>
      <w:r w:rsidR="0025343E">
        <w:rPr>
          <w:rFonts w:ascii="Times New Roman"/>
          <w:sz w:val="24"/>
        </w:rPr>
        <w:t>%</w:t>
      </w:r>
      <w:r>
        <w:rPr>
          <w:rFonts w:ascii="Times New Roman"/>
          <w:sz w:val="24"/>
        </w:rPr>
        <w:t xml:space="preserve"> or RPI (</w:t>
      </w:r>
      <w:r w:rsidR="0024418C">
        <w:rPr>
          <w:rFonts w:ascii="Times New Roman"/>
          <w:i/>
          <w:iCs/>
          <w:sz w:val="24"/>
        </w:rPr>
        <w:t>50% j</w:t>
      </w:r>
      <w:r w:rsidR="0025343E">
        <w:rPr>
          <w:rFonts w:ascii="Times New Roman"/>
          <w:i/>
          <w:iCs/>
          <w:sz w:val="24"/>
        </w:rPr>
        <w:t>oint</w:t>
      </w:r>
      <w:r w:rsidRPr="007A2254">
        <w:rPr>
          <w:rFonts w:ascii="Times New Roman"/>
          <w:i/>
          <w:iCs/>
          <w:sz w:val="24"/>
        </w:rPr>
        <w:t xml:space="preserve"> life</w:t>
      </w:r>
      <w:r>
        <w:rPr>
          <w:rFonts w:ascii="Times New Roman"/>
          <w:sz w:val="24"/>
        </w:rPr>
        <w:t>)</w:t>
      </w:r>
    </w:p>
    <w:p w14:paraId="13EB84EE" w14:textId="77777777" w:rsidR="00544FFD" w:rsidRDefault="00544FFD" w:rsidP="00844938">
      <w:pPr>
        <w:pStyle w:val="BodyText"/>
        <w:spacing w:before="69"/>
        <w:ind w:left="0" w:right="-99"/>
        <w:jc w:val="both"/>
      </w:pPr>
    </w:p>
    <w:p w14:paraId="113584E6" w14:textId="45001B08" w:rsidR="00DC5EF4" w:rsidRDefault="003C2A93" w:rsidP="00DC5EF4">
      <w:pPr>
        <w:pStyle w:val="BodyText"/>
        <w:spacing w:before="69"/>
        <w:ind w:left="0" w:right="-99"/>
        <w:jc w:val="both"/>
      </w:pPr>
      <w:r>
        <w:t xml:space="preserve">Ricardo Holmes </w:t>
      </w:r>
      <w:r w:rsidR="00DC5EF4">
        <w:t xml:space="preserve">has specifically stated that he does not want to receive a quotation for a single </w:t>
      </w:r>
      <w:proofErr w:type="spellStart"/>
      <w:r w:rsidR="00DC5EF4">
        <w:t>Uncrystallised</w:t>
      </w:r>
      <w:proofErr w:type="spellEnd"/>
      <w:r w:rsidR="00DC5EF4">
        <w:t xml:space="preserve"> Funds Pension Lump Sum (UFPLS).</w:t>
      </w:r>
    </w:p>
    <w:p w14:paraId="33C9EF13" w14:textId="77777777" w:rsidR="00844938" w:rsidRDefault="00844938" w:rsidP="00844938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A0ED81" w14:textId="3879F4E2" w:rsidR="004E26CA" w:rsidRDefault="003C2A93" w:rsidP="00844938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Ricardo Holmes’ </w:t>
      </w:r>
      <w:r w:rsidR="00AA081F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2C5482">
        <w:rPr>
          <w:rFonts w:ascii="Times New Roman" w:eastAsia="Times New Roman" w:hAnsi="Times New Roman" w:cs="Times New Roman"/>
          <w:spacing w:val="-3"/>
          <w:sz w:val="24"/>
          <w:szCs w:val="24"/>
        </w:rPr>
        <w:t>1,0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73</w:t>
      </w:r>
      <w:r w:rsidR="002C5482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100.00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D2B4ED6" w14:textId="77777777" w:rsidR="00B81957" w:rsidRDefault="00B81957" w:rsidP="00844938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1DF79F" w14:textId="1F8DF1B1" w:rsidR="00B81957" w:rsidRPr="004E26CA" w:rsidRDefault="00B81957" w:rsidP="00844938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Ricardo Holmes’ </w:t>
      </w:r>
      <w:r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Allowance (‘LSA’)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268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sectPr w:rsidR="00B81957" w:rsidRPr="004E26CA" w:rsidSect="009B4E7B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343"/>
    <w:multiLevelType w:val="hybridMultilevel"/>
    <w:tmpl w:val="B73CF632"/>
    <w:lvl w:ilvl="0" w:tplc="9C40E8A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B202BE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CDC66C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3566BB8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EF4DC8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C2C2CD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4C507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9790F3A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F32E53C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94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84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74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365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455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546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636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727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8177" w:hanging="246"/>
      </w:pPr>
      <w:rPr>
        <w:rFonts w:hint="default"/>
      </w:rPr>
    </w:lvl>
  </w:abstractNum>
  <w:num w:numId="1" w16cid:durableId="1041855693">
    <w:abstractNumId w:val="1"/>
  </w:num>
  <w:num w:numId="2" w16cid:durableId="12200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1008E"/>
    <w:rsid w:val="00034815"/>
    <w:rsid w:val="00035FE0"/>
    <w:rsid w:val="00040DD4"/>
    <w:rsid w:val="00046644"/>
    <w:rsid w:val="00046FC8"/>
    <w:rsid w:val="0006013A"/>
    <w:rsid w:val="00076FD1"/>
    <w:rsid w:val="0007790A"/>
    <w:rsid w:val="00081BF0"/>
    <w:rsid w:val="000964FB"/>
    <w:rsid w:val="000A3ADF"/>
    <w:rsid w:val="000A466D"/>
    <w:rsid w:val="000A7640"/>
    <w:rsid w:val="000F377B"/>
    <w:rsid w:val="001040CA"/>
    <w:rsid w:val="0010612E"/>
    <w:rsid w:val="00112F5F"/>
    <w:rsid w:val="00132542"/>
    <w:rsid w:val="00151E54"/>
    <w:rsid w:val="0016385D"/>
    <w:rsid w:val="00176552"/>
    <w:rsid w:val="002002D7"/>
    <w:rsid w:val="00202560"/>
    <w:rsid w:val="00225514"/>
    <w:rsid w:val="0024418C"/>
    <w:rsid w:val="0025343E"/>
    <w:rsid w:val="0027397C"/>
    <w:rsid w:val="0028400A"/>
    <w:rsid w:val="0028664E"/>
    <w:rsid w:val="00292652"/>
    <w:rsid w:val="002B012C"/>
    <w:rsid w:val="002C33E5"/>
    <w:rsid w:val="002C5482"/>
    <w:rsid w:val="002D14E9"/>
    <w:rsid w:val="002E3808"/>
    <w:rsid w:val="00300968"/>
    <w:rsid w:val="00333BED"/>
    <w:rsid w:val="003417E4"/>
    <w:rsid w:val="00343AF6"/>
    <w:rsid w:val="003829B6"/>
    <w:rsid w:val="00384D53"/>
    <w:rsid w:val="003861C1"/>
    <w:rsid w:val="00392FEF"/>
    <w:rsid w:val="003946FA"/>
    <w:rsid w:val="003A5BEB"/>
    <w:rsid w:val="003B1073"/>
    <w:rsid w:val="003C2A93"/>
    <w:rsid w:val="003E0FCD"/>
    <w:rsid w:val="00427CC9"/>
    <w:rsid w:val="00430827"/>
    <w:rsid w:val="00447613"/>
    <w:rsid w:val="00472962"/>
    <w:rsid w:val="0047574C"/>
    <w:rsid w:val="00490024"/>
    <w:rsid w:val="004B47A4"/>
    <w:rsid w:val="004C4111"/>
    <w:rsid w:val="004E0873"/>
    <w:rsid w:val="004E26CA"/>
    <w:rsid w:val="004F798F"/>
    <w:rsid w:val="00525A02"/>
    <w:rsid w:val="00531D88"/>
    <w:rsid w:val="00533590"/>
    <w:rsid w:val="00540950"/>
    <w:rsid w:val="005416EB"/>
    <w:rsid w:val="00544FFD"/>
    <w:rsid w:val="005548BD"/>
    <w:rsid w:val="00565EF5"/>
    <w:rsid w:val="00567C21"/>
    <w:rsid w:val="005728DE"/>
    <w:rsid w:val="005754CF"/>
    <w:rsid w:val="00581089"/>
    <w:rsid w:val="00593314"/>
    <w:rsid w:val="00594E50"/>
    <w:rsid w:val="005E2C66"/>
    <w:rsid w:val="006122E9"/>
    <w:rsid w:val="00620346"/>
    <w:rsid w:val="00630D8D"/>
    <w:rsid w:val="006443E2"/>
    <w:rsid w:val="00651468"/>
    <w:rsid w:val="006740FA"/>
    <w:rsid w:val="00686269"/>
    <w:rsid w:val="006B50C0"/>
    <w:rsid w:val="006D3C65"/>
    <w:rsid w:val="006F7F75"/>
    <w:rsid w:val="007076C7"/>
    <w:rsid w:val="00710E67"/>
    <w:rsid w:val="00711DE9"/>
    <w:rsid w:val="0073212E"/>
    <w:rsid w:val="00752B93"/>
    <w:rsid w:val="00771D2B"/>
    <w:rsid w:val="00772C9F"/>
    <w:rsid w:val="00785EF4"/>
    <w:rsid w:val="00793B7F"/>
    <w:rsid w:val="007A2254"/>
    <w:rsid w:val="007E6C53"/>
    <w:rsid w:val="007E6C8B"/>
    <w:rsid w:val="00807378"/>
    <w:rsid w:val="00823BA7"/>
    <w:rsid w:val="00844938"/>
    <w:rsid w:val="00861874"/>
    <w:rsid w:val="00887074"/>
    <w:rsid w:val="00887E08"/>
    <w:rsid w:val="00935295"/>
    <w:rsid w:val="00937F5D"/>
    <w:rsid w:val="00981BB3"/>
    <w:rsid w:val="00992603"/>
    <w:rsid w:val="00996474"/>
    <w:rsid w:val="00997AFA"/>
    <w:rsid w:val="009A3DBE"/>
    <w:rsid w:val="009B4E7B"/>
    <w:rsid w:val="009D1099"/>
    <w:rsid w:val="009D58CB"/>
    <w:rsid w:val="009F6757"/>
    <w:rsid w:val="00A04804"/>
    <w:rsid w:val="00A2490D"/>
    <w:rsid w:val="00A6212C"/>
    <w:rsid w:val="00A96664"/>
    <w:rsid w:val="00AA081F"/>
    <w:rsid w:val="00AE5D14"/>
    <w:rsid w:val="00B06928"/>
    <w:rsid w:val="00B13134"/>
    <w:rsid w:val="00B13B34"/>
    <w:rsid w:val="00B32075"/>
    <w:rsid w:val="00B33A71"/>
    <w:rsid w:val="00B53F03"/>
    <w:rsid w:val="00B776B4"/>
    <w:rsid w:val="00B81957"/>
    <w:rsid w:val="00B84314"/>
    <w:rsid w:val="00BA09A4"/>
    <w:rsid w:val="00BA176E"/>
    <w:rsid w:val="00BA6605"/>
    <w:rsid w:val="00BB6505"/>
    <w:rsid w:val="00BC22A9"/>
    <w:rsid w:val="00BF27E4"/>
    <w:rsid w:val="00C13983"/>
    <w:rsid w:val="00C854EA"/>
    <w:rsid w:val="00C941D3"/>
    <w:rsid w:val="00CB2784"/>
    <w:rsid w:val="00CD23D5"/>
    <w:rsid w:val="00CE1E6E"/>
    <w:rsid w:val="00D01149"/>
    <w:rsid w:val="00D11551"/>
    <w:rsid w:val="00D1644E"/>
    <w:rsid w:val="00D42097"/>
    <w:rsid w:val="00D46DBC"/>
    <w:rsid w:val="00D50103"/>
    <w:rsid w:val="00D51243"/>
    <w:rsid w:val="00D51A33"/>
    <w:rsid w:val="00D52387"/>
    <w:rsid w:val="00D6085D"/>
    <w:rsid w:val="00D72525"/>
    <w:rsid w:val="00D91B85"/>
    <w:rsid w:val="00DA6223"/>
    <w:rsid w:val="00DC5EF4"/>
    <w:rsid w:val="00DE0FCD"/>
    <w:rsid w:val="00DE7C65"/>
    <w:rsid w:val="00E25F86"/>
    <w:rsid w:val="00E5121B"/>
    <w:rsid w:val="00E52ED0"/>
    <w:rsid w:val="00E603E0"/>
    <w:rsid w:val="00E92B6A"/>
    <w:rsid w:val="00E96520"/>
    <w:rsid w:val="00EA0242"/>
    <w:rsid w:val="00EB7CC0"/>
    <w:rsid w:val="00ED3D52"/>
    <w:rsid w:val="00EE228E"/>
    <w:rsid w:val="00EF58D7"/>
    <w:rsid w:val="00F002C1"/>
    <w:rsid w:val="00F00FA5"/>
    <w:rsid w:val="00F010F7"/>
    <w:rsid w:val="00F109D5"/>
    <w:rsid w:val="00F1262E"/>
    <w:rsid w:val="00F1541F"/>
    <w:rsid w:val="00F173F6"/>
    <w:rsid w:val="00F236A6"/>
    <w:rsid w:val="00F31CB6"/>
    <w:rsid w:val="00F47FDF"/>
    <w:rsid w:val="00F65D86"/>
    <w:rsid w:val="00F8074F"/>
    <w:rsid w:val="00F80D08"/>
    <w:rsid w:val="00FC6CD1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1B85"/>
    <w:pPr>
      <w:widowControl w:val="0"/>
      <w:spacing w:after="0" w:line="240" w:lineRule="auto"/>
      <w:ind w:left="2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1B85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91B8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4850843-2674-4E4A-ABB4-A7EE562E83FF}"/>
</file>

<file path=customXml/itemProps2.xml><?xml version="1.0" encoding="utf-8"?>
<ds:datastoreItem xmlns:ds="http://schemas.openxmlformats.org/officeDocument/2006/customXml" ds:itemID="{89ADA9C1-F633-4E11-89C2-41E88BAD2D21}"/>
</file>

<file path=customXml/itemProps3.xml><?xml version="1.0" encoding="utf-8"?>
<ds:datastoreItem xmlns:ds="http://schemas.openxmlformats.org/officeDocument/2006/customXml" ds:itemID="{4B175317-00E6-4F30-A02F-3EF9ECD3B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14</cp:revision>
  <dcterms:created xsi:type="dcterms:W3CDTF">2023-11-14T14:48:00Z</dcterms:created>
  <dcterms:modified xsi:type="dcterms:W3CDTF">2024-03-05T18:22:00Z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