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F18A" w14:textId="77777777" w:rsidR="005604A0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5604A0">
        <w:rPr>
          <w:b/>
          <w:sz w:val="28"/>
          <w:szCs w:val="28"/>
        </w:rPr>
        <w:t>Retirement &amp; Death Benefits Plan</w:t>
      </w:r>
      <w:r w:rsidRPr="00673C65">
        <w:rPr>
          <w:b/>
          <w:sz w:val="28"/>
          <w:szCs w:val="28"/>
        </w:rPr>
        <w:t xml:space="preserve">  </w:t>
      </w:r>
    </w:p>
    <w:p w14:paraId="4E2F3172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TVIN</w:t>
      </w:r>
      <w:r w:rsidR="005604A0">
        <w:rPr>
          <w:b/>
          <w:sz w:val="28"/>
          <w:szCs w:val="28"/>
        </w:rPr>
        <w:t xml:space="preserve"> Completed</w:t>
      </w:r>
    </w:p>
    <w:p w14:paraId="0388B510" w14:textId="719E314B" w:rsidR="00673C65" w:rsidRPr="00B94940" w:rsidRDefault="00B94940">
      <w:pPr>
        <w:rPr>
          <w:bCs/>
          <w:sz w:val="28"/>
          <w:szCs w:val="28"/>
        </w:rPr>
      </w:pPr>
      <w:r w:rsidRPr="00B94940">
        <w:rPr>
          <w:bCs/>
          <w:sz w:val="28"/>
          <w:szCs w:val="28"/>
        </w:rPr>
        <w:t>-----</w:t>
      </w:r>
    </w:p>
    <w:p w14:paraId="2E96E7B4" w14:textId="18F99627" w:rsidR="00673C65" w:rsidRDefault="00673C65">
      <w:pPr>
        <w:rPr>
          <w:b/>
        </w:rPr>
      </w:pPr>
      <w:r>
        <w:t xml:space="preserve">Member Name: </w:t>
      </w:r>
      <w:r w:rsidR="00F13A13">
        <w:tab/>
      </w:r>
      <w:r w:rsidR="0058594A">
        <w:rPr>
          <w:b/>
        </w:rPr>
        <w:t>Bobby Richardson</w:t>
      </w:r>
    </w:p>
    <w:p w14:paraId="6E43A367" w14:textId="0A0C67DF" w:rsidR="005604A0" w:rsidRDefault="005604A0">
      <w:r w:rsidRPr="00F13A13">
        <w:rPr>
          <w:bCs/>
        </w:rPr>
        <w:t>Calculation Date</w:t>
      </w:r>
      <w:r w:rsidR="00F13A13">
        <w:rPr>
          <w:bCs/>
        </w:rPr>
        <w:t>:</w:t>
      </w:r>
      <w:r>
        <w:rPr>
          <w:b/>
        </w:rPr>
        <w:t xml:space="preserve"> </w:t>
      </w:r>
      <w:r w:rsidR="00F13A13">
        <w:rPr>
          <w:b/>
        </w:rPr>
        <w:tab/>
      </w:r>
      <w:r w:rsidR="009D1B15">
        <w:rPr>
          <w:b/>
        </w:rPr>
        <w:t>2</w:t>
      </w:r>
      <w:r>
        <w:rPr>
          <w:b/>
        </w:rPr>
        <w:t xml:space="preserve"> September 20</w:t>
      </w:r>
      <w:r w:rsidR="00482874">
        <w:rPr>
          <w:b/>
        </w:rPr>
        <w:t>2</w:t>
      </w:r>
      <w:r w:rsidR="0058594A">
        <w:rPr>
          <w:b/>
        </w:rPr>
        <w:t>4</w:t>
      </w:r>
    </w:p>
    <w:p w14:paraId="33E09D68" w14:textId="062D31B8" w:rsidR="005604A0" w:rsidRDefault="00673C65">
      <w:r>
        <w:t xml:space="preserve">Transfer Value </w:t>
      </w:r>
      <w:r w:rsidR="00D13BFB">
        <w:t xml:space="preserve">received </w:t>
      </w:r>
      <w:r w:rsidR="005604A0">
        <w:t>from previous scheme</w:t>
      </w:r>
      <w:r w:rsidR="00D13BFB">
        <w:t xml:space="preserve"> of</w:t>
      </w:r>
      <w:r w:rsidR="005604A0">
        <w:t xml:space="preserve"> </w:t>
      </w:r>
      <w:r w:rsidRPr="00673C65">
        <w:rPr>
          <w:b/>
        </w:rPr>
        <w:t>£</w:t>
      </w:r>
      <w:r w:rsidR="00A02318">
        <w:rPr>
          <w:b/>
          <w:spacing w:val="-3"/>
        </w:rPr>
        <w:t>4</w:t>
      </w:r>
      <w:r w:rsidR="0058594A">
        <w:rPr>
          <w:b/>
          <w:spacing w:val="-3"/>
        </w:rPr>
        <w:t>9</w:t>
      </w:r>
      <w:r w:rsidR="00A02318">
        <w:rPr>
          <w:b/>
          <w:spacing w:val="-3"/>
        </w:rPr>
        <w:t>,0</w:t>
      </w:r>
      <w:r w:rsidR="0058594A">
        <w:rPr>
          <w:b/>
          <w:spacing w:val="-3"/>
        </w:rPr>
        <w:t>7</w:t>
      </w:r>
      <w:r w:rsidR="00A02318">
        <w:rPr>
          <w:b/>
          <w:spacing w:val="-3"/>
        </w:rPr>
        <w:t>8.</w:t>
      </w:r>
      <w:r w:rsidR="0058594A">
        <w:rPr>
          <w:b/>
          <w:spacing w:val="-3"/>
        </w:rPr>
        <w:t>12</w:t>
      </w:r>
      <w:r w:rsidR="00A02318">
        <w:rPr>
          <w:b/>
          <w:spacing w:val="-3"/>
        </w:rPr>
        <w:t xml:space="preserve"> </w:t>
      </w:r>
      <w:r w:rsidR="005604A0">
        <w:t>include</w:t>
      </w:r>
      <w:r w:rsidR="00D13BFB">
        <w:t>d</w:t>
      </w:r>
      <w:r w:rsidR="005604A0">
        <w:t>:</w:t>
      </w:r>
    </w:p>
    <w:p w14:paraId="4B036357" w14:textId="2479FAA9" w:rsidR="005604A0" w:rsidRDefault="00673C65" w:rsidP="001F1FBA">
      <w:pPr>
        <w:pStyle w:val="ListParagraph"/>
        <w:numPr>
          <w:ilvl w:val="0"/>
          <w:numId w:val="2"/>
        </w:numPr>
      </w:pPr>
      <w:r w:rsidRPr="001F1FBA">
        <w:rPr>
          <w:b/>
        </w:rPr>
        <w:t>£</w:t>
      </w:r>
      <w:r w:rsidR="0058594A" w:rsidRPr="001F1FBA">
        <w:rPr>
          <w:b/>
          <w:spacing w:val="-3"/>
        </w:rPr>
        <w:t>20</w:t>
      </w:r>
      <w:r w:rsidR="00A02318" w:rsidRPr="001F1FBA">
        <w:rPr>
          <w:b/>
          <w:spacing w:val="-3"/>
        </w:rPr>
        <w:t>,2</w:t>
      </w:r>
      <w:r w:rsidR="0058594A" w:rsidRPr="001F1FBA">
        <w:rPr>
          <w:b/>
          <w:spacing w:val="-3"/>
        </w:rPr>
        <w:t>0</w:t>
      </w:r>
      <w:r w:rsidR="00A02318" w:rsidRPr="001F1FBA">
        <w:rPr>
          <w:b/>
          <w:spacing w:val="-3"/>
        </w:rPr>
        <w:t>1.3</w:t>
      </w:r>
      <w:r w:rsidR="0058594A" w:rsidRPr="001F1FBA">
        <w:rPr>
          <w:b/>
          <w:spacing w:val="-3"/>
        </w:rPr>
        <w:t>5</w:t>
      </w:r>
      <w:r w:rsidR="00A02318" w:rsidRPr="001F1FBA">
        <w:rPr>
          <w:b/>
          <w:spacing w:val="-3"/>
        </w:rPr>
        <w:t xml:space="preserve"> </w:t>
      </w:r>
      <w:r w:rsidR="001F1FBA">
        <w:rPr>
          <w:b/>
          <w:spacing w:val="-3"/>
        </w:rPr>
        <w:tab/>
      </w:r>
      <w:r w:rsidR="001F1FBA" w:rsidRPr="001F1FBA">
        <w:rPr>
          <w:bCs/>
          <w:spacing w:val="-3"/>
        </w:rPr>
        <w:t>M</w:t>
      </w:r>
      <w:r>
        <w:t xml:space="preserve">ember </w:t>
      </w:r>
      <w:r w:rsidR="004E0098">
        <w:t>C</w:t>
      </w:r>
      <w:r>
        <w:t>ontributions</w:t>
      </w:r>
    </w:p>
    <w:p w14:paraId="5C06E229" w14:textId="571C7372" w:rsidR="00673C65" w:rsidRDefault="0058594A" w:rsidP="00016FE4">
      <w:pPr>
        <w:pStyle w:val="ListParagraph"/>
        <w:numPr>
          <w:ilvl w:val="0"/>
          <w:numId w:val="2"/>
        </w:numPr>
        <w:spacing w:after="240"/>
      </w:pPr>
      <w:r w:rsidRPr="001F1FBA">
        <w:rPr>
          <w:b/>
          <w:bCs/>
        </w:rPr>
        <w:t xml:space="preserve">£28,876.77 </w:t>
      </w:r>
      <w:r w:rsidR="001F1FBA">
        <w:rPr>
          <w:b/>
          <w:bCs/>
        </w:rPr>
        <w:tab/>
      </w:r>
      <w:r w:rsidR="001F1FBA" w:rsidRPr="001F1FBA">
        <w:t>E</w:t>
      </w:r>
      <w:r w:rsidR="00673C65">
        <w:t xml:space="preserve">mployer </w:t>
      </w:r>
      <w:r w:rsidR="004E0098">
        <w:t>C</w:t>
      </w:r>
      <w:r w:rsidR="00673C65">
        <w:t xml:space="preserve">ontributions </w:t>
      </w:r>
    </w:p>
    <w:p w14:paraId="044F31CA" w14:textId="0278905B" w:rsidR="00D530FD" w:rsidRDefault="00D530FD" w:rsidP="00016FE4">
      <w:pPr>
        <w:spacing w:after="240"/>
        <w:jc w:val="both"/>
      </w:pPr>
      <w:r>
        <w:t>-----</w:t>
      </w:r>
    </w:p>
    <w:p w14:paraId="02E0B580" w14:textId="0D25F5B1" w:rsidR="001F1FBA" w:rsidRDefault="001F1FBA" w:rsidP="007977D4">
      <w:pPr>
        <w:spacing w:after="360"/>
        <w:jc w:val="both"/>
      </w:pPr>
      <w:r>
        <w:t xml:space="preserve">The </w:t>
      </w:r>
      <w:r w:rsidRPr="001F1FBA">
        <w:rPr>
          <w:b/>
          <w:bCs/>
        </w:rPr>
        <w:t>Member</w:t>
      </w:r>
      <w:r>
        <w:t xml:space="preserve"> and </w:t>
      </w:r>
      <w:r w:rsidRPr="001F1FBA">
        <w:rPr>
          <w:b/>
          <w:bCs/>
        </w:rPr>
        <w:t>Employer</w:t>
      </w:r>
      <w:r>
        <w:t xml:space="preserve"> contributions purchased the following units (based on current unit prices):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673C65" w14:paraId="3237D9D7" w14:textId="77777777" w:rsidTr="00673C65">
        <w:tc>
          <w:tcPr>
            <w:tcW w:w="1803" w:type="dxa"/>
          </w:tcPr>
          <w:p w14:paraId="34A2D4B6" w14:textId="77777777" w:rsidR="00673C65" w:rsidRDefault="00673C65"/>
        </w:tc>
        <w:tc>
          <w:tcPr>
            <w:tcW w:w="1803" w:type="dxa"/>
          </w:tcPr>
          <w:p w14:paraId="65C72AC6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Global Equity Fund</w:t>
            </w:r>
          </w:p>
        </w:tc>
        <w:tc>
          <w:tcPr>
            <w:tcW w:w="1803" w:type="dxa"/>
          </w:tcPr>
          <w:p w14:paraId="24C0D3E9" w14:textId="048AB59E" w:rsidR="00673C65" w:rsidRPr="00673C65" w:rsidRDefault="00107FB8">
            <w:pPr>
              <w:rPr>
                <w:b/>
              </w:rPr>
            </w:pPr>
            <w:r>
              <w:rPr>
                <w:b/>
              </w:rPr>
              <w:t>Index Linked Bond</w:t>
            </w:r>
            <w:r w:rsidR="005604A0">
              <w:rPr>
                <w:b/>
              </w:rPr>
              <w:t xml:space="preserve"> Fund</w:t>
            </w:r>
          </w:p>
        </w:tc>
        <w:tc>
          <w:tcPr>
            <w:tcW w:w="1803" w:type="dxa"/>
          </w:tcPr>
          <w:p w14:paraId="148E4D4A" w14:textId="37167D08" w:rsidR="00673C65" w:rsidRPr="00673C65" w:rsidRDefault="00107FB8">
            <w:pPr>
              <w:rPr>
                <w:b/>
              </w:rPr>
            </w:pPr>
            <w:r>
              <w:rPr>
                <w:b/>
              </w:rPr>
              <w:t xml:space="preserve">Balanced </w:t>
            </w:r>
            <w:r w:rsidR="00432CD1">
              <w:rPr>
                <w:b/>
              </w:rPr>
              <w:t>Fund</w:t>
            </w:r>
          </w:p>
        </w:tc>
      </w:tr>
      <w:tr w:rsidR="00673C65" w14:paraId="4AD1C91C" w14:textId="77777777" w:rsidTr="00673C65">
        <w:tc>
          <w:tcPr>
            <w:tcW w:w="1803" w:type="dxa"/>
          </w:tcPr>
          <w:p w14:paraId="23ACCB4C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Member Contributions</w:t>
            </w:r>
          </w:p>
        </w:tc>
        <w:tc>
          <w:tcPr>
            <w:tcW w:w="1803" w:type="dxa"/>
          </w:tcPr>
          <w:p w14:paraId="36FFF34F" w14:textId="2A69B081" w:rsidR="00673C65" w:rsidRDefault="0058594A" w:rsidP="00AF54A3">
            <w:pPr>
              <w:tabs>
                <w:tab w:val="decimal" w:pos="632"/>
              </w:tabs>
            </w:pPr>
            <w:r>
              <w:t>2,642.7721</w:t>
            </w:r>
          </w:p>
        </w:tc>
        <w:tc>
          <w:tcPr>
            <w:tcW w:w="1803" w:type="dxa"/>
          </w:tcPr>
          <w:p w14:paraId="1425E93B" w14:textId="3FBEF9AD" w:rsidR="00673C65" w:rsidRDefault="00516A36" w:rsidP="00AF54A3">
            <w:pPr>
              <w:tabs>
                <w:tab w:val="decimal" w:pos="610"/>
              </w:tabs>
            </w:pPr>
            <w:r>
              <w:t>3</w:t>
            </w:r>
            <w:r w:rsidR="0058594A">
              <w:t>,</w:t>
            </w:r>
            <w:r>
              <w:t>160</w:t>
            </w:r>
            <w:r w:rsidR="0058594A">
              <w:t>.</w:t>
            </w:r>
            <w:r>
              <w:t>4115</w:t>
            </w:r>
          </w:p>
        </w:tc>
        <w:tc>
          <w:tcPr>
            <w:tcW w:w="1803" w:type="dxa"/>
          </w:tcPr>
          <w:p w14:paraId="0D713382" w14:textId="799BC5F1" w:rsidR="00673C65" w:rsidRDefault="00474B19" w:rsidP="00AF54A3">
            <w:pPr>
              <w:tabs>
                <w:tab w:val="decimal" w:pos="670"/>
              </w:tabs>
            </w:pPr>
            <w:r>
              <w:t>1</w:t>
            </w:r>
            <w:r w:rsidR="0058594A">
              <w:t>,</w:t>
            </w:r>
            <w:r>
              <w:t>033</w:t>
            </w:r>
            <w:r w:rsidR="0058594A">
              <w:t>.</w:t>
            </w:r>
            <w:r>
              <w:t>2114</w:t>
            </w:r>
          </w:p>
        </w:tc>
      </w:tr>
      <w:tr w:rsidR="00673C65" w14:paraId="16BF0D6B" w14:textId="77777777" w:rsidTr="00673C65">
        <w:tc>
          <w:tcPr>
            <w:tcW w:w="1803" w:type="dxa"/>
          </w:tcPr>
          <w:p w14:paraId="6D1D0A91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Employer Contributions</w:t>
            </w:r>
          </w:p>
        </w:tc>
        <w:tc>
          <w:tcPr>
            <w:tcW w:w="1803" w:type="dxa"/>
          </w:tcPr>
          <w:p w14:paraId="0E2B3CE3" w14:textId="4A7E98BA" w:rsidR="00673C65" w:rsidRDefault="0058594A" w:rsidP="00AF54A3">
            <w:pPr>
              <w:tabs>
                <w:tab w:val="decimal" w:pos="632"/>
              </w:tabs>
            </w:pPr>
            <w:r>
              <w:t>3,777.7041</w:t>
            </w:r>
          </w:p>
        </w:tc>
        <w:tc>
          <w:tcPr>
            <w:tcW w:w="1803" w:type="dxa"/>
          </w:tcPr>
          <w:p w14:paraId="2BCB8CA2" w14:textId="639D8189" w:rsidR="00673C65" w:rsidRDefault="0082188A" w:rsidP="00AF54A3">
            <w:pPr>
              <w:tabs>
                <w:tab w:val="decimal" w:pos="610"/>
              </w:tabs>
            </w:pPr>
            <w:r>
              <w:t>4</w:t>
            </w:r>
            <w:r w:rsidR="0058594A">
              <w:t>,</w:t>
            </w:r>
            <w:r>
              <w:t>517</w:t>
            </w:r>
            <w:r w:rsidR="0058594A">
              <w:t>.</w:t>
            </w:r>
            <w:r>
              <w:t>6424</w:t>
            </w:r>
          </w:p>
        </w:tc>
        <w:tc>
          <w:tcPr>
            <w:tcW w:w="1803" w:type="dxa"/>
          </w:tcPr>
          <w:p w14:paraId="3ADEF739" w14:textId="7AAF9AD4" w:rsidR="00673C65" w:rsidRDefault="00474B19" w:rsidP="00AF54A3">
            <w:pPr>
              <w:tabs>
                <w:tab w:val="decimal" w:pos="670"/>
              </w:tabs>
            </w:pPr>
            <w:r>
              <w:t>1</w:t>
            </w:r>
            <w:r w:rsidR="0058594A">
              <w:t>,</w:t>
            </w:r>
            <w:r>
              <w:t>476</w:t>
            </w:r>
            <w:r w:rsidR="0058594A">
              <w:t>.</w:t>
            </w:r>
            <w:r>
              <w:t>9215</w:t>
            </w:r>
          </w:p>
        </w:tc>
      </w:tr>
      <w:tr w:rsidR="00673C65" w14:paraId="53F3BA41" w14:textId="77777777" w:rsidTr="00673C65">
        <w:tc>
          <w:tcPr>
            <w:tcW w:w="1803" w:type="dxa"/>
          </w:tcPr>
          <w:p w14:paraId="3A726ED4" w14:textId="77777777" w:rsidR="00673C65" w:rsidRPr="00673C65" w:rsidRDefault="00673C65">
            <w:pPr>
              <w:rPr>
                <w:b/>
              </w:rPr>
            </w:pPr>
            <w:r w:rsidRPr="00673C65">
              <w:rPr>
                <w:b/>
              </w:rPr>
              <w:t>Total Number of Units</w:t>
            </w:r>
          </w:p>
        </w:tc>
        <w:tc>
          <w:tcPr>
            <w:tcW w:w="1803" w:type="dxa"/>
          </w:tcPr>
          <w:p w14:paraId="53129441" w14:textId="3E59BB2D" w:rsidR="00673C65" w:rsidRPr="0058594A" w:rsidRDefault="0058594A" w:rsidP="00AF54A3">
            <w:pPr>
              <w:tabs>
                <w:tab w:val="decimal" w:pos="632"/>
              </w:tabs>
              <w:rPr>
                <w:b/>
                <w:bCs/>
              </w:rPr>
            </w:pPr>
            <w:r w:rsidRPr="0058594A">
              <w:rPr>
                <w:b/>
                <w:bCs/>
              </w:rPr>
              <w:t>6,420.4762</w:t>
            </w:r>
          </w:p>
        </w:tc>
        <w:tc>
          <w:tcPr>
            <w:tcW w:w="1803" w:type="dxa"/>
          </w:tcPr>
          <w:p w14:paraId="0ACE6845" w14:textId="5F4D75F6" w:rsidR="00673C65" w:rsidRPr="0058594A" w:rsidRDefault="0082188A" w:rsidP="00AF54A3">
            <w:pPr>
              <w:tabs>
                <w:tab w:val="decimal" w:pos="61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8594A" w:rsidRPr="0058594A">
              <w:rPr>
                <w:b/>
                <w:bCs/>
              </w:rPr>
              <w:t>,</w:t>
            </w:r>
            <w:r>
              <w:rPr>
                <w:b/>
                <w:bCs/>
              </w:rPr>
              <w:t>678</w:t>
            </w:r>
            <w:r w:rsidR="0058594A" w:rsidRPr="0058594A">
              <w:rPr>
                <w:b/>
                <w:bCs/>
              </w:rPr>
              <w:t>.</w:t>
            </w:r>
            <w:r>
              <w:rPr>
                <w:b/>
                <w:bCs/>
              </w:rPr>
              <w:t>0539</w:t>
            </w:r>
          </w:p>
        </w:tc>
        <w:tc>
          <w:tcPr>
            <w:tcW w:w="1803" w:type="dxa"/>
          </w:tcPr>
          <w:p w14:paraId="2B82CCB3" w14:textId="0A4BB8F5" w:rsidR="00673C65" w:rsidRPr="0058594A" w:rsidRDefault="00474B19" w:rsidP="00AF54A3">
            <w:pPr>
              <w:tabs>
                <w:tab w:val="decimal" w:pos="67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8594A" w:rsidRPr="0058594A">
              <w:rPr>
                <w:b/>
                <w:bCs/>
              </w:rPr>
              <w:t>,</w:t>
            </w:r>
            <w:r w:rsidR="00F11A26">
              <w:rPr>
                <w:b/>
                <w:bCs/>
              </w:rPr>
              <w:t>510</w:t>
            </w:r>
            <w:r w:rsidR="0058594A" w:rsidRPr="0058594A">
              <w:rPr>
                <w:b/>
                <w:bCs/>
              </w:rPr>
              <w:t>.</w:t>
            </w:r>
            <w:r w:rsidR="00F11A26">
              <w:rPr>
                <w:b/>
                <w:bCs/>
              </w:rPr>
              <w:t>13</w:t>
            </w:r>
            <w:r>
              <w:rPr>
                <w:b/>
                <w:bCs/>
              </w:rPr>
              <w:t>2</w:t>
            </w:r>
            <w:r w:rsidR="0058594A" w:rsidRPr="0058594A">
              <w:rPr>
                <w:b/>
                <w:bCs/>
              </w:rPr>
              <w:t>9</w:t>
            </w:r>
          </w:p>
        </w:tc>
      </w:tr>
    </w:tbl>
    <w:p w14:paraId="483D378A" w14:textId="77777777" w:rsidR="00673C65" w:rsidRDefault="00673C65"/>
    <w:p w14:paraId="009FDB68" w14:textId="77777777" w:rsidR="001760C9" w:rsidRDefault="001760C9" w:rsidP="001760C9">
      <w:pPr>
        <w:jc w:val="both"/>
      </w:pPr>
      <w:r>
        <w:t xml:space="preserve">Mention should not be made of a guarantee period as the transfer in has already occurred. </w:t>
      </w:r>
    </w:p>
    <w:p w14:paraId="0FB0CD05" w14:textId="77777777" w:rsidR="001760C9" w:rsidRDefault="001760C9" w:rsidP="001760C9">
      <w:pPr>
        <w:jc w:val="both"/>
      </w:pPr>
      <w:r>
        <w:t>Mention should not be made of the requirement for the member’s written authority to proceed as the transfer in has already occurred.</w:t>
      </w:r>
    </w:p>
    <w:p w14:paraId="0CB6010D" w14:textId="77777777" w:rsidR="001760C9" w:rsidRDefault="001760C9" w:rsidP="001760C9">
      <w:pPr>
        <w:jc w:val="both"/>
      </w:pPr>
      <w:r>
        <w:t xml:space="preserve">Mention should be made that, following the transfer in, all transferred-in benefits are subject to the rules of the OPQ Retirement &amp; Death Benefits Plan. </w:t>
      </w:r>
    </w:p>
    <w:p w14:paraId="3D531299" w14:textId="77777777" w:rsidR="001760C9" w:rsidRDefault="001760C9" w:rsidP="001760C9">
      <w:pPr>
        <w:jc w:val="both"/>
      </w:pPr>
      <w:r>
        <w:t>Mention should be made that, following the transfer in, no benefits remain in the ceding scheme.</w:t>
      </w:r>
    </w:p>
    <w:p w14:paraId="0A902BD0" w14:textId="49A13940" w:rsidR="00C94093" w:rsidRPr="00C94093" w:rsidRDefault="00C94093"/>
    <w:sectPr w:rsidR="00C94093" w:rsidRPr="00C94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B86"/>
    <w:multiLevelType w:val="hybridMultilevel"/>
    <w:tmpl w:val="2AFA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60E66"/>
    <w:multiLevelType w:val="hybridMultilevel"/>
    <w:tmpl w:val="24D8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87120">
    <w:abstractNumId w:val="0"/>
  </w:num>
  <w:num w:numId="2" w16cid:durableId="1574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16FE4"/>
    <w:rsid w:val="00067671"/>
    <w:rsid w:val="00107FB8"/>
    <w:rsid w:val="001229B7"/>
    <w:rsid w:val="001760C9"/>
    <w:rsid w:val="001B73FB"/>
    <w:rsid w:val="001C450A"/>
    <w:rsid w:val="001F1FBA"/>
    <w:rsid w:val="00205348"/>
    <w:rsid w:val="00222C05"/>
    <w:rsid w:val="00252393"/>
    <w:rsid w:val="002609EC"/>
    <w:rsid w:val="00404151"/>
    <w:rsid w:val="00432CD1"/>
    <w:rsid w:val="00474B19"/>
    <w:rsid w:val="00482874"/>
    <w:rsid w:val="00482DF0"/>
    <w:rsid w:val="004E0098"/>
    <w:rsid w:val="00516A36"/>
    <w:rsid w:val="00536EED"/>
    <w:rsid w:val="00557C17"/>
    <w:rsid w:val="005604A0"/>
    <w:rsid w:val="0058335E"/>
    <w:rsid w:val="0058594A"/>
    <w:rsid w:val="005B6F01"/>
    <w:rsid w:val="00603F61"/>
    <w:rsid w:val="00673C65"/>
    <w:rsid w:val="007977D4"/>
    <w:rsid w:val="007A4E10"/>
    <w:rsid w:val="00804D87"/>
    <w:rsid w:val="0082188A"/>
    <w:rsid w:val="00831DAA"/>
    <w:rsid w:val="0089723D"/>
    <w:rsid w:val="008C49AF"/>
    <w:rsid w:val="0092618C"/>
    <w:rsid w:val="009631B9"/>
    <w:rsid w:val="009D1B15"/>
    <w:rsid w:val="00A02318"/>
    <w:rsid w:val="00AF54A3"/>
    <w:rsid w:val="00B94940"/>
    <w:rsid w:val="00C94093"/>
    <w:rsid w:val="00CD2FDF"/>
    <w:rsid w:val="00D13BFB"/>
    <w:rsid w:val="00D530FD"/>
    <w:rsid w:val="00E63497"/>
    <w:rsid w:val="00EE2537"/>
    <w:rsid w:val="00F11A26"/>
    <w:rsid w:val="00F1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DBA4"/>
  <w15:chartTrackingRefBased/>
  <w15:docId w15:val="{01D5E1AC-A1F1-4E50-A655-CCD218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E2DEC27-2E98-418E-8962-5C4475410FF4}"/>
</file>

<file path=customXml/itemProps2.xml><?xml version="1.0" encoding="utf-8"?>
<ds:datastoreItem xmlns:ds="http://schemas.openxmlformats.org/officeDocument/2006/customXml" ds:itemID="{D968A787-7640-4DE8-94B7-F14581BAA604}"/>
</file>

<file path=customXml/itemProps3.xml><?xml version="1.0" encoding="utf-8"?>
<ds:datastoreItem xmlns:ds="http://schemas.openxmlformats.org/officeDocument/2006/customXml" ds:itemID="{1BC08F55-B1E7-44FC-B846-5574F9AD7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21</cp:revision>
  <cp:lastPrinted>2020-04-02T13:08:00Z</cp:lastPrinted>
  <dcterms:created xsi:type="dcterms:W3CDTF">2024-04-01T14:20:00Z</dcterms:created>
  <dcterms:modified xsi:type="dcterms:W3CDTF">2024-04-01T14:38:00Z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2024-03-25T16:15:16Z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3b529246-c9e3-431c-b4ac-2953f5e6a089</vt:lpwstr>
  </property>
  <property fmtid="{D5CDD505-2E9C-101B-9397-08002B2CF9AE}" pid="8" name="MSIP_Label_9043f10a-881e-4653-a55e-02ca2cc829dc_ContentBits">
    <vt:lpwstr>0</vt:lpwstr>
  </property>
  <property fmtid="{D5CDD505-2E9C-101B-9397-08002B2CF9AE}" pid="9" name="ContentTypeId">
    <vt:lpwstr>0x010100482A4ED116418245A93493FBB4CD8175</vt:lpwstr>
  </property>
</Properties>
</file>