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F18A" w14:textId="77777777" w:rsidR="005604A0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Letter Key Points             OPQ </w:t>
      </w:r>
      <w:r w:rsidR="005604A0">
        <w:rPr>
          <w:b/>
          <w:sz w:val="28"/>
          <w:szCs w:val="28"/>
        </w:rPr>
        <w:t>Retirement &amp; Death Benefits Plan</w:t>
      </w:r>
      <w:r w:rsidRPr="00673C65">
        <w:rPr>
          <w:b/>
          <w:sz w:val="28"/>
          <w:szCs w:val="28"/>
        </w:rPr>
        <w:t xml:space="preserve">  </w:t>
      </w:r>
    </w:p>
    <w:p w14:paraId="4E2F3172" w14:textId="77777777" w:rsidR="005B6F01" w:rsidRPr="00673C65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>TVIN</w:t>
      </w:r>
      <w:r w:rsidR="005604A0">
        <w:rPr>
          <w:b/>
          <w:sz w:val="28"/>
          <w:szCs w:val="28"/>
        </w:rPr>
        <w:t xml:space="preserve"> Completed</w:t>
      </w:r>
    </w:p>
    <w:p w14:paraId="0388B510" w14:textId="77777777" w:rsidR="00673C65" w:rsidRPr="00673C65" w:rsidRDefault="00673C65">
      <w:pPr>
        <w:rPr>
          <w:b/>
          <w:sz w:val="28"/>
          <w:szCs w:val="28"/>
        </w:rPr>
      </w:pPr>
    </w:p>
    <w:p w14:paraId="2E96E7B4" w14:textId="559E4B51" w:rsidR="00673C65" w:rsidRDefault="00673C65">
      <w:pPr>
        <w:rPr>
          <w:b/>
        </w:rPr>
      </w:pPr>
      <w:r>
        <w:t xml:space="preserve">Member Name: </w:t>
      </w:r>
      <w:r w:rsidR="00162AE5">
        <w:rPr>
          <w:b/>
        </w:rPr>
        <w:t>Alejandro Garcia</w:t>
      </w:r>
    </w:p>
    <w:p w14:paraId="6E43A367" w14:textId="11DD3B64" w:rsidR="005604A0" w:rsidRDefault="005604A0">
      <w:r>
        <w:rPr>
          <w:b/>
        </w:rPr>
        <w:t>Calculation Date</w:t>
      </w:r>
      <w:r w:rsidR="00CC1AA3">
        <w:rPr>
          <w:b/>
        </w:rPr>
        <w:t>:</w:t>
      </w:r>
      <w:r>
        <w:rPr>
          <w:b/>
        </w:rPr>
        <w:t xml:space="preserve"> </w:t>
      </w:r>
      <w:r w:rsidR="00F7429F">
        <w:rPr>
          <w:b/>
        </w:rPr>
        <w:t>5</w:t>
      </w:r>
      <w:r>
        <w:rPr>
          <w:b/>
        </w:rPr>
        <w:t xml:space="preserve"> September 20</w:t>
      </w:r>
      <w:r w:rsidR="00482874">
        <w:rPr>
          <w:b/>
        </w:rPr>
        <w:t>2</w:t>
      </w:r>
      <w:r w:rsidR="00162AE5">
        <w:rPr>
          <w:b/>
        </w:rPr>
        <w:t>5</w:t>
      </w:r>
    </w:p>
    <w:p w14:paraId="33E09D68" w14:textId="1170B251" w:rsidR="005604A0" w:rsidRDefault="00673C65">
      <w:r>
        <w:t xml:space="preserve">Transfer Value </w:t>
      </w:r>
      <w:r w:rsidR="005604A0">
        <w:t xml:space="preserve">from previous scheme </w:t>
      </w:r>
      <w:r w:rsidRPr="00673C65">
        <w:rPr>
          <w:b/>
        </w:rPr>
        <w:t>£</w:t>
      </w:r>
      <w:r w:rsidR="00F7429F">
        <w:rPr>
          <w:b/>
          <w:spacing w:val="-3"/>
        </w:rPr>
        <w:t>55</w:t>
      </w:r>
      <w:r w:rsidR="00A02318">
        <w:rPr>
          <w:b/>
          <w:spacing w:val="-3"/>
        </w:rPr>
        <w:t>,</w:t>
      </w:r>
      <w:r w:rsidR="00F7429F">
        <w:rPr>
          <w:b/>
          <w:spacing w:val="-3"/>
        </w:rPr>
        <w:t>876</w:t>
      </w:r>
      <w:r w:rsidR="00A02318">
        <w:rPr>
          <w:b/>
          <w:spacing w:val="-3"/>
        </w:rPr>
        <w:t>.</w:t>
      </w:r>
      <w:r w:rsidR="00F7429F">
        <w:rPr>
          <w:b/>
          <w:spacing w:val="-3"/>
        </w:rPr>
        <w:t>39</w:t>
      </w:r>
      <w:r w:rsidR="00A02318">
        <w:rPr>
          <w:b/>
          <w:spacing w:val="-3"/>
        </w:rPr>
        <w:t xml:space="preserve"> </w:t>
      </w:r>
      <w:r w:rsidR="005604A0">
        <w:t>includes:</w:t>
      </w:r>
    </w:p>
    <w:p w14:paraId="4B036357" w14:textId="753E15A8" w:rsidR="005604A0" w:rsidRDefault="00673C65">
      <w:r w:rsidRPr="00673C65">
        <w:rPr>
          <w:b/>
        </w:rPr>
        <w:t>£</w:t>
      </w:r>
      <w:r w:rsidR="0058594A">
        <w:rPr>
          <w:b/>
          <w:spacing w:val="-3"/>
        </w:rPr>
        <w:t>2</w:t>
      </w:r>
      <w:r w:rsidR="00F7429F">
        <w:rPr>
          <w:b/>
          <w:spacing w:val="-3"/>
        </w:rPr>
        <w:t>2</w:t>
      </w:r>
      <w:r w:rsidR="00A02318">
        <w:rPr>
          <w:b/>
          <w:spacing w:val="-3"/>
        </w:rPr>
        <w:t>,</w:t>
      </w:r>
      <w:r w:rsidR="0058594A">
        <w:rPr>
          <w:b/>
          <w:spacing w:val="-3"/>
        </w:rPr>
        <w:t>0</w:t>
      </w:r>
      <w:r w:rsidR="00F7429F">
        <w:rPr>
          <w:b/>
          <w:spacing w:val="-3"/>
        </w:rPr>
        <w:t>04</w:t>
      </w:r>
      <w:r w:rsidR="00A02318">
        <w:rPr>
          <w:b/>
          <w:spacing w:val="-3"/>
        </w:rPr>
        <w:t>.3</w:t>
      </w:r>
      <w:r w:rsidR="00F7429F">
        <w:rPr>
          <w:b/>
          <w:spacing w:val="-3"/>
        </w:rPr>
        <w:t>8</w:t>
      </w:r>
      <w:r w:rsidR="00A02318">
        <w:rPr>
          <w:b/>
          <w:spacing w:val="-3"/>
        </w:rPr>
        <w:t xml:space="preserve"> </w:t>
      </w:r>
      <w:r>
        <w:t>member contributions</w:t>
      </w:r>
    </w:p>
    <w:p w14:paraId="5C06E229" w14:textId="7CDE90B8" w:rsidR="00673C65" w:rsidRDefault="0058594A">
      <w:r w:rsidRPr="00C07E78">
        <w:rPr>
          <w:b/>
          <w:bCs/>
        </w:rPr>
        <w:t>£</w:t>
      </w:r>
      <w:r w:rsidR="00F7429F">
        <w:rPr>
          <w:b/>
          <w:bCs/>
        </w:rPr>
        <w:t>33</w:t>
      </w:r>
      <w:r w:rsidRPr="00C07E78">
        <w:rPr>
          <w:b/>
          <w:bCs/>
        </w:rPr>
        <w:t>,</w:t>
      </w:r>
      <w:r>
        <w:rPr>
          <w:b/>
          <w:bCs/>
        </w:rPr>
        <w:t>87</w:t>
      </w:r>
      <w:r w:rsidR="00F7429F">
        <w:rPr>
          <w:b/>
          <w:bCs/>
        </w:rPr>
        <w:t>2</w:t>
      </w:r>
      <w:r>
        <w:rPr>
          <w:b/>
          <w:bCs/>
        </w:rPr>
        <w:t>.</w:t>
      </w:r>
      <w:r w:rsidR="00F7429F">
        <w:rPr>
          <w:b/>
          <w:bCs/>
        </w:rPr>
        <w:t>01</w:t>
      </w:r>
      <w:r>
        <w:rPr>
          <w:b/>
          <w:bCs/>
        </w:rPr>
        <w:t xml:space="preserve"> </w:t>
      </w:r>
      <w:r w:rsidR="00673C65">
        <w:t xml:space="preserve">employer contributions </w:t>
      </w:r>
    </w:p>
    <w:p w14:paraId="0F1F2BC5" w14:textId="0B3D58FF" w:rsidR="00673C65" w:rsidRDefault="00673C65">
      <w:r>
        <w:t xml:space="preserve">Units purchased on </w:t>
      </w:r>
      <w:r w:rsidR="00EE2537">
        <w:rPr>
          <w:b/>
        </w:rPr>
        <w:t>0</w:t>
      </w:r>
      <w:r w:rsidR="00F7429F">
        <w:rPr>
          <w:b/>
        </w:rPr>
        <w:t>5</w:t>
      </w:r>
      <w:r w:rsidR="005604A0" w:rsidRPr="005604A0">
        <w:rPr>
          <w:b/>
        </w:rPr>
        <w:t>/09/20</w:t>
      </w:r>
      <w:r w:rsidR="00482874">
        <w:rPr>
          <w:b/>
        </w:rPr>
        <w:t>2</w:t>
      </w:r>
      <w:r w:rsidR="00F7429F">
        <w:rPr>
          <w:b/>
        </w:rPr>
        <w:t>5</w:t>
      </w:r>
      <w:r>
        <w:t xml:space="preserve"> </w:t>
      </w:r>
      <w:r w:rsidR="00557C17">
        <w:t xml:space="preserve">based on your investment choices </w:t>
      </w:r>
      <w:r w:rsidR="005604A0">
        <w:t>are</w:t>
      </w:r>
      <w:r>
        <w:t>:</w:t>
      </w:r>
    </w:p>
    <w:p w14:paraId="39DED51F" w14:textId="77777777" w:rsidR="005604A0" w:rsidRDefault="005604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673C65" w14:paraId="3237D9D7" w14:textId="77777777" w:rsidTr="00673C65">
        <w:tc>
          <w:tcPr>
            <w:tcW w:w="1803" w:type="dxa"/>
          </w:tcPr>
          <w:p w14:paraId="34A2D4B6" w14:textId="77777777" w:rsidR="00673C65" w:rsidRDefault="00673C65"/>
        </w:tc>
        <w:tc>
          <w:tcPr>
            <w:tcW w:w="1803" w:type="dxa"/>
          </w:tcPr>
          <w:p w14:paraId="65C72AC6" w14:textId="77777777" w:rsidR="00673C65" w:rsidRPr="00673C65" w:rsidRDefault="00673C65">
            <w:pPr>
              <w:rPr>
                <w:b/>
              </w:rPr>
            </w:pPr>
            <w:r w:rsidRPr="00673C65">
              <w:rPr>
                <w:b/>
              </w:rPr>
              <w:t>Global Equity Fund</w:t>
            </w:r>
          </w:p>
        </w:tc>
        <w:tc>
          <w:tcPr>
            <w:tcW w:w="1803" w:type="dxa"/>
          </w:tcPr>
          <w:p w14:paraId="24C0D3E9" w14:textId="11612CA8" w:rsidR="00673C65" w:rsidRPr="00673C65" w:rsidRDefault="00CA3744">
            <w:pPr>
              <w:rPr>
                <w:b/>
              </w:rPr>
            </w:pPr>
            <w:r>
              <w:rPr>
                <w:b/>
              </w:rPr>
              <w:t>Index Linked Bond Fund</w:t>
            </w:r>
          </w:p>
        </w:tc>
        <w:tc>
          <w:tcPr>
            <w:tcW w:w="1803" w:type="dxa"/>
          </w:tcPr>
          <w:p w14:paraId="148E4D4A" w14:textId="11C4C683" w:rsidR="00673C65" w:rsidRPr="00673C65" w:rsidRDefault="00CA3744">
            <w:pPr>
              <w:rPr>
                <w:b/>
              </w:rPr>
            </w:pPr>
            <w:r>
              <w:rPr>
                <w:b/>
              </w:rPr>
              <w:t>Corporate Bond Fund</w:t>
            </w:r>
          </w:p>
        </w:tc>
      </w:tr>
      <w:tr w:rsidR="00673C65" w14:paraId="4AD1C91C" w14:textId="77777777" w:rsidTr="00673C65">
        <w:tc>
          <w:tcPr>
            <w:tcW w:w="1803" w:type="dxa"/>
          </w:tcPr>
          <w:p w14:paraId="23ACCB4C" w14:textId="77777777" w:rsidR="00673C65" w:rsidRPr="00673C65" w:rsidRDefault="00673C65">
            <w:pPr>
              <w:rPr>
                <w:b/>
              </w:rPr>
            </w:pPr>
            <w:r w:rsidRPr="00673C65">
              <w:rPr>
                <w:b/>
              </w:rPr>
              <w:t>Member Contributions</w:t>
            </w:r>
          </w:p>
        </w:tc>
        <w:tc>
          <w:tcPr>
            <w:tcW w:w="1803" w:type="dxa"/>
          </w:tcPr>
          <w:p w14:paraId="36FFF34F" w14:textId="54F0D1EE" w:rsidR="00673C65" w:rsidRDefault="0058594A">
            <w:r>
              <w:t>2,</w:t>
            </w:r>
            <w:r w:rsidR="00BA123F">
              <w:t>201</w:t>
            </w:r>
            <w:r>
              <w:t>.</w:t>
            </w:r>
            <w:r w:rsidR="00BA123F">
              <w:t>5383</w:t>
            </w:r>
          </w:p>
        </w:tc>
        <w:tc>
          <w:tcPr>
            <w:tcW w:w="1803" w:type="dxa"/>
          </w:tcPr>
          <w:p w14:paraId="1425E93B" w14:textId="5B43EFAA" w:rsidR="00673C65" w:rsidRDefault="00CA3744">
            <w:r>
              <w:t>4,044.9203</w:t>
            </w:r>
          </w:p>
        </w:tc>
        <w:tc>
          <w:tcPr>
            <w:tcW w:w="1803" w:type="dxa"/>
          </w:tcPr>
          <w:p w14:paraId="0D713382" w14:textId="212FD52E" w:rsidR="00673C65" w:rsidRDefault="00375DD8">
            <w:r>
              <w:t>2,298.5063</w:t>
            </w:r>
          </w:p>
        </w:tc>
      </w:tr>
      <w:tr w:rsidR="00673C65" w14:paraId="16BF0D6B" w14:textId="77777777" w:rsidTr="00673C65">
        <w:tc>
          <w:tcPr>
            <w:tcW w:w="1803" w:type="dxa"/>
          </w:tcPr>
          <w:p w14:paraId="6D1D0A91" w14:textId="77777777" w:rsidR="00673C65" w:rsidRPr="00673C65" w:rsidRDefault="00673C65">
            <w:pPr>
              <w:rPr>
                <w:b/>
              </w:rPr>
            </w:pPr>
            <w:r w:rsidRPr="00673C65">
              <w:rPr>
                <w:b/>
              </w:rPr>
              <w:t>Employer Contributions</w:t>
            </w:r>
          </w:p>
        </w:tc>
        <w:tc>
          <w:tcPr>
            <w:tcW w:w="1803" w:type="dxa"/>
          </w:tcPr>
          <w:p w14:paraId="0E2B3CE3" w14:textId="503B2827" w:rsidR="00673C65" w:rsidRDefault="0058594A">
            <w:r>
              <w:t>3,</w:t>
            </w:r>
            <w:r w:rsidR="00BA123F">
              <w:t>388.8944</w:t>
            </w:r>
          </w:p>
        </w:tc>
        <w:tc>
          <w:tcPr>
            <w:tcW w:w="1803" w:type="dxa"/>
          </w:tcPr>
          <w:p w14:paraId="2BCB8CA2" w14:textId="29F9BE9E" w:rsidR="00673C65" w:rsidRDefault="00CA3744">
            <w:r>
              <w:t>6,226.4706</w:t>
            </w:r>
          </w:p>
        </w:tc>
        <w:tc>
          <w:tcPr>
            <w:tcW w:w="1803" w:type="dxa"/>
          </w:tcPr>
          <w:p w14:paraId="3ADEF739" w14:textId="664C8AE2" w:rsidR="00673C65" w:rsidRDefault="00375DD8">
            <w:r>
              <w:t>3,538.1616</w:t>
            </w:r>
          </w:p>
        </w:tc>
      </w:tr>
      <w:tr w:rsidR="00673C65" w14:paraId="53F3BA41" w14:textId="77777777" w:rsidTr="00673C65">
        <w:tc>
          <w:tcPr>
            <w:tcW w:w="1803" w:type="dxa"/>
          </w:tcPr>
          <w:p w14:paraId="3A726ED4" w14:textId="77777777" w:rsidR="00673C65" w:rsidRPr="00673C65" w:rsidRDefault="00673C65">
            <w:pPr>
              <w:rPr>
                <w:b/>
              </w:rPr>
            </w:pPr>
            <w:r w:rsidRPr="00673C65">
              <w:rPr>
                <w:b/>
              </w:rPr>
              <w:t>Total Number of Units</w:t>
            </w:r>
          </w:p>
        </w:tc>
        <w:tc>
          <w:tcPr>
            <w:tcW w:w="1803" w:type="dxa"/>
          </w:tcPr>
          <w:p w14:paraId="53129441" w14:textId="389FC69F" w:rsidR="00673C65" w:rsidRPr="0058594A" w:rsidRDefault="00CA3744">
            <w:pPr>
              <w:rPr>
                <w:b/>
                <w:bCs/>
              </w:rPr>
            </w:pPr>
            <w:r>
              <w:rPr>
                <w:b/>
                <w:bCs/>
              </w:rPr>
              <w:t>5,590.4327</w:t>
            </w:r>
          </w:p>
        </w:tc>
        <w:tc>
          <w:tcPr>
            <w:tcW w:w="1803" w:type="dxa"/>
          </w:tcPr>
          <w:p w14:paraId="0ACE6845" w14:textId="560F813A" w:rsidR="00673C65" w:rsidRPr="0058594A" w:rsidRDefault="00CA3744">
            <w:pPr>
              <w:rPr>
                <w:b/>
                <w:bCs/>
              </w:rPr>
            </w:pPr>
            <w:r>
              <w:rPr>
                <w:b/>
                <w:bCs/>
              </w:rPr>
              <w:t>10,271.3909</w:t>
            </w:r>
          </w:p>
        </w:tc>
        <w:tc>
          <w:tcPr>
            <w:tcW w:w="1803" w:type="dxa"/>
          </w:tcPr>
          <w:p w14:paraId="2B82CCB3" w14:textId="10AA12C6" w:rsidR="00673C65" w:rsidRPr="0058594A" w:rsidRDefault="00406AFF">
            <w:pPr>
              <w:rPr>
                <w:b/>
                <w:bCs/>
              </w:rPr>
            </w:pPr>
            <w:r>
              <w:rPr>
                <w:b/>
                <w:bCs/>
              </w:rPr>
              <w:t>5,836.6679</w:t>
            </w:r>
          </w:p>
        </w:tc>
      </w:tr>
    </w:tbl>
    <w:p w14:paraId="483D378A" w14:textId="77777777" w:rsidR="00673C65" w:rsidRDefault="00673C65"/>
    <w:p w14:paraId="6F88807F" w14:textId="11B4FAB5" w:rsidR="00673C65" w:rsidRDefault="00557C17">
      <w:r>
        <w:t>On death before retirement</w:t>
      </w:r>
      <w:r w:rsidR="005604A0">
        <w:t>, either from active service or in deferment,</w:t>
      </w:r>
      <w:r>
        <w:t xml:space="preserve"> a refund of the total fund value, including any investment return</w:t>
      </w:r>
      <w:r w:rsidR="005604A0">
        <w:t>s</w:t>
      </w:r>
      <w:r>
        <w:t>, will be paid.</w:t>
      </w:r>
    </w:p>
    <w:p w14:paraId="62B68065" w14:textId="128A6DCB" w:rsidR="00557C17" w:rsidRDefault="00557C17">
      <w:r>
        <w:t>All benefits are subject to the rules of the OPQ Retirement and Death Benefits Plan</w:t>
      </w:r>
      <w:r w:rsidR="005604A0">
        <w:t>. Payment of the transfer value has extinguished all liability to pension benefits for yourself and your dependants under your previous scheme.</w:t>
      </w:r>
    </w:p>
    <w:p w14:paraId="0A902BD0" w14:textId="49A13940" w:rsidR="00C94093" w:rsidRDefault="00C94093"/>
    <w:p w14:paraId="1DD30AE3" w14:textId="77777777" w:rsidR="009063F0" w:rsidRDefault="009063F0"/>
    <w:p w14:paraId="3E03A54C" w14:textId="77777777" w:rsidR="009063F0" w:rsidRDefault="009063F0" w:rsidP="009063F0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NOTE</w:t>
      </w:r>
      <w:r>
        <w:rPr>
          <w:rFonts w:ascii="Calibri" w:eastAsia="Calibri" w:hAnsi="Calibri" w:cs="Calibri"/>
        </w:rPr>
        <w:t xml:space="preserve"> – </w:t>
      </w:r>
    </w:p>
    <w:p w14:paraId="2CE938DD" w14:textId="77777777" w:rsidR="009063F0" w:rsidRDefault="009063F0" w:rsidP="009063F0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0A37517A" w14:textId="77777777" w:rsidR="009063F0" w:rsidRDefault="009063F0" w:rsidP="009063F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073D6AF9" w14:textId="77777777" w:rsidR="009063F0" w:rsidRDefault="009063F0" w:rsidP="009063F0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5A3D8808" w14:textId="77777777" w:rsidR="009063F0" w:rsidRDefault="009063F0" w:rsidP="009063F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05986FE1" w14:textId="77777777" w:rsidR="009063F0" w:rsidRDefault="009063F0" w:rsidP="009063F0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1A9056E8" w14:textId="1FDB521C" w:rsidR="009063F0" w:rsidRPr="009063F0" w:rsidRDefault="009063F0" w:rsidP="009063F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9063F0" w:rsidRPr="00906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6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5"/>
    <w:rsid w:val="00067671"/>
    <w:rsid w:val="001229B7"/>
    <w:rsid w:val="00162AE5"/>
    <w:rsid w:val="001C450A"/>
    <w:rsid w:val="00205348"/>
    <w:rsid w:val="00252393"/>
    <w:rsid w:val="002609EC"/>
    <w:rsid w:val="00375DD8"/>
    <w:rsid w:val="00406AFF"/>
    <w:rsid w:val="00432CD1"/>
    <w:rsid w:val="00482874"/>
    <w:rsid w:val="00482DF0"/>
    <w:rsid w:val="00536EED"/>
    <w:rsid w:val="00557C17"/>
    <w:rsid w:val="005604A0"/>
    <w:rsid w:val="0058335E"/>
    <w:rsid w:val="0058594A"/>
    <w:rsid w:val="005B6F01"/>
    <w:rsid w:val="00673C65"/>
    <w:rsid w:val="007A4E10"/>
    <w:rsid w:val="00804D87"/>
    <w:rsid w:val="00831DAA"/>
    <w:rsid w:val="00871BFD"/>
    <w:rsid w:val="008C49AF"/>
    <w:rsid w:val="009063F0"/>
    <w:rsid w:val="0092618C"/>
    <w:rsid w:val="009631B9"/>
    <w:rsid w:val="009D1B15"/>
    <w:rsid w:val="00A02318"/>
    <w:rsid w:val="00BA123F"/>
    <w:rsid w:val="00BD3767"/>
    <w:rsid w:val="00C4151D"/>
    <w:rsid w:val="00C94093"/>
    <w:rsid w:val="00CA3744"/>
    <w:rsid w:val="00CC1AA3"/>
    <w:rsid w:val="00CD2FDF"/>
    <w:rsid w:val="00D24BC1"/>
    <w:rsid w:val="00E63497"/>
    <w:rsid w:val="00EE2537"/>
    <w:rsid w:val="00F7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DBA4"/>
  <w15:chartTrackingRefBased/>
  <w15:docId w15:val="{01D5E1AC-A1F1-4E50-A655-CCD218F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Ruth Radice</cp:lastModifiedBy>
  <cp:revision>32</cp:revision>
  <cp:lastPrinted>2020-04-02T13:08:00Z</cp:lastPrinted>
  <dcterms:created xsi:type="dcterms:W3CDTF">2019-03-24T17:12:00Z</dcterms:created>
  <dcterms:modified xsi:type="dcterms:W3CDTF">2025-12-19T14:01:00Z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ActionId">
    <vt:lpwstr>3761de86-cf02-46b4-a4c5-9cdca92bd6f8</vt:lpwstr>
  </property>
  <property fmtid="{D5CDD505-2E9C-101B-9397-08002B2CF9AE}" pid="3" name="MSIP_Label_875a5b46-6a40-4ffc-90be-3fcbddbfaaf1_Name">
    <vt:lpwstr>CONFIDENTIAL \ CONFIDENTIAL</vt:lpwstr>
  </property>
  <property fmtid="{D5CDD505-2E9C-101B-9397-08002B2CF9AE}" pid="4" name="MSIP_Label_875a5b46-6a40-4ffc-90be-3fcbddbfaaf1_SetDate">
    <vt:lpwstr>2025-03-05T15:40:22Z</vt:lpwstr>
  </property>
  <property fmtid="{D5CDD505-2E9C-101B-9397-08002B2CF9AE}" pid="5" name="MSIP_Label_875a5b46-6a40-4ffc-90be-3fcbddbfaaf1_SiteId">
    <vt:lpwstr>94cfddbc-0627-494a-ad7a-29aea3aea832</vt:lpwstr>
  </property>
  <property fmtid="{D5CDD505-2E9C-101B-9397-08002B2CF9AE}" pid="6" name="MSIP_Label_875a5b46-6a40-4ffc-90be-3fcbddbfaaf1_Enabled">
    <vt:lpwstr>True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2025-03-05T15:40:22Z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4f62bc54-02c7-4fbd-be6c-7e01fbedd9a4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</Properties>
</file>