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2DEB" w14:textId="77777777" w:rsidR="00303D9E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 xml:space="preserve">Letter Key Points             OPQ </w:t>
      </w:r>
      <w:r w:rsidR="00303D9E">
        <w:rPr>
          <w:b/>
          <w:sz w:val="28"/>
          <w:szCs w:val="28"/>
        </w:rPr>
        <w:t>Retirement &amp; Death Benefits Plan</w:t>
      </w:r>
    </w:p>
    <w:p w14:paraId="560A5707" w14:textId="77777777" w:rsidR="005B6F01" w:rsidRPr="00673C65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 xml:space="preserve"> TV</w:t>
      </w:r>
      <w:r w:rsidR="00705A72">
        <w:rPr>
          <w:b/>
          <w:sz w:val="28"/>
          <w:szCs w:val="28"/>
        </w:rPr>
        <w:t>OUT</w:t>
      </w:r>
      <w:r w:rsidR="00303D9E">
        <w:rPr>
          <w:b/>
          <w:sz w:val="28"/>
          <w:szCs w:val="28"/>
        </w:rPr>
        <w:t xml:space="preserve"> Quotation</w:t>
      </w:r>
    </w:p>
    <w:p w14:paraId="65B98C65" w14:textId="77777777" w:rsidR="00673C65" w:rsidRPr="00673C65" w:rsidRDefault="00673C65">
      <w:pPr>
        <w:rPr>
          <w:b/>
          <w:sz w:val="28"/>
          <w:szCs w:val="28"/>
        </w:rPr>
      </w:pPr>
    </w:p>
    <w:p w14:paraId="1A4BEB44" w14:textId="1EDC4501" w:rsidR="00673C65" w:rsidRDefault="00673C65">
      <w:r>
        <w:t xml:space="preserve">Member Name: </w:t>
      </w:r>
      <w:r w:rsidR="0004735C">
        <w:rPr>
          <w:b/>
        </w:rPr>
        <w:t xml:space="preserve">Priya Sharma </w:t>
      </w:r>
    </w:p>
    <w:p w14:paraId="6D8D4ABF" w14:textId="4E89CE2A" w:rsidR="00303D9E" w:rsidRPr="00303D9E" w:rsidRDefault="00303D9E">
      <w:pPr>
        <w:rPr>
          <w:b/>
        </w:rPr>
      </w:pPr>
      <w:r>
        <w:t xml:space="preserve">Calculation Date: </w:t>
      </w:r>
      <w:r w:rsidR="0004735C">
        <w:rPr>
          <w:b/>
        </w:rPr>
        <w:t>8</w:t>
      </w:r>
      <w:r w:rsidR="00DC5909">
        <w:rPr>
          <w:b/>
        </w:rPr>
        <w:t xml:space="preserve"> September 20</w:t>
      </w:r>
      <w:r w:rsidR="000D34E0">
        <w:rPr>
          <w:b/>
        </w:rPr>
        <w:t>2</w:t>
      </w:r>
      <w:r w:rsidR="0004735C">
        <w:rPr>
          <w:b/>
        </w:rPr>
        <w:t>5</w:t>
      </w:r>
    </w:p>
    <w:p w14:paraId="60796052" w14:textId="1B1193D8" w:rsidR="00673C65" w:rsidRDefault="00673C65">
      <w:r>
        <w:t xml:space="preserve">Transfer Value of </w:t>
      </w:r>
      <w:r w:rsidR="00A35E6F">
        <w:rPr>
          <w:b/>
        </w:rPr>
        <w:t>£</w:t>
      </w:r>
      <w:r w:rsidR="0004735C">
        <w:rPr>
          <w:b/>
        </w:rPr>
        <w:t>122</w:t>
      </w:r>
      <w:r w:rsidR="00A35E6F">
        <w:rPr>
          <w:b/>
        </w:rPr>
        <w:t>,</w:t>
      </w:r>
      <w:r w:rsidR="0004735C">
        <w:rPr>
          <w:b/>
        </w:rPr>
        <w:t>389</w:t>
      </w:r>
      <w:r w:rsidR="00A35E6F">
        <w:rPr>
          <w:b/>
        </w:rPr>
        <w:t>.5</w:t>
      </w:r>
      <w:r w:rsidR="0004735C">
        <w:rPr>
          <w:b/>
        </w:rPr>
        <w:t>2</w:t>
      </w:r>
      <w:r w:rsidR="00A35E6F">
        <w:rPr>
          <w:b/>
        </w:rPr>
        <w:t xml:space="preserve"> </w:t>
      </w:r>
      <w:r w:rsidR="003B4F55">
        <w:t xml:space="preserve">as at </w:t>
      </w:r>
      <w:r w:rsidR="00DC5909">
        <w:rPr>
          <w:b/>
        </w:rPr>
        <w:t>0</w:t>
      </w:r>
      <w:r w:rsidR="0004735C">
        <w:rPr>
          <w:b/>
        </w:rPr>
        <w:t>8</w:t>
      </w:r>
      <w:r w:rsidR="00DC5909">
        <w:rPr>
          <w:b/>
        </w:rPr>
        <w:t>/09/20</w:t>
      </w:r>
      <w:r w:rsidR="00237F17">
        <w:rPr>
          <w:b/>
        </w:rPr>
        <w:t>2</w:t>
      </w:r>
      <w:r w:rsidR="0004735C">
        <w:rPr>
          <w:b/>
        </w:rPr>
        <w:t>5</w:t>
      </w:r>
      <w:r w:rsidR="00303D9E">
        <w:rPr>
          <w:b/>
        </w:rPr>
        <w:t xml:space="preserve"> </w:t>
      </w:r>
      <w:r w:rsidR="00303D9E">
        <w:t xml:space="preserve">includes:  </w:t>
      </w:r>
    </w:p>
    <w:p w14:paraId="2B710906" w14:textId="29774201" w:rsidR="006756DD" w:rsidRPr="006756DD" w:rsidRDefault="003B4F55" w:rsidP="006756DD">
      <w:pPr>
        <w:pStyle w:val="ListParagraph"/>
        <w:numPr>
          <w:ilvl w:val="0"/>
          <w:numId w:val="1"/>
        </w:numPr>
        <w:rPr>
          <w:b/>
        </w:rPr>
      </w:pPr>
      <w:r w:rsidRPr="006756DD">
        <w:rPr>
          <w:b/>
        </w:rPr>
        <w:t xml:space="preserve">Global Equity Fund </w:t>
      </w:r>
      <w:r w:rsidR="00A35E6F" w:rsidRPr="00A35E6F">
        <w:rPr>
          <w:b/>
          <w:bCs/>
        </w:rPr>
        <w:t>£</w:t>
      </w:r>
      <w:r w:rsidR="0082459F">
        <w:rPr>
          <w:b/>
          <w:bCs/>
        </w:rPr>
        <w:t>58,025.35</w:t>
      </w:r>
    </w:p>
    <w:p w14:paraId="337838EA" w14:textId="6D9849BF" w:rsidR="00DC5909" w:rsidRDefault="00303D9E" w:rsidP="006756DD">
      <w:pPr>
        <w:pStyle w:val="ListParagraph"/>
        <w:numPr>
          <w:ilvl w:val="0"/>
          <w:numId w:val="1"/>
        </w:numPr>
        <w:rPr>
          <w:b/>
        </w:rPr>
      </w:pPr>
      <w:r w:rsidRPr="006756DD">
        <w:rPr>
          <w:b/>
        </w:rPr>
        <w:t xml:space="preserve">Index Linked Bond Fund </w:t>
      </w:r>
      <w:r w:rsidR="00A35E6F" w:rsidRPr="00A35E6F">
        <w:rPr>
          <w:b/>
          <w:bCs/>
        </w:rPr>
        <w:t>£</w:t>
      </w:r>
      <w:r w:rsidR="000132DB">
        <w:rPr>
          <w:b/>
          <w:bCs/>
        </w:rPr>
        <w:t>53,293.92</w:t>
      </w:r>
    </w:p>
    <w:p w14:paraId="2A73FFDA" w14:textId="4EE9537B" w:rsidR="006756DD" w:rsidRPr="006756DD" w:rsidRDefault="00DC5909" w:rsidP="006756D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Cash Fund </w:t>
      </w:r>
      <w:proofErr w:type="gramStart"/>
      <w:r w:rsidR="003C6C44" w:rsidRPr="003C6C44">
        <w:rPr>
          <w:b/>
          <w:bCs/>
        </w:rPr>
        <w:t xml:space="preserve">£  </w:t>
      </w:r>
      <w:r w:rsidR="000132DB">
        <w:rPr>
          <w:b/>
          <w:bCs/>
        </w:rPr>
        <w:t>11,070.75</w:t>
      </w:r>
      <w:proofErr w:type="gramEnd"/>
    </w:p>
    <w:p w14:paraId="3F2B0B69" w14:textId="035A2931" w:rsidR="006756DD" w:rsidRDefault="00303D9E">
      <w:pPr>
        <w:rPr>
          <w:b/>
        </w:rPr>
      </w:pPr>
      <w:r>
        <w:rPr>
          <w:b/>
        </w:rPr>
        <w:t xml:space="preserve">The </w:t>
      </w:r>
      <w:r w:rsidR="0016799B">
        <w:rPr>
          <w:b/>
        </w:rPr>
        <w:t xml:space="preserve">value of the </w:t>
      </w:r>
      <w:r>
        <w:rPr>
          <w:b/>
        </w:rPr>
        <w:t>contributions included are</w:t>
      </w:r>
      <w:r w:rsidR="006756DD">
        <w:rPr>
          <w:b/>
        </w:rPr>
        <w:t>:</w:t>
      </w:r>
    </w:p>
    <w:p w14:paraId="7161A457" w14:textId="6A08AC61" w:rsidR="006756DD" w:rsidRPr="006756DD" w:rsidRDefault="003C6C44" w:rsidP="006756DD">
      <w:pPr>
        <w:pStyle w:val="ListParagraph"/>
        <w:numPr>
          <w:ilvl w:val="0"/>
          <w:numId w:val="2"/>
        </w:numPr>
        <w:rPr>
          <w:b/>
        </w:rPr>
      </w:pPr>
      <w:r w:rsidRPr="00F034D0">
        <w:rPr>
          <w:b/>
        </w:rPr>
        <w:t>£</w:t>
      </w:r>
      <w:r w:rsidR="000B7760">
        <w:rPr>
          <w:b/>
        </w:rPr>
        <w:t>47,072</w:t>
      </w:r>
      <w:r w:rsidR="00EE40CB">
        <w:rPr>
          <w:b/>
        </w:rPr>
        <w:t>.8</w:t>
      </w:r>
      <w:r w:rsidR="000B7760">
        <w:rPr>
          <w:b/>
        </w:rPr>
        <w:t>9</w:t>
      </w:r>
      <w:r>
        <w:rPr>
          <w:b/>
        </w:rPr>
        <w:t xml:space="preserve"> </w:t>
      </w:r>
      <w:r w:rsidR="00F8156D" w:rsidRPr="006756DD">
        <w:rPr>
          <w:b/>
        </w:rPr>
        <w:t>is in respect of member contributions</w:t>
      </w:r>
    </w:p>
    <w:p w14:paraId="49EA9EB5" w14:textId="23CB4EBB" w:rsidR="003B4F55" w:rsidRDefault="003C6C44" w:rsidP="006756DD">
      <w:pPr>
        <w:pStyle w:val="ListParagraph"/>
        <w:numPr>
          <w:ilvl w:val="0"/>
          <w:numId w:val="2"/>
        </w:numPr>
        <w:rPr>
          <w:b/>
        </w:rPr>
      </w:pPr>
      <w:r w:rsidRPr="00F034D0">
        <w:rPr>
          <w:b/>
        </w:rPr>
        <w:t>£</w:t>
      </w:r>
      <w:r w:rsidR="00EE40CB">
        <w:rPr>
          <w:b/>
        </w:rPr>
        <w:t>75,316.63</w:t>
      </w:r>
      <w:r w:rsidR="0088717E">
        <w:rPr>
          <w:b/>
        </w:rPr>
        <w:t xml:space="preserve"> </w:t>
      </w:r>
      <w:r w:rsidR="00F8156D" w:rsidRPr="006756DD">
        <w:rPr>
          <w:b/>
        </w:rPr>
        <w:t>in respect of employer contributions.</w:t>
      </w:r>
    </w:p>
    <w:p w14:paraId="2EB675DE" w14:textId="77777777" w:rsidR="0022055D" w:rsidRPr="006756DD" w:rsidRDefault="0022055D" w:rsidP="0022055D">
      <w:pPr>
        <w:pStyle w:val="ListParagraph"/>
        <w:rPr>
          <w:b/>
        </w:rPr>
      </w:pPr>
    </w:p>
    <w:p w14:paraId="53C69516" w14:textId="77777777" w:rsidR="0022055D" w:rsidRDefault="0022055D" w:rsidP="0022055D">
      <w:r>
        <w:t>The transfer value quoted is not guaranteed. The member’s PRA will continue to be invested until a transfer proceeds and the actual transfer value paid will depend on the value of the units in the member’s PRA at the date of transfer.</w:t>
      </w:r>
    </w:p>
    <w:p w14:paraId="04525239" w14:textId="77777777" w:rsidR="0022055D" w:rsidRPr="0022055D" w:rsidRDefault="0022055D" w:rsidP="0022055D">
      <w:pPr>
        <w:tabs>
          <w:tab w:val="left" w:pos="1134"/>
          <w:tab w:val="left" w:pos="1418"/>
        </w:tabs>
        <w:spacing w:line="256" w:lineRule="auto"/>
        <w:jc w:val="both"/>
        <w:rPr>
          <w:rFonts w:ascii="Calibri" w:hAnsi="Calibri" w:cs="Arial"/>
        </w:rPr>
      </w:pPr>
      <w:r w:rsidRPr="0022055D">
        <w:rPr>
          <w:rFonts w:ascii="Calibri" w:hAnsi="Calibri" w:cs="Arial"/>
        </w:rPr>
        <w:t>The Trustees must offer to book a pensions guidance appointment with Pensions Wise on behalf of the member.</w:t>
      </w:r>
    </w:p>
    <w:p w14:paraId="65291764" w14:textId="643A96F3" w:rsidR="0022055D" w:rsidRPr="0022055D" w:rsidRDefault="0022055D" w:rsidP="0022055D">
      <w:pPr>
        <w:tabs>
          <w:tab w:val="left" w:pos="1134"/>
          <w:tab w:val="left" w:pos="1418"/>
        </w:tabs>
        <w:spacing w:line="256" w:lineRule="auto"/>
        <w:jc w:val="both"/>
        <w:rPr>
          <w:rFonts w:ascii="Calibri" w:hAnsi="Calibri" w:cs="Arial"/>
        </w:rPr>
      </w:pPr>
      <w:r w:rsidRPr="0022055D">
        <w:rPr>
          <w:rFonts w:ascii="Calibri" w:hAnsi="Calibri" w:cs="Arial"/>
        </w:rPr>
        <w:t>The Trustees must explain to the member that the transfer cannot proceed until they have received appropriate pensions guidance from Pensions Wise.</w:t>
      </w:r>
    </w:p>
    <w:p w14:paraId="74734A7D" w14:textId="77777777" w:rsidR="0022055D" w:rsidRPr="0022055D" w:rsidRDefault="0022055D" w:rsidP="0022055D">
      <w:pPr>
        <w:tabs>
          <w:tab w:val="left" w:pos="1134"/>
          <w:tab w:val="left" w:pos="1418"/>
        </w:tabs>
        <w:spacing w:line="256" w:lineRule="auto"/>
        <w:jc w:val="both"/>
        <w:rPr>
          <w:rFonts w:ascii="Calibri" w:hAnsi="Calibri" w:cs="Arial"/>
        </w:rPr>
      </w:pPr>
      <w:r w:rsidRPr="0022055D">
        <w:rPr>
          <w:rFonts w:ascii="Calibri" w:hAnsi="Calibri" w:cs="Arial"/>
        </w:rPr>
        <w:t>The Trustees must explain to the member that they can only opt out of the Pensions Wise guidance by giving the Trustees an opt-out notification.</w:t>
      </w:r>
    </w:p>
    <w:p w14:paraId="05FDA496" w14:textId="77777777" w:rsidR="0022055D" w:rsidRDefault="0022055D" w:rsidP="0022055D">
      <w:r>
        <w:t xml:space="preserve">By transferring to a suitable alternative pension arrangement, the payment of the transfer value will extinguish those rights in the OPQ Plan. </w:t>
      </w:r>
    </w:p>
    <w:p w14:paraId="6E9FB5AD" w14:textId="77777777" w:rsidR="0022055D" w:rsidRDefault="0022055D" w:rsidP="0022055D">
      <w:r>
        <w:t>It is recommended that independent financial advice is taken before a decision is made (it is not possible for the Trustees to provide financial advice).</w:t>
      </w:r>
    </w:p>
    <w:p w14:paraId="0009ADFB" w14:textId="77777777" w:rsidR="0022055D" w:rsidRDefault="0022055D" w:rsidP="0022055D">
      <w:r>
        <w:t>The pensions scams booklet provided by the Pensions Regulator must be mentioned.</w:t>
      </w:r>
    </w:p>
    <w:p w14:paraId="0E641AAD" w14:textId="77777777" w:rsidR="00F60B4A" w:rsidRDefault="0022055D" w:rsidP="0022055D">
      <w:r>
        <w:t>The requirement for the member’s written authority to be provided before proceeding with the transfer must be mentioned.</w:t>
      </w:r>
    </w:p>
    <w:p w14:paraId="7D5D07AB" w14:textId="77777777" w:rsidR="00F60B4A" w:rsidRDefault="00F60B4A">
      <w:r>
        <w:br w:type="page"/>
      </w:r>
    </w:p>
    <w:p w14:paraId="4BEC4F4C" w14:textId="77777777" w:rsidR="00F60B4A" w:rsidRDefault="00F60B4A" w:rsidP="00F60B4A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NOTE</w:t>
      </w:r>
      <w:r>
        <w:rPr>
          <w:rFonts w:ascii="Calibri" w:eastAsia="Calibri" w:hAnsi="Calibri" w:cs="Calibri"/>
        </w:rPr>
        <w:t xml:space="preserve"> – </w:t>
      </w:r>
    </w:p>
    <w:p w14:paraId="43AAE4C2" w14:textId="77777777" w:rsidR="00F60B4A" w:rsidRDefault="00F60B4A" w:rsidP="00F60B4A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0E16D1A1" w14:textId="77777777" w:rsidR="00F60B4A" w:rsidRDefault="00F60B4A" w:rsidP="00F60B4A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1C74B73A" w14:textId="77777777" w:rsidR="00F60B4A" w:rsidRDefault="00F60B4A" w:rsidP="00F60B4A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44A5E637" w14:textId="77777777" w:rsidR="00F60B4A" w:rsidRDefault="00F60B4A" w:rsidP="00F60B4A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2B7DA406" w14:textId="77777777" w:rsidR="00F60B4A" w:rsidRDefault="00F60B4A" w:rsidP="00F60B4A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6C989F46" w14:textId="03A99E6E" w:rsidR="0022055D" w:rsidRPr="00F60B4A" w:rsidRDefault="00F60B4A" w:rsidP="0022055D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p w14:paraId="5F32DB9E" w14:textId="77777777" w:rsidR="005D6766" w:rsidRDefault="005D6766"/>
    <w:p w14:paraId="3D201E1C" w14:textId="77777777" w:rsidR="003B4F55" w:rsidRDefault="003B4F55"/>
    <w:sectPr w:rsidR="003B4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1AC"/>
    <w:multiLevelType w:val="hybridMultilevel"/>
    <w:tmpl w:val="8A207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E11E6"/>
    <w:multiLevelType w:val="hybridMultilevel"/>
    <w:tmpl w:val="A24EF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2680">
    <w:abstractNumId w:val="1"/>
  </w:num>
  <w:num w:numId="2" w16cid:durableId="910769471">
    <w:abstractNumId w:val="0"/>
  </w:num>
  <w:num w:numId="3" w16cid:durableId="716515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5"/>
    <w:rsid w:val="000132DB"/>
    <w:rsid w:val="00041F68"/>
    <w:rsid w:val="0004735C"/>
    <w:rsid w:val="000670C3"/>
    <w:rsid w:val="000776D8"/>
    <w:rsid w:val="00094713"/>
    <w:rsid w:val="000A001F"/>
    <w:rsid w:val="000B7760"/>
    <w:rsid w:val="000D34E0"/>
    <w:rsid w:val="0016799B"/>
    <w:rsid w:val="0022055D"/>
    <w:rsid w:val="00237F17"/>
    <w:rsid w:val="0028479A"/>
    <w:rsid w:val="002B6DC3"/>
    <w:rsid w:val="00303D9E"/>
    <w:rsid w:val="003B0786"/>
    <w:rsid w:val="003B3880"/>
    <w:rsid w:val="003B4F55"/>
    <w:rsid w:val="003C6C44"/>
    <w:rsid w:val="003E42E7"/>
    <w:rsid w:val="00452F5A"/>
    <w:rsid w:val="0048296C"/>
    <w:rsid w:val="004B11C7"/>
    <w:rsid w:val="00557C17"/>
    <w:rsid w:val="00584E2E"/>
    <w:rsid w:val="005B6F01"/>
    <w:rsid w:val="005D6766"/>
    <w:rsid w:val="00673C65"/>
    <w:rsid w:val="006756DD"/>
    <w:rsid w:val="00705A72"/>
    <w:rsid w:val="007213DF"/>
    <w:rsid w:val="007214D4"/>
    <w:rsid w:val="00770908"/>
    <w:rsid w:val="00791E27"/>
    <w:rsid w:val="0082459F"/>
    <w:rsid w:val="0088717E"/>
    <w:rsid w:val="00A35E6F"/>
    <w:rsid w:val="00C74F5F"/>
    <w:rsid w:val="00C96277"/>
    <w:rsid w:val="00DA50F6"/>
    <w:rsid w:val="00DC5909"/>
    <w:rsid w:val="00E20873"/>
    <w:rsid w:val="00E660A9"/>
    <w:rsid w:val="00EE40CB"/>
    <w:rsid w:val="00F2605D"/>
    <w:rsid w:val="00F5775F"/>
    <w:rsid w:val="00F60B4A"/>
    <w:rsid w:val="00F8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F297"/>
  <w15:chartTrackingRefBased/>
  <w15:docId w15:val="{8284AD97-35EC-468E-9C88-F3090C7E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5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Ruth Radice</cp:lastModifiedBy>
  <cp:revision>27</cp:revision>
  <cp:lastPrinted>2020-06-03T20:02:00Z</cp:lastPrinted>
  <dcterms:created xsi:type="dcterms:W3CDTF">2019-03-24T18:05:00Z</dcterms:created>
  <dcterms:modified xsi:type="dcterms:W3CDTF">2025-12-19T14:02:00Z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5a5b46-6a40-4ffc-90be-3fcbddbfaaf1_Enabled">
    <vt:lpwstr>True</vt:lpwstr>
  </property>
  <property fmtid="{D5CDD505-2E9C-101B-9397-08002B2CF9AE}" pid="3" name="MSIP_Label_875a5b46-6a40-4ffc-90be-3fcbddbfaaf1_SiteId">
    <vt:lpwstr>94cfddbc-0627-494a-ad7a-29aea3aea832</vt:lpwstr>
  </property>
  <property fmtid="{D5CDD505-2E9C-101B-9397-08002B2CF9AE}" pid="4" name="MSIP_Label_875a5b46-6a40-4ffc-90be-3fcbddbfaaf1_SetDate">
    <vt:lpwstr>2025-03-05T15:21:05Z</vt:lpwstr>
  </property>
  <property fmtid="{D5CDD505-2E9C-101B-9397-08002B2CF9AE}" pid="5" name="MSIP_Label_875a5b46-6a40-4ffc-90be-3fcbddbfaaf1_Name">
    <vt:lpwstr>CONFIDENTIAL \ CONFIDENTIAL</vt:lpwstr>
  </property>
  <property fmtid="{D5CDD505-2E9C-101B-9397-08002B2CF9AE}" pid="6" name="MSIP_Label_875a5b46-6a40-4ffc-90be-3fcbddbfaaf1_ActionId">
    <vt:lpwstr>74fb92cf-21df-4d9f-b289-205dddc4abff</vt:lpwstr>
  </property>
  <property fmtid="{D5CDD505-2E9C-101B-9397-08002B2CF9AE}" pid="7" name="MSIP_Label_875a5b46-6a40-4ffc-90be-3fcbddbfaaf1_Removed">
    <vt:lpwstr>False</vt:lpwstr>
  </property>
  <property fmtid="{D5CDD505-2E9C-101B-9397-08002B2CF9AE}" pid="8" name="MSIP_Label_875a5b46-6a40-4ffc-90be-3fcbddbfaaf1_Parent">
    <vt:lpwstr>fa45f789-1f0b-4e07-bb5a-5b7474c73833</vt:lpwstr>
  </property>
  <property fmtid="{D5CDD505-2E9C-101B-9397-08002B2CF9AE}" pid="9" name="MSIP_Label_875a5b46-6a40-4ffc-90be-3fcbddbfaaf1_Extended_MSFT_Method">
    <vt:lpwstr>Standard</vt:lpwstr>
  </property>
  <property fmtid="{D5CDD505-2E9C-101B-9397-08002B2CF9AE}" pid="10" name="MSIP_Label_fa45f789-1f0b-4e07-bb5a-5b7474c73833_Enabled">
    <vt:lpwstr>True</vt:lpwstr>
  </property>
  <property fmtid="{D5CDD505-2E9C-101B-9397-08002B2CF9AE}" pid="11" name="MSIP_Label_fa45f789-1f0b-4e07-bb5a-5b7474c73833_SiteId">
    <vt:lpwstr>94cfddbc-0627-494a-ad7a-29aea3aea832</vt:lpwstr>
  </property>
  <property fmtid="{D5CDD505-2E9C-101B-9397-08002B2CF9AE}" pid="12" name="MSIP_Label_fa45f789-1f0b-4e07-bb5a-5b7474c73833_SetDate">
    <vt:lpwstr>2025-03-05T15:21:05Z</vt:lpwstr>
  </property>
  <property fmtid="{D5CDD505-2E9C-101B-9397-08002B2CF9AE}" pid="13" name="MSIP_Label_fa45f789-1f0b-4e07-bb5a-5b7474c73833_Name">
    <vt:lpwstr>CONFIDENTIAL</vt:lpwstr>
  </property>
  <property fmtid="{D5CDD505-2E9C-101B-9397-08002B2CF9AE}" pid="14" name="MSIP_Label_fa45f789-1f0b-4e07-bb5a-5b7474c73833_ActionId">
    <vt:lpwstr>82af51c5-d31b-451b-8ad4-14d3acacff51</vt:lpwstr>
  </property>
  <property fmtid="{D5CDD505-2E9C-101B-9397-08002B2CF9AE}" pid="15" name="MSIP_Label_fa45f789-1f0b-4e07-bb5a-5b7474c73833_Extended_MSFT_Method">
    <vt:lpwstr>Standard</vt:lpwstr>
  </property>
  <property fmtid="{D5CDD505-2E9C-101B-9397-08002B2CF9AE}" pid="16" name="Sensitivity">
    <vt:lpwstr>CONFIDENTIAL \ CONFIDENTIAL CONFIDENTIAL</vt:lpwstr>
  </property>
</Properties>
</file>