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25"/>
        <w:gridCol w:w="5904"/>
      </w:tblGrid>
      <w:tr w:rsidR="00266429" w:rsidTr="00C37017">
        <w:tc>
          <w:tcPr>
            <w:tcW w:w="1487" w:type="dxa"/>
          </w:tcPr>
          <w:p w:rsidR="00B27F1A" w:rsidRPr="00A264D1" w:rsidRDefault="00B27F1A">
            <w:pPr>
              <w:rPr>
                <w:b/>
              </w:rPr>
            </w:pPr>
            <w:bookmarkStart w:id="0" w:name="_GoBack" w:colFirst="2" w:colLast="2"/>
            <w:r w:rsidRPr="00A264D1">
              <w:rPr>
                <w:b/>
              </w:rPr>
              <w:t>Site reference</w:t>
            </w:r>
          </w:p>
        </w:tc>
        <w:tc>
          <w:tcPr>
            <w:tcW w:w="1625" w:type="dxa"/>
          </w:tcPr>
          <w:p w:rsidR="00B27F1A" w:rsidRPr="00A264D1" w:rsidRDefault="00B27F1A">
            <w:pPr>
              <w:rPr>
                <w:b/>
              </w:rPr>
            </w:pPr>
            <w:r w:rsidRPr="00A264D1">
              <w:rPr>
                <w:b/>
              </w:rPr>
              <w:t>Suitable?</w:t>
            </w:r>
          </w:p>
        </w:tc>
        <w:tc>
          <w:tcPr>
            <w:tcW w:w="5904" w:type="dxa"/>
          </w:tcPr>
          <w:p w:rsidR="00B27F1A" w:rsidRPr="00A264D1" w:rsidRDefault="00B27F1A">
            <w:pPr>
              <w:rPr>
                <w:b/>
              </w:rPr>
            </w:pPr>
            <w:r w:rsidRPr="00A264D1">
              <w:rPr>
                <w:b/>
              </w:rPr>
              <w:t xml:space="preserve">BDC </w:t>
            </w:r>
            <w:r w:rsidR="001508F1">
              <w:rPr>
                <w:b/>
              </w:rPr>
              <w:t xml:space="preserve">Planning Policy </w:t>
            </w:r>
            <w:r w:rsidRPr="00A264D1">
              <w:rPr>
                <w:b/>
              </w:rPr>
              <w:t>Comments</w:t>
            </w:r>
          </w:p>
        </w:tc>
      </w:tr>
      <w:tr w:rsidR="00266429" w:rsidTr="00C37017">
        <w:tc>
          <w:tcPr>
            <w:tcW w:w="1487" w:type="dxa"/>
          </w:tcPr>
          <w:p w:rsidR="00B27F1A" w:rsidRDefault="00F81EF4">
            <w:r>
              <w:t>NP10</w:t>
            </w:r>
          </w:p>
        </w:tc>
        <w:tc>
          <w:tcPr>
            <w:tcW w:w="1625" w:type="dxa"/>
          </w:tcPr>
          <w:p w:rsidR="00B27F1A" w:rsidRDefault="00B540E9">
            <w:r>
              <w:t>Considered unsuitable</w:t>
            </w:r>
          </w:p>
        </w:tc>
        <w:tc>
          <w:tcPr>
            <w:tcW w:w="5904" w:type="dxa"/>
          </w:tcPr>
          <w:p w:rsidR="004B7DAA" w:rsidRDefault="004B7DAA" w:rsidP="00DC7E5B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separated from the village boundary.</w:t>
            </w:r>
          </w:p>
          <w:p w:rsidR="00DC7E5B" w:rsidRDefault="00283878" w:rsidP="004B7DA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would create ribbon development on the edge of Ranskill. This would not reflect the pattern of d</w:t>
            </w:r>
            <w:r w:rsidR="00A37DA8">
              <w:t>evelopment in</w:t>
            </w:r>
            <w:r w:rsidR="00DC7E5B">
              <w:t xml:space="preserve"> Ranskill </w:t>
            </w:r>
            <w:r w:rsidR="00B540E9">
              <w:t>(</w:t>
            </w:r>
            <w:r w:rsidR="00DC7E5B">
              <w:t>which is more nucleated</w:t>
            </w:r>
            <w:r w:rsidR="005279B3">
              <w:t>, concentrated between Station Road to the south, the East Coast Main Line to the east, Great North Road to the West, and Arundel Drive to the north</w:t>
            </w:r>
            <w:r w:rsidR="00B540E9">
              <w:t>)</w:t>
            </w:r>
            <w:r w:rsidR="005279B3">
              <w:t>.</w:t>
            </w:r>
          </w:p>
          <w:p w:rsidR="002D067B" w:rsidRDefault="002D067B" w:rsidP="004B7DA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NCC Highways to </w:t>
            </w:r>
            <w:proofErr w:type="gramStart"/>
            <w:r>
              <w:t>advise</w:t>
            </w:r>
            <w:proofErr w:type="gramEnd"/>
            <w:r>
              <w:t xml:space="preserve"> about highway constraints.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t>NP11</w:t>
            </w:r>
          </w:p>
        </w:tc>
        <w:tc>
          <w:tcPr>
            <w:tcW w:w="1625" w:type="dxa"/>
          </w:tcPr>
          <w:p w:rsidR="00B27F1A" w:rsidRDefault="001E1363">
            <w:r>
              <w:t>Potentially</w:t>
            </w:r>
            <w:r w:rsidR="00081D4F">
              <w:t xml:space="preserve"> suitable</w:t>
            </w:r>
            <w:r>
              <w:t>, subject to the strategic priorities of the Neighbourhood Plan areas affected</w:t>
            </w:r>
          </w:p>
        </w:tc>
        <w:tc>
          <w:tcPr>
            <w:tcW w:w="5904" w:type="dxa"/>
          </w:tcPr>
          <w:p w:rsidR="000D3B0E" w:rsidRDefault="00D953C7" w:rsidP="00D953C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Situated to the south of the village on Great North Road, t</w:t>
            </w:r>
            <w:r w:rsidR="00DC7E5B">
              <w:t>he site is separated from Ranskill by agricultural land</w:t>
            </w:r>
            <w:r>
              <w:t xml:space="preserve">. </w:t>
            </w:r>
            <w:r w:rsidR="00F82E64">
              <w:t>The site would bound Torworth village to the south</w:t>
            </w:r>
            <w:r>
              <w:t>.</w:t>
            </w:r>
          </w:p>
          <w:p w:rsidR="00D953C7" w:rsidRDefault="001E1363" w:rsidP="006D2C60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landscape</w:t>
            </w:r>
            <w:r w:rsidR="00EF67CF">
              <w:t xml:space="preserve"> between Torw</w:t>
            </w:r>
            <w:r w:rsidR="0024116C">
              <w:t>or</w:t>
            </w:r>
            <w:r w:rsidR="00EF67CF">
              <w:t>th and Ranskill</w:t>
            </w:r>
            <w:r>
              <w:t>, which is quite open in character,</w:t>
            </w:r>
            <w:r w:rsidR="00EF67CF">
              <w:t xml:space="preserve"> would start to erode if t</w:t>
            </w:r>
            <w:r w:rsidR="00850730">
              <w:t xml:space="preserve">he site is taken forward. </w:t>
            </w:r>
            <w:r w:rsidR="006D2C60">
              <w:t>If continued</w:t>
            </w:r>
            <w:r w:rsidR="00850730">
              <w:t>, this could affect the individual identity of each village.</w:t>
            </w:r>
          </w:p>
          <w:p w:rsidR="002D067B" w:rsidRDefault="002D067B" w:rsidP="006D2C60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NCC Highways to </w:t>
            </w:r>
            <w:proofErr w:type="gramStart"/>
            <w:r>
              <w:t>advise</w:t>
            </w:r>
            <w:proofErr w:type="gramEnd"/>
            <w:r>
              <w:t xml:space="preserve"> about highway constraints.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t>NP12</w:t>
            </w:r>
          </w:p>
        </w:tc>
        <w:tc>
          <w:tcPr>
            <w:tcW w:w="1625" w:type="dxa"/>
          </w:tcPr>
          <w:p w:rsidR="00B27F1A" w:rsidRDefault="001E1363" w:rsidP="004F71C4">
            <w:r>
              <w:t>Potentially</w:t>
            </w:r>
            <w:r w:rsidR="00081D4F">
              <w:t xml:space="preserve"> suitable</w:t>
            </w:r>
            <w:r>
              <w:t>, subject to a suitable access/highway arrangement</w:t>
            </w:r>
            <w:r w:rsidR="004F71C4">
              <w:t>, and suitability regarding impact on heritage assets</w:t>
            </w:r>
          </w:p>
        </w:tc>
        <w:tc>
          <w:tcPr>
            <w:tcW w:w="5904" w:type="dxa"/>
          </w:tcPr>
          <w:p w:rsidR="00B27F1A" w:rsidRDefault="001E1363" w:rsidP="000D3B0E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of the site would reflect the pattern of development in Ranskill.</w:t>
            </w:r>
          </w:p>
          <w:p w:rsidR="003D5E74" w:rsidRDefault="003D5E74" w:rsidP="000D3B0E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within</w:t>
            </w:r>
            <w:r w:rsidR="007D4472">
              <w:t xml:space="preserve"> 500 metres</w:t>
            </w:r>
            <w:r>
              <w:t xml:space="preserve"> walking distance of Ranskill Primary School</w:t>
            </w:r>
          </w:p>
          <w:p w:rsidR="001E1363" w:rsidRDefault="001E1363" w:rsidP="000D3B0E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It is unknown if a suitable access can be achieved. Advice should be sought from NCC Highways.</w:t>
            </w:r>
          </w:p>
          <w:p w:rsidR="001E1363" w:rsidRDefault="001E1363" w:rsidP="000D3B0E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There is potential for a non-designated heritage asset to be </w:t>
            </w:r>
            <w:r w:rsidR="00E468D4">
              <w:t>harmed/</w:t>
            </w:r>
            <w:r>
              <w:t>lost if demolition is required to gain access. This would be contrary to policy. Advice sh</w:t>
            </w:r>
            <w:r w:rsidR="00D70D07">
              <w:t>ould be sought from BDC Conservation</w:t>
            </w:r>
            <w:r>
              <w:t>.</w:t>
            </w:r>
          </w:p>
          <w:p w:rsidR="00B24B19" w:rsidRDefault="00B24B19" w:rsidP="00B24B1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If a suitable access arrangement cannot be identified prior to the submission of the Neighbourhood Plan for examination, it is unknown if the site is deliverable within the Plan period. There is a risk that the Inspector may recommend the allocation of additional sites.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t>NP13</w:t>
            </w:r>
          </w:p>
        </w:tc>
        <w:tc>
          <w:tcPr>
            <w:tcW w:w="1625" w:type="dxa"/>
          </w:tcPr>
          <w:p w:rsidR="00B27F1A" w:rsidRDefault="00B540E9">
            <w:r>
              <w:t>Considered unsuitable</w:t>
            </w:r>
          </w:p>
        </w:tc>
        <w:tc>
          <w:tcPr>
            <w:tcW w:w="5904" w:type="dxa"/>
          </w:tcPr>
          <w:p w:rsidR="00B27F1A" w:rsidRDefault="00A81B0A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Situated to the south of Ranskill, development of the site would form a linear pattern which would not reflect the </w:t>
            </w:r>
            <w:r w:rsidR="004D2559">
              <w:t xml:space="preserve">nucleated </w:t>
            </w:r>
            <w:r>
              <w:t>character of the village</w:t>
            </w:r>
            <w:r w:rsidR="002D5CBA">
              <w:t>.</w:t>
            </w:r>
          </w:p>
          <w:p w:rsidR="002D5CBA" w:rsidRDefault="002D5CBA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It is unknown if a suitable access could be achieved. Advice should be sought from NCC highways.</w:t>
            </w:r>
          </w:p>
          <w:p w:rsidR="002D5CBA" w:rsidRDefault="002D5CBA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If a suitable access arrangement cannot be identified prior to the submission of the Neighbourhood Plan for examination, it is unknown if the site is deliverable within the Plan period. There is a risk that the Inspector may recommend the allocation of additional sites.</w:t>
            </w:r>
          </w:p>
          <w:p w:rsidR="002D5CBA" w:rsidRDefault="00313E24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Given the sites</w:t>
            </w:r>
            <w:r w:rsidR="002D5CBA">
              <w:t xml:space="preserve"> proximity to the East Coast Main Line and the waste/scrap facility to the east of the site, advice should be sought from BDC Environmental Health.</w:t>
            </w:r>
          </w:p>
        </w:tc>
      </w:tr>
      <w:tr w:rsidR="0028032D" w:rsidTr="00C37017">
        <w:tc>
          <w:tcPr>
            <w:tcW w:w="1487" w:type="dxa"/>
          </w:tcPr>
          <w:p w:rsidR="0028032D" w:rsidRDefault="0028032D">
            <w:r>
              <w:t>NP14</w:t>
            </w:r>
          </w:p>
        </w:tc>
        <w:tc>
          <w:tcPr>
            <w:tcW w:w="1625" w:type="dxa"/>
          </w:tcPr>
          <w:p w:rsidR="0028032D" w:rsidRDefault="00D70D07">
            <w:r>
              <w:t>Considered unsuitable</w:t>
            </w:r>
          </w:p>
        </w:tc>
        <w:tc>
          <w:tcPr>
            <w:tcW w:w="5904" w:type="dxa"/>
          </w:tcPr>
          <w:p w:rsidR="0028032D" w:rsidRDefault="00D70D07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adjoins a non-designated heritage asset. Seek advice from BDC Conservation.</w:t>
            </w:r>
          </w:p>
          <w:p w:rsidR="00D70D07" w:rsidRDefault="00D70D07" w:rsidP="00A81B0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lastRenderedPageBreak/>
              <w:t>Development of the site would form ribbon development to the south of Ranskill. This would affect the nucleated character of the village.</w:t>
            </w:r>
          </w:p>
          <w:p w:rsidR="00D70D07" w:rsidRDefault="00D70D07" w:rsidP="00D70D0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Open landscape with views of the surrounding area. The site lacks enclosure and development would be incongruous in this setting.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lastRenderedPageBreak/>
              <w:t>NP15</w:t>
            </w:r>
          </w:p>
        </w:tc>
        <w:tc>
          <w:tcPr>
            <w:tcW w:w="1625" w:type="dxa"/>
          </w:tcPr>
          <w:p w:rsidR="00B27F1A" w:rsidRDefault="00B540E9">
            <w:r>
              <w:t>Considered unsuitable</w:t>
            </w:r>
          </w:p>
        </w:tc>
        <w:tc>
          <w:tcPr>
            <w:tcW w:w="5904" w:type="dxa"/>
          </w:tcPr>
          <w:p w:rsidR="00B27F1A" w:rsidRDefault="00151DAD" w:rsidP="008D444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Located to the south of Ranskill, separated from the settlement boundary, development here would not form a logical extension to the village.</w:t>
            </w:r>
          </w:p>
          <w:p w:rsidR="00151DAD" w:rsidRDefault="00151DAD" w:rsidP="008D444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topography here is quite flat, the landscape is open in character, and a belt of mature trees obscures views into Ranskill from the site.</w:t>
            </w:r>
          </w:p>
          <w:p w:rsidR="00151DAD" w:rsidRDefault="00151DAD" w:rsidP="008D444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would be incongruous in this setting.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t>NP16</w:t>
            </w:r>
          </w:p>
        </w:tc>
        <w:tc>
          <w:tcPr>
            <w:tcW w:w="1625" w:type="dxa"/>
          </w:tcPr>
          <w:p w:rsidR="00B27F1A" w:rsidRDefault="004F71C4">
            <w:r>
              <w:t>Potentially suitable, subject to a suitable access/highway arrangement, and suitability regarding impact on heritage assets</w:t>
            </w:r>
          </w:p>
        </w:tc>
        <w:tc>
          <w:tcPr>
            <w:tcW w:w="5904" w:type="dxa"/>
          </w:tcPr>
          <w:p w:rsidR="00B24B19" w:rsidRDefault="00B24B19" w:rsidP="00B24B1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of the site would reflect the pattern of development in Ranskill.</w:t>
            </w:r>
          </w:p>
          <w:p w:rsidR="003D5E74" w:rsidRDefault="003D5E74" w:rsidP="00B24B1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The site is within </w:t>
            </w:r>
            <w:r w:rsidR="007D4472">
              <w:t xml:space="preserve">400 metres </w:t>
            </w:r>
            <w:r>
              <w:t>walking distance of Ranskill Primary School.</w:t>
            </w:r>
          </w:p>
          <w:p w:rsidR="00B24B19" w:rsidRDefault="00B24B19" w:rsidP="00B24B1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It is unknown if a suitable access can be achieved. Advice should be sought from NCC Highways.</w:t>
            </w:r>
          </w:p>
          <w:p w:rsidR="00B27F1A" w:rsidRDefault="00B24B19" w:rsidP="008D444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There is potential for a non-designated heritage asset to be </w:t>
            </w:r>
            <w:r w:rsidR="00E468D4">
              <w:t>harmed/</w:t>
            </w:r>
            <w:r>
              <w:t>lost if demolition is required to gain access. This would be contrary to policy. Advice should be sought from BDC Heritage.</w:t>
            </w:r>
          </w:p>
          <w:p w:rsidR="00B24B19" w:rsidRDefault="00B24B19" w:rsidP="00B24B1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If a suitable access arrangement cannot be identified prior to the submission of the Neighbourhood Plan for examination, it is unknown if the site is deliverable within the Plan period. There is a risk that the Inspector may recommend the allocation of additional sites.</w:t>
            </w:r>
          </w:p>
        </w:tc>
      </w:tr>
      <w:tr w:rsidR="00266429" w:rsidTr="00C37017">
        <w:tc>
          <w:tcPr>
            <w:tcW w:w="1487" w:type="dxa"/>
          </w:tcPr>
          <w:p w:rsidR="00B27F1A" w:rsidRDefault="00C62892">
            <w:r>
              <w:t>NP17</w:t>
            </w:r>
          </w:p>
        </w:tc>
        <w:tc>
          <w:tcPr>
            <w:tcW w:w="1625" w:type="dxa"/>
          </w:tcPr>
          <w:p w:rsidR="00B27F1A" w:rsidRDefault="00991765">
            <w:r>
              <w:t>Considered unsuitable</w:t>
            </w:r>
          </w:p>
        </w:tc>
        <w:tc>
          <w:tcPr>
            <w:tcW w:w="5904" w:type="dxa"/>
          </w:tcPr>
          <w:p w:rsidR="001055C9" w:rsidRDefault="001055C9" w:rsidP="001055C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East Coast Mainline forms a strong settlement boundary to the east of Ranskill. Development of the site to the east of East Coast Mainline would not form a logical extension to the settlement.</w:t>
            </w:r>
          </w:p>
          <w:p w:rsidR="00C41F6A" w:rsidRDefault="00C41F6A" w:rsidP="005D565F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The </w:t>
            </w:r>
            <w:r w:rsidR="00991765">
              <w:t>site does not adjoin the settlemen</w:t>
            </w:r>
            <w:r>
              <w:t>t boundary and is separated by woodland and the East Coast Rail line.</w:t>
            </w:r>
          </w:p>
          <w:p w:rsidR="00C41F6A" w:rsidRDefault="00C41F6A" w:rsidP="001055C9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</w:t>
            </w:r>
            <w:r w:rsidR="001055C9">
              <w:t xml:space="preserve"> </w:t>
            </w:r>
            <w:r>
              <w:t xml:space="preserve">is </w:t>
            </w:r>
            <w:r w:rsidR="00DC6AE4">
              <w:t xml:space="preserve">also </w:t>
            </w:r>
            <w:r>
              <w:t xml:space="preserve">visually </w:t>
            </w:r>
            <w:r w:rsidR="001055C9">
              <w:t>separated</w:t>
            </w:r>
            <w:r>
              <w:t xml:space="preserve"> from Ranskill. It adjoins woodland and open countryside and is rural in nature. Views of Ranskill are obscured by the adjacent railway bridge.</w:t>
            </w:r>
          </w:p>
          <w:p w:rsidR="0063166E" w:rsidRDefault="0063166E" w:rsidP="0063166E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Potential highway constraints (visibility splays). NCC Highways to advise.</w:t>
            </w:r>
          </w:p>
        </w:tc>
      </w:tr>
      <w:tr w:rsidR="00266429" w:rsidTr="00C37017">
        <w:tc>
          <w:tcPr>
            <w:tcW w:w="1487" w:type="dxa"/>
          </w:tcPr>
          <w:p w:rsidR="005D565F" w:rsidRDefault="00C62892" w:rsidP="005D565F">
            <w:r>
              <w:t>NP18</w:t>
            </w:r>
          </w:p>
        </w:tc>
        <w:tc>
          <w:tcPr>
            <w:tcW w:w="1625" w:type="dxa"/>
          </w:tcPr>
          <w:p w:rsidR="005D565F" w:rsidRDefault="00602D66" w:rsidP="005D565F">
            <w:r>
              <w:t>Considered suitable</w:t>
            </w:r>
          </w:p>
        </w:tc>
        <w:tc>
          <w:tcPr>
            <w:tcW w:w="5904" w:type="dxa"/>
          </w:tcPr>
          <w:p w:rsidR="00F734CA" w:rsidRDefault="00F734CA" w:rsidP="005D565F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A residential area adjoins the site to the south and east.</w:t>
            </w:r>
          </w:p>
          <w:p w:rsidR="005D565F" w:rsidRDefault="00582143" w:rsidP="005D565F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If developed jointly with site NP24, the site would form a logical extension to the settlement</w:t>
            </w:r>
            <w:r w:rsidR="008E036C">
              <w:t xml:space="preserve"> due to the nucleated character of the village</w:t>
            </w:r>
            <w:r>
              <w:t>.</w:t>
            </w:r>
          </w:p>
          <w:p w:rsidR="008E036C" w:rsidRDefault="0092666B" w:rsidP="005D565F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No heritage constraints identified. T</w:t>
            </w:r>
            <w:r w:rsidR="008E036C">
              <w:t>he site adjoins a modern residential area.</w:t>
            </w:r>
          </w:p>
          <w:p w:rsidR="008E036C" w:rsidRDefault="0075318E" w:rsidP="00F734CA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The site is within </w:t>
            </w:r>
            <w:r w:rsidR="003D5E74">
              <w:t xml:space="preserve">500 metres </w:t>
            </w:r>
            <w:r>
              <w:t>walking distance of Ranskill Primary School.</w:t>
            </w:r>
          </w:p>
        </w:tc>
      </w:tr>
      <w:tr w:rsidR="00266429" w:rsidTr="00C37017">
        <w:tc>
          <w:tcPr>
            <w:tcW w:w="1487" w:type="dxa"/>
          </w:tcPr>
          <w:p w:rsidR="005D565F" w:rsidRDefault="00C62892" w:rsidP="005D565F">
            <w:r>
              <w:t>NP19</w:t>
            </w:r>
          </w:p>
        </w:tc>
        <w:tc>
          <w:tcPr>
            <w:tcW w:w="1625" w:type="dxa"/>
          </w:tcPr>
          <w:p w:rsidR="005D565F" w:rsidRDefault="00602D66" w:rsidP="005D565F">
            <w:r>
              <w:t>Potentially suitable</w:t>
            </w:r>
          </w:p>
        </w:tc>
        <w:tc>
          <w:tcPr>
            <w:tcW w:w="5904" w:type="dxa"/>
          </w:tcPr>
          <w:p w:rsidR="00602D66" w:rsidRDefault="00602D66" w:rsidP="00602D6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adjoins residential development to the east, on Great North Road. The landscape is relatively open in character to the north and west, and south.</w:t>
            </w:r>
          </w:p>
          <w:p w:rsidR="005D565F" w:rsidRDefault="00602D66" w:rsidP="00602D6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lastRenderedPageBreak/>
              <w:t>Whilst development could potentially compliment the nucleated pattern of development in Ranskill, due to the gap to the south of the site</w:t>
            </w:r>
            <w:r w:rsidR="001158D6">
              <w:t>/lack of enclosure</w:t>
            </w:r>
            <w:r>
              <w:t xml:space="preserve">, it doesn’t form a logical extension to the village. </w:t>
            </w:r>
          </w:p>
          <w:p w:rsidR="001158D6" w:rsidRDefault="001158D6" w:rsidP="001158D6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approximately 800 metres walking distance from Ranskill Primary School</w:t>
            </w:r>
          </w:p>
        </w:tc>
      </w:tr>
      <w:tr w:rsidR="00266429" w:rsidTr="00C37017">
        <w:tc>
          <w:tcPr>
            <w:tcW w:w="1487" w:type="dxa"/>
          </w:tcPr>
          <w:p w:rsidR="00110785" w:rsidRDefault="00C62892" w:rsidP="00110785">
            <w:r>
              <w:lastRenderedPageBreak/>
              <w:t>NP20</w:t>
            </w:r>
          </w:p>
        </w:tc>
        <w:tc>
          <w:tcPr>
            <w:tcW w:w="1625" w:type="dxa"/>
          </w:tcPr>
          <w:p w:rsidR="00110785" w:rsidRDefault="00110785" w:rsidP="00110785"/>
        </w:tc>
        <w:tc>
          <w:tcPr>
            <w:tcW w:w="5904" w:type="dxa"/>
          </w:tcPr>
          <w:p w:rsidR="00266429" w:rsidRDefault="00266429" w:rsidP="0011078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Residential development adjoins the site.</w:t>
            </w:r>
          </w:p>
          <w:p w:rsidR="00266429" w:rsidRDefault="00266429" w:rsidP="0011078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would form a logical extension to Ranskill.</w:t>
            </w:r>
          </w:p>
          <w:p w:rsidR="00110785" w:rsidRDefault="00CC2CB5" w:rsidP="0011078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within 500 metres walking distance of Ranskill Primary School.</w:t>
            </w:r>
          </w:p>
          <w:p w:rsidR="00F71B94" w:rsidRDefault="0092666B" w:rsidP="0011078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No heritage constraints identified.</w:t>
            </w:r>
          </w:p>
        </w:tc>
      </w:tr>
      <w:tr w:rsidR="00266429" w:rsidTr="00C37017">
        <w:tc>
          <w:tcPr>
            <w:tcW w:w="1487" w:type="dxa"/>
          </w:tcPr>
          <w:p w:rsidR="00110785" w:rsidRDefault="00C62892" w:rsidP="00110785">
            <w:r>
              <w:t>NP21</w:t>
            </w:r>
          </w:p>
        </w:tc>
        <w:tc>
          <w:tcPr>
            <w:tcW w:w="1625" w:type="dxa"/>
          </w:tcPr>
          <w:p w:rsidR="00110785" w:rsidRDefault="00FF77F5" w:rsidP="00110785">
            <w:r>
              <w:t>Unsuitable</w:t>
            </w:r>
          </w:p>
        </w:tc>
        <w:tc>
          <w:tcPr>
            <w:tcW w:w="5904" w:type="dxa"/>
          </w:tcPr>
          <w:p w:rsidR="00FF77F5" w:rsidRDefault="00FF77F5" w:rsidP="00FF77F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separated from the settlement boundary and there is no point of access from the highway.</w:t>
            </w:r>
          </w:p>
          <w:p w:rsidR="00A32794" w:rsidRDefault="00FF77F5" w:rsidP="00FF77F5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of the site would not reflect the character of Ranskill in terms of the settlement pattern.</w:t>
            </w:r>
          </w:p>
        </w:tc>
      </w:tr>
      <w:tr w:rsidR="00C37017" w:rsidTr="00C37017">
        <w:tc>
          <w:tcPr>
            <w:tcW w:w="1487" w:type="dxa"/>
          </w:tcPr>
          <w:p w:rsidR="00C37017" w:rsidRDefault="00C37017" w:rsidP="00C37017">
            <w:r>
              <w:t>NP22</w:t>
            </w:r>
          </w:p>
        </w:tc>
        <w:tc>
          <w:tcPr>
            <w:tcW w:w="1625" w:type="dxa"/>
          </w:tcPr>
          <w:p w:rsidR="00C37017" w:rsidRDefault="00C37017" w:rsidP="00C37017">
            <w:r>
              <w:t>Unsuitable</w:t>
            </w:r>
          </w:p>
        </w:tc>
        <w:tc>
          <w:tcPr>
            <w:tcW w:w="5904" w:type="dxa"/>
          </w:tcPr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separated from the settlement boundary and there is no point of access from the highway.</w:t>
            </w:r>
          </w:p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Development of the site would not reflect the character of Ranskill in terms of the settlement pattern.</w:t>
            </w:r>
          </w:p>
        </w:tc>
      </w:tr>
      <w:tr w:rsidR="00C37017" w:rsidTr="00C37017">
        <w:tc>
          <w:tcPr>
            <w:tcW w:w="1487" w:type="dxa"/>
          </w:tcPr>
          <w:p w:rsidR="00C37017" w:rsidRDefault="00C37017" w:rsidP="00C37017">
            <w:r>
              <w:t>NP23</w:t>
            </w:r>
          </w:p>
        </w:tc>
        <w:tc>
          <w:tcPr>
            <w:tcW w:w="1625" w:type="dxa"/>
          </w:tcPr>
          <w:p w:rsidR="00C37017" w:rsidRDefault="00B252A3" w:rsidP="00C37017">
            <w:r>
              <w:t>Potentially unsuitable unless an appropriate access can be identified.</w:t>
            </w:r>
          </w:p>
        </w:tc>
        <w:tc>
          <w:tcPr>
            <w:tcW w:w="5904" w:type="dxa"/>
          </w:tcPr>
          <w:p w:rsidR="00C37017" w:rsidRDefault="00B252A3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Access to the site from the highway is constrained.</w:t>
            </w:r>
          </w:p>
          <w:p w:rsidR="00B252A3" w:rsidRDefault="00B252A3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Advise to consult NCC Highways.</w:t>
            </w:r>
          </w:p>
          <w:p w:rsidR="00B252A3" w:rsidRDefault="00B252A3" w:rsidP="00B252A3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Non-designated heritage assets adjoin the site boundary. Development could potentially harm the heritage assets by impacting on the setting, or by loss through the need to form a suitable access into the site.</w:t>
            </w:r>
          </w:p>
        </w:tc>
      </w:tr>
      <w:tr w:rsidR="00C37017" w:rsidTr="00C37017">
        <w:tc>
          <w:tcPr>
            <w:tcW w:w="1487" w:type="dxa"/>
          </w:tcPr>
          <w:p w:rsidR="00C37017" w:rsidRDefault="00C37017" w:rsidP="00C37017">
            <w:r>
              <w:t>NP24</w:t>
            </w:r>
          </w:p>
        </w:tc>
        <w:tc>
          <w:tcPr>
            <w:tcW w:w="1625" w:type="dxa"/>
          </w:tcPr>
          <w:p w:rsidR="00C37017" w:rsidRDefault="00C37017" w:rsidP="00C37017">
            <w:r>
              <w:t>Potentially suitable</w:t>
            </w:r>
          </w:p>
        </w:tc>
        <w:tc>
          <w:tcPr>
            <w:tcW w:w="5904" w:type="dxa"/>
          </w:tcPr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 xml:space="preserve">Development would form a logical extension to Ranskill. </w:t>
            </w:r>
          </w:p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The site is within 500 metres walking distance of Ranskill Primary School.</w:t>
            </w:r>
          </w:p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No heritage constraints identified. The site adjoins a modern residential area.</w:t>
            </w:r>
          </w:p>
        </w:tc>
      </w:tr>
      <w:tr w:rsidR="00C37017" w:rsidTr="00C37017">
        <w:tc>
          <w:tcPr>
            <w:tcW w:w="1487" w:type="dxa"/>
          </w:tcPr>
          <w:p w:rsidR="00C37017" w:rsidRDefault="00C37017" w:rsidP="00C37017">
            <w:r>
              <w:t>NP25</w:t>
            </w:r>
          </w:p>
        </w:tc>
        <w:tc>
          <w:tcPr>
            <w:tcW w:w="1625" w:type="dxa"/>
          </w:tcPr>
          <w:p w:rsidR="00C37017" w:rsidRDefault="00C37017" w:rsidP="00C37017">
            <w:r>
              <w:t>Potentially suitable for employment</w:t>
            </w:r>
          </w:p>
        </w:tc>
        <w:tc>
          <w:tcPr>
            <w:tcW w:w="5904" w:type="dxa"/>
          </w:tcPr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If proposing to take the site forward as an employment allocation, advise to contact Network Rail due to the location of the site adjacent to a level crossing.</w:t>
            </w:r>
          </w:p>
          <w:p w:rsidR="00C37017" w:rsidRDefault="00C37017" w:rsidP="00C37017">
            <w:pPr>
              <w:pStyle w:val="ListParagraph"/>
              <w:numPr>
                <w:ilvl w:val="0"/>
                <w:numId w:val="1"/>
              </w:numPr>
              <w:ind w:left="179" w:hanging="142"/>
            </w:pPr>
            <w:r>
              <w:t>Currently part of the site is in employment use. No objection to the principle of employment on this site.</w:t>
            </w:r>
          </w:p>
        </w:tc>
      </w:tr>
      <w:bookmarkEnd w:id="0"/>
    </w:tbl>
    <w:p w:rsidR="00C01EB9" w:rsidRDefault="001508F1"/>
    <w:sectPr w:rsidR="00C01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154"/>
    <w:multiLevelType w:val="hybridMultilevel"/>
    <w:tmpl w:val="E3FE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1F"/>
    <w:rsid w:val="00081D4F"/>
    <w:rsid w:val="000A0FB8"/>
    <w:rsid w:val="000D3B0E"/>
    <w:rsid w:val="001055C9"/>
    <w:rsid w:val="00110785"/>
    <w:rsid w:val="00113A5A"/>
    <w:rsid w:val="001158D6"/>
    <w:rsid w:val="001508F1"/>
    <w:rsid w:val="00151DAD"/>
    <w:rsid w:val="00175CCC"/>
    <w:rsid w:val="00195A57"/>
    <w:rsid w:val="001B3ACF"/>
    <w:rsid w:val="001E1363"/>
    <w:rsid w:val="0024116C"/>
    <w:rsid w:val="00266429"/>
    <w:rsid w:val="0028032D"/>
    <w:rsid w:val="00283878"/>
    <w:rsid w:val="002D067B"/>
    <w:rsid w:val="002D5CBA"/>
    <w:rsid w:val="00313E24"/>
    <w:rsid w:val="003D5E74"/>
    <w:rsid w:val="004B7DAA"/>
    <w:rsid w:val="004D2559"/>
    <w:rsid w:val="004D5764"/>
    <w:rsid w:val="004F71C4"/>
    <w:rsid w:val="005279B3"/>
    <w:rsid w:val="00582143"/>
    <w:rsid w:val="005D565F"/>
    <w:rsid w:val="00602D66"/>
    <w:rsid w:val="0063166E"/>
    <w:rsid w:val="006D2C60"/>
    <w:rsid w:val="006F46C5"/>
    <w:rsid w:val="0075318E"/>
    <w:rsid w:val="007D4472"/>
    <w:rsid w:val="007F2F41"/>
    <w:rsid w:val="00850730"/>
    <w:rsid w:val="008C5B01"/>
    <w:rsid w:val="008D4446"/>
    <w:rsid w:val="008E036C"/>
    <w:rsid w:val="0092666B"/>
    <w:rsid w:val="009730CB"/>
    <w:rsid w:val="00991765"/>
    <w:rsid w:val="00A264D1"/>
    <w:rsid w:val="00A2711F"/>
    <w:rsid w:val="00A32794"/>
    <w:rsid w:val="00A37DA8"/>
    <w:rsid w:val="00A81B0A"/>
    <w:rsid w:val="00B24B19"/>
    <w:rsid w:val="00B252A3"/>
    <w:rsid w:val="00B27F1A"/>
    <w:rsid w:val="00B540E9"/>
    <w:rsid w:val="00C035BE"/>
    <w:rsid w:val="00C37017"/>
    <w:rsid w:val="00C41F6A"/>
    <w:rsid w:val="00C62892"/>
    <w:rsid w:val="00CC2CB5"/>
    <w:rsid w:val="00D70D07"/>
    <w:rsid w:val="00D953C7"/>
    <w:rsid w:val="00DC58BB"/>
    <w:rsid w:val="00DC6AE4"/>
    <w:rsid w:val="00DC7E5B"/>
    <w:rsid w:val="00E2044C"/>
    <w:rsid w:val="00E468D4"/>
    <w:rsid w:val="00E94A08"/>
    <w:rsid w:val="00EF67CF"/>
    <w:rsid w:val="00F71B94"/>
    <w:rsid w:val="00F734CA"/>
    <w:rsid w:val="00F81EF4"/>
    <w:rsid w:val="00F82E6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DC9"/>
  <w15:chartTrackingRefBased/>
  <w15:docId w15:val="{31E2C7E5-F160-4432-9592-BE5103B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Dawson</dc:creator>
  <cp:keywords/>
  <dc:description/>
  <cp:lastModifiedBy>Will Wilson</cp:lastModifiedBy>
  <cp:revision>55</cp:revision>
  <dcterms:created xsi:type="dcterms:W3CDTF">2019-07-26T07:56:00Z</dcterms:created>
  <dcterms:modified xsi:type="dcterms:W3CDTF">2019-09-27T11:12:00Z</dcterms:modified>
</cp:coreProperties>
</file>