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1CFC2" w14:textId="77777777" w:rsidR="007A40E4" w:rsidRDefault="007A40E4" w:rsidP="007A40E4">
      <w:pPr>
        <w:spacing w:before="360" w:after="80" w:line="240" w:lineRule="auto"/>
        <w:outlineLvl w:val="1"/>
        <w:rPr>
          <w:rFonts w:ascii="Arial" w:eastAsia="Times New Roman" w:hAnsi="Arial" w:cs="Arial"/>
          <w:b/>
          <w:bCs/>
          <w:sz w:val="24"/>
          <w:szCs w:val="24"/>
        </w:rPr>
      </w:pPr>
      <w:r>
        <w:rPr>
          <w:rFonts w:ascii="Arial" w:eastAsia="Times New Roman" w:hAnsi="Arial" w:cs="Arial"/>
          <w:b/>
          <w:bCs/>
          <w:sz w:val="24"/>
          <w:szCs w:val="24"/>
        </w:rPr>
        <w:t>Illness, Incubation &amp; Exclusion Standard Guidelines</w:t>
      </w:r>
    </w:p>
    <w:p w14:paraId="05CC4229" w14:textId="77777777" w:rsidR="007A40E4" w:rsidRDefault="007A40E4" w:rsidP="007A40E4">
      <w:pPr>
        <w:spacing w:after="0" w:line="240" w:lineRule="auto"/>
        <w:rPr>
          <w:rFonts w:ascii="Arial" w:eastAsia="Times New Roman" w:hAnsi="Arial" w:cs="Arial"/>
          <w:sz w:val="24"/>
          <w:szCs w:val="24"/>
        </w:rPr>
      </w:pPr>
      <w:r>
        <w:rPr>
          <w:rFonts w:ascii="Arial" w:eastAsia="Times New Roman" w:hAnsi="Arial" w:cs="Arial"/>
          <w:sz w:val="24"/>
          <w:szCs w:val="24"/>
        </w:rPr>
        <w:t>This policy outlines symptoms, incubation periods, and center return requirements for childhood illnesses to ensure a healthy and safe environment for all children and staff members.</w:t>
      </w:r>
    </w:p>
    <w:p w14:paraId="0812DBF7" w14:textId="77777777" w:rsidR="007A40E4" w:rsidRDefault="007A40E4" w:rsidP="007A40E4">
      <w:pPr>
        <w:spacing w:after="0" w:line="240" w:lineRule="auto"/>
        <w:rPr>
          <w:rFonts w:ascii="Arial" w:eastAsia="Times New Roman" w:hAnsi="Arial" w:cs="Arial"/>
          <w:sz w:val="24"/>
          <w:szCs w:val="24"/>
        </w:rPr>
      </w:pPr>
    </w:p>
    <w:tbl>
      <w:tblPr>
        <w:tblW w:w="0" w:type="auto"/>
        <w:tblLook w:val="04A0" w:firstRow="1" w:lastRow="0" w:firstColumn="1" w:lastColumn="0" w:noHBand="0" w:noVBand="1"/>
      </w:tblPr>
      <w:tblGrid>
        <w:gridCol w:w="2029"/>
        <w:gridCol w:w="3198"/>
        <w:gridCol w:w="1685"/>
        <w:gridCol w:w="2448"/>
      </w:tblGrid>
      <w:tr w:rsidR="007A40E4" w14:paraId="77F9EEFA" w14:textId="77777777">
        <w:trPr>
          <w:tblHeader/>
        </w:trPr>
        <w:tc>
          <w:tcPr>
            <w:tcW w:w="0" w:type="auto"/>
            <w:tcBorders>
              <w:top w:val="single" w:sz="8" w:space="0" w:color="E2E8F0"/>
              <w:left w:val="nil"/>
              <w:bottom w:val="single" w:sz="8" w:space="0" w:color="F1F5F9"/>
              <w:right w:val="nil"/>
            </w:tcBorders>
            <w:shd w:val="clear" w:color="auto" w:fill="EFF6FF"/>
            <w:tcMar>
              <w:top w:w="120" w:type="dxa"/>
              <w:left w:w="160" w:type="dxa"/>
              <w:bottom w:w="120" w:type="dxa"/>
              <w:right w:w="160" w:type="dxa"/>
            </w:tcMar>
            <w:vAlign w:val="bottom"/>
            <w:hideMark/>
          </w:tcPr>
          <w:p w14:paraId="568D47A1" w14:textId="77777777" w:rsidR="007A40E4" w:rsidRDefault="007A40E4">
            <w:pPr>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Illness</w:t>
            </w:r>
          </w:p>
        </w:tc>
        <w:tc>
          <w:tcPr>
            <w:tcW w:w="0" w:type="auto"/>
            <w:tcBorders>
              <w:top w:val="single" w:sz="8" w:space="0" w:color="E2E8F0"/>
              <w:left w:val="nil"/>
              <w:bottom w:val="single" w:sz="8" w:space="0" w:color="F1F5F9"/>
              <w:right w:val="nil"/>
            </w:tcBorders>
            <w:shd w:val="clear" w:color="auto" w:fill="EFF6FF"/>
            <w:tcMar>
              <w:top w:w="120" w:type="dxa"/>
              <w:left w:w="160" w:type="dxa"/>
              <w:bottom w:w="120" w:type="dxa"/>
              <w:right w:w="160" w:type="dxa"/>
            </w:tcMar>
            <w:vAlign w:val="bottom"/>
            <w:hideMark/>
          </w:tcPr>
          <w:p w14:paraId="0501CE79" w14:textId="77777777" w:rsidR="007A40E4" w:rsidRDefault="007A40E4">
            <w:pPr>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Symptoms</w:t>
            </w:r>
          </w:p>
        </w:tc>
        <w:tc>
          <w:tcPr>
            <w:tcW w:w="0" w:type="auto"/>
            <w:tcBorders>
              <w:top w:val="single" w:sz="8" w:space="0" w:color="E2E8F0"/>
              <w:left w:val="nil"/>
              <w:bottom w:val="single" w:sz="8" w:space="0" w:color="F1F5F9"/>
              <w:right w:val="nil"/>
            </w:tcBorders>
            <w:shd w:val="clear" w:color="auto" w:fill="EFF6FF"/>
            <w:tcMar>
              <w:top w:w="120" w:type="dxa"/>
              <w:left w:w="160" w:type="dxa"/>
              <w:bottom w:w="120" w:type="dxa"/>
              <w:right w:w="160" w:type="dxa"/>
            </w:tcMar>
            <w:vAlign w:val="bottom"/>
            <w:hideMark/>
          </w:tcPr>
          <w:p w14:paraId="315AA969" w14:textId="77777777" w:rsidR="007A40E4" w:rsidRDefault="007A40E4">
            <w:pPr>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Incubation Period</w:t>
            </w:r>
          </w:p>
        </w:tc>
        <w:tc>
          <w:tcPr>
            <w:tcW w:w="0" w:type="auto"/>
            <w:tcBorders>
              <w:top w:val="single" w:sz="8" w:space="0" w:color="E2E8F0"/>
              <w:left w:val="nil"/>
              <w:bottom w:val="single" w:sz="8" w:space="0" w:color="F1F5F9"/>
              <w:right w:val="nil"/>
            </w:tcBorders>
            <w:shd w:val="clear" w:color="auto" w:fill="EFF6FF"/>
            <w:tcMar>
              <w:top w:w="120" w:type="dxa"/>
              <w:left w:w="160" w:type="dxa"/>
              <w:bottom w:w="120" w:type="dxa"/>
              <w:right w:w="160" w:type="dxa"/>
            </w:tcMar>
            <w:vAlign w:val="bottom"/>
            <w:hideMark/>
          </w:tcPr>
          <w:p w14:paraId="7E21F67C" w14:textId="77777777" w:rsidR="007A40E4" w:rsidRDefault="007A40E4">
            <w:pPr>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Center Requires That:</w:t>
            </w:r>
          </w:p>
        </w:tc>
      </w:tr>
      <w:tr w:rsidR="007A40E4" w14:paraId="05AE4088"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4A51D771"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Chickenpox</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40C2F62C"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Slight fever; blistered, fluid-filled sores that will dry and scab</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26AD3F3"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2-3 weeks after exposure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751BC37"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be out of school for ten (10) calendar days</w:t>
            </w:r>
          </w:p>
        </w:tc>
      </w:tr>
      <w:tr w:rsidR="007A40E4" w14:paraId="27B37D7D"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8EE5DE1"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Mumps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3B942441"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Fever, tenderness, and swelling of one or more salivary glands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3D3FAF33"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12-25 days after exposure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4F310C58"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be out of school for ten (10) calendar days</w:t>
            </w:r>
          </w:p>
        </w:tc>
      </w:tr>
      <w:tr w:rsidR="007A40E4" w14:paraId="7D21D026"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BE1DF01"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Scarlet Fever</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33504DB"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Fever, sore throat, tonsillitis, strawberry tongue, fine rash on body</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7407F0B7"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1-3 days after exposure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6FAA8E4B"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have a doctor's release to return to school</w:t>
            </w:r>
          </w:p>
        </w:tc>
      </w:tr>
      <w:tr w:rsidR="007A40E4" w14:paraId="1078D229"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53B3A38"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Measles, Rubeola</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C3525ED"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Mild fever, rash, runny nose, watery eyes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3DFCB5B0"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14-23 days after exposure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2D2EA72"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be out of school for five (5) calendar days</w:t>
            </w:r>
          </w:p>
        </w:tc>
      </w:tr>
      <w:tr w:rsidR="007A40E4" w14:paraId="0BE69403"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62331F6"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Measles, Rubeola</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F404D49"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Fever, cough, runny nose, and eyes dusky, red blotchy rash beginning on face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30E1B5B9"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10-18 days after exposure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5E0549A1"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be out of school for ten (10) calendar days</w:t>
            </w:r>
          </w:p>
        </w:tc>
      </w:tr>
      <w:tr w:rsidR="007A40E4" w14:paraId="1499A7F3"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7C8E77F"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Infectious Hepatitis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6165B3A6"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Fever, loss of appetite, nausea, vomiting, headache, abdominal pain, malaise (does not feel well)</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5A9D035"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15-50 days after exposure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EA5401F"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have a doctor's release to return to school</w:t>
            </w:r>
          </w:p>
        </w:tc>
      </w:tr>
      <w:tr w:rsidR="007A40E4" w14:paraId="724643A3"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65CCE214"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Strep throat</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009FA14"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Sore throat, abdominal pain, headache, vomiting, fever</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9CB7875"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1-3 days after exposure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DD8D3E8"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have a doctor's release to return to school</w:t>
            </w:r>
          </w:p>
        </w:tc>
      </w:tr>
      <w:tr w:rsidR="007A40E4" w14:paraId="08FF27AA"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C9DC279"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lastRenderedPageBreak/>
              <w:t xml:space="preserve"> Fifth Disease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B3A51FC"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A rash appears on the face; the face has a "slapped cheek" appearance, red eruption appears on the legs, feet, arms and hands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767E29A"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4-20 days after exposure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576CEE4F"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have a doctor's release to return to school</w:t>
            </w:r>
          </w:p>
        </w:tc>
      </w:tr>
      <w:tr w:rsidR="007A40E4" w14:paraId="0BA9E65D"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3FA16BDD"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Hand, Foot &amp; Mouth Disease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EB3E596"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Fever, sore throat, lesions inside the mouth, eruptions on palms and soles, malaise (does not feel well)</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467B7F56"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3-6 days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AD0E9E6"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have a doctor's release to return to school, all lesions must be gone, and the child must be fever-free for 24 hours.</w:t>
            </w:r>
          </w:p>
        </w:tc>
      </w:tr>
      <w:tr w:rsidR="007A40E4" w14:paraId="12D14E89"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FF72E0B"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Pertussis (Whooping Cough)</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8AE0E93"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Persistent cough. Especially a whoop on breathing in before coughing and vomiting</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6871E82E"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8-20 days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74E51130"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may return to school after 5 days on antibiotics</w:t>
            </w:r>
          </w:p>
        </w:tc>
      </w:tr>
      <w:tr w:rsidR="007A40E4" w14:paraId="37B94A3F"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2BE870F"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Covid 19</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62500125"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Fever over 100.4, cough, shortness of breath or trouble breathing, chills or body aches, sore throat, headache, diarrhea, nausea/vomiting, new loss of taste and smell</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3248D936"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Indirect exposure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FC1C542"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Children must quarantine for 10 days. May return with no symptoms</w:t>
            </w:r>
          </w:p>
        </w:tc>
      </w:tr>
      <w:tr w:rsidR="007A40E4" w14:paraId="6C7B8E33"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5A62217C"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Impetigo</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1AB80A5"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Infections of the skin forming crusty sores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B72F151"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2-5 days and as long as 10 days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73A06CD1"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have a doctor's release to return to school</w:t>
            </w:r>
          </w:p>
        </w:tc>
      </w:tr>
      <w:tr w:rsidR="007A40E4" w14:paraId="4F3F58AA"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5B0B3988"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Ringworm</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58AAEBC0"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Infection of the scalp, skin, and nails forming an oval-shaped rash; the circular border is raised, dry, and crusty</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3022FA52"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4 days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48E9DFE6"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 xml:space="preserve">Your child may return to school after treatment has been initiated and the area is covered. Your child must </w:t>
            </w:r>
            <w:r>
              <w:rPr>
                <w:rFonts w:ascii="Arial" w:eastAsia="Times New Roman" w:hAnsi="Arial" w:cs="Arial"/>
                <w:sz w:val="24"/>
                <w:szCs w:val="24"/>
              </w:rPr>
              <w:lastRenderedPageBreak/>
              <w:t>have a doctor's release to return to school.</w:t>
            </w:r>
          </w:p>
        </w:tc>
      </w:tr>
      <w:tr w:rsidR="007A40E4" w14:paraId="5D62282D"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4C3950FE"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lastRenderedPageBreak/>
              <w:t xml:space="preserve"> Scabies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4DE4F4F1"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Raised lines or fine red rash on different areas of the body with severe itching</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6395A521"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2-6 weeks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7EECCC2F"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have a doctor's release to return to school</w:t>
            </w:r>
          </w:p>
        </w:tc>
      </w:tr>
      <w:tr w:rsidR="007A40E4" w14:paraId="0AC34FDB"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9AC1EFE"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Head Lice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7B2DA52D"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Small insects and white nits are visible on the hair shaft, itching of the scalp, more noticeable at the base of the neck, behind ears, and hairline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2126A450"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1-2 weeks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627A595E"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 xml:space="preserve">Your child must have a doctor's release to return to school, saying the child is </w:t>
            </w:r>
            <w:proofErr w:type="spellStart"/>
            <w:r>
              <w:rPr>
                <w:rFonts w:ascii="Arial" w:eastAsia="Times New Roman" w:hAnsi="Arial" w:cs="Arial"/>
                <w:sz w:val="24"/>
                <w:szCs w:val="24"/>
              </w:rPr>
              <w:t>nit</w:t>
            </w:r>
            <w:proofErr w:type="spellEnd"/>
            <w:r>
              <w:rPr>
                <w:rFonts w:ascii="Arial" w:eastAsia="Times New Roman" w:hAnsi="Arial" w:cs="Arial"/>
                <w:sz w:val="24"/>
                <w:szCs w:val="24"/>
              </w:rPr>
              <w:t xml:space="preserve"> free</w:t>
            </w:r>
          </w:p>
        </w:tc>
      </w:tr>
      <w:tr w:rsidR="007A40E4" w14:paraId="6120FCF5" w14:textId="77777777">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01DB3CD5"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Conjunctivitis (Pink Eye)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52B97AAA"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Redness of the white portion of the eye, swelling of the eyelid, and a yellow discharge</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30A3A9F2"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1-3 days</w:t>
            </w:r>
          </w:p>
        </w:tc>
        <w:tc>
          <w:tcPr>
            <w:tcW w:w="0" w:type="auto"/>
            <w:tcBorders>
              <w:top w:val="single" w:sz="8" w:space="0" w:color="F1F5F9"/>
              <w:left w:val="nil"/>
              <w:bottom w:val="single" w:sz="8" w:space="0" w:color="F1F5F9"/>
              <w:right w:val="nil"/>
            </w:tcBorders>
            <w:shd w:val="clear" w:color="auto" w:fill="FFFFFF"/>
            <w:tcMar>
              <w:top w:w="120" w:type="dxa"/>
              <w:left w:w="160" w:type="dxa"/>
              <w:bottom w:w="120" w:type="dxa"/>
              <w:right w:w="160" w:type="dxa"/>
            </w:tcMar>
            <w:hideMark/>
          </w:tcPr>
          <w:p w14:paraId="11BB7FC2"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sz w:val="24"/>
                <w:szCs w:val="24"/>
              </w:rPr>
              <w:t>Your child must have a doctor's release to return to school</w:t>
            </w:r>
          </w:p>
        </w:tc>
      </w:tr>
      <w:tr w:rsidR="007A40E4" w14:paraId="406976C9" w14:textId="77777777">
        <w:tc>
          <w:tcPr>
            <w:tcW w:w="0" w:type="auto"/>
            <w:tcBorders>
              <w:top w:val="single" w:sz="8" w:space="0" w:color="F1F5F9"/>
              <w:left w:val="nil"/>
              <w:bottom w:val="single" w:sz="8" w:space="0" w:color="E2E8F0"/>
              <w:right w:val="nil"/>
            </w:tcBorders>
            <w:shd w:val="clear" w:color="auto" w:fill="FFFFFF"/>
            <w:tcMar>
              <w:top w:w="120" w:type="dxa"/>
              <w:left w:w="160" w:type="dxa"/>
              <w:bottom w:w="120" w:type="dxa"/>
              <w:right w:w="160" w:type="dxa"/>
            </w:tcMar>
            <w:hideMark/>
          </w:tcPr>
          <w:p w14:paraId="499527C8" w14:textId="77777777" w:rsidR="007A40E4" w:rsidRDefault="007A40E4">
            <w:pPr>
              <w:spacing w:after="0" w:line="240" w:lineRule="auto"/>
              <w:rPr>
                <w:rFonts w:ascii="Arial" w:eastAsia="Times New Roman" w:hAnsi="Arial" w:cs="Arial"/>
                <w:sz w:val="24"/>
                <w:szCs w:val="24"/>
              </w:rPr>
            </w:pPr>
            <w:r>
              <w:rPr>
                <w:rFonts w:ascii="Arial" w:eastAsia="Times New Roman" w:hAnsi="Arial" w:cs="Arial"/>
                <w:b/>
                <w:bCs/>
                <w:sz w:val="24"/>
                <w:szCs w:val="24"/>
              </w:rPr>
              <w:t xml:space="preserve"> Other</w:t>
            </w:r>
          </w:p>
        </w:tc>
        <w:tc>
          <w:tcPr>
            <w:tcW w:w="0" w:type="auto"/>
            <w:tcBorders>
              <w:top w:val="single" w:sz="8" w:space="0" w:color="F1F5F9"/>
              <w:left w:val="nil"/>
              <w:bottom w:val="single" w:sz="8" w:space="0" w:color="E2E8F0"/>
              <w:right w:val="nil"/>
            </w:tcBorders>
            <w:shd w:val="clear" w:color="auto" w:fill="FFFFFF"/>
            <w:tcMar>
              <w:top w:w="120" w:type="dxa"/>
              <w:left w:w="160" w:type="dxa"/>
              <w:bottom w:w="120" w:type="dxa"/>
              <w:right w:w="160" w:type="dxa"/>
            </w:tcMar>
            <w:hideMark/>
          </w:tcPr>
          <w:p w14:paraId="7A240941" w14:textId="77777777" w:rsidR="007A40E4" w:rsidRDefault="007A40E4">
            <w:pPr>
              <w:rPr>
                <w:rFonts w:ascii="Arial" w:eastAsia="Times New Roman" w:hAnsi="Arial" w:cs="Arial"/>
                <w:sz w:val="24"/>
                <w:szCs w:val="24"/>
              </w:rPr>
            </w:pPr>
          </w:p>
        </w:tc>
        <w:tc>
          <w:tcPr>
            <w:tcW w:w="0" w:type="auto"/>
            <w:tcBorders>
              <w:top w:val="single" w:sz="8" w:space="0" w:color="F1F5F9"/>
              <w:left w:val="nil"/>
              <w:bottom w:val="single" w:sz="8" w:space="0" w:color="E2E8F0"/>
              <w:right w:val="nil"/>
            </w:tcBorders>
            <w:shd w:val="clear" w:color="auto" w:fill="FFFFFF"/>
            <w:tcMar>
              <w:top w:w="120" w:type="dxa"/>
              <w:left w:w="160" w:type="dxa"/>
              <w:bottom w:w="120" w:type="dxa"/>
              <w:right w:w="160" w:type="dxa"/>
            </w:tcMar>
            <w:hideMark/>
          </w:tcPr>
          <w:p w14:paraId="53840E81" w14:textId="77777777" w:rsidR="007A40E4" w:rsidRDefault="007A40E4">
            <w:pPr>
              <w:spacing w:after="0"/>
              <w:rPr>
                <w:sz w:val="20"/>
                <w:szCs w:val="20"/>
              </w:rPr>
            </w:pPr>
          </w:p>
        </w:tc>
        <w:tc>
          <w:tcPr>
            <w:tcW w:w="0" w:type="auto"/>
            <w:tcBorders>
              <w:top w:val="single" w:sz="8" w:space="0" w:color="F1F5F9"/>
              <w:left w:val="nil"/>
              <w:bottom w:val="single" w:sz="8" w:space="0" w:color="E2E8F0"/>
              <w:right w:val="nil"/>
            </w:tcBorders>
            <w:shd w:val="clear" w:color="auto" w:fill="FFFFFF"/>
            <w:tcMar>
              <w:top w:w="120" w:type="dxa"/>
              <w:left w:w="160" w:type="dxa"/>
              <w:bottom w:w="120" w:type="dxa"/>
              <w:right w:w="160" w:type="dxa"/>
            </w:tcMar>
            <w:hideMark/>
          </w:tcPr>
          <w:p w14:paraId="0C2D4980" w14:textId="77777777" w:rsidR="007A40E4" w:rsidRDefault="007A40E4">
            <w:pPr>
              <w:spacing w:after="0"/>
              <w:rPr>
                <w:sz w:val="20"/>
                <w:szCs w:val="20"/>
              </w:rPr>
            </w:pPr>
          </w:p>
        </w:tc>
      </w:tr>
    </w:tbl>
    <w:p w14:paraId="28FEDB35" w14:textId="77777777" w:rsidR="007A40E4" w:rsidRDefault="007A40E4" w:rsidP="007A40E4">
      <w:pPr>
        <w:spacing w:after="0" w:line="240" w:lineRule="auto"/>
        <w:rPr>
          <w:rFonts w:ascii="Arial" w:eastAsia="Times New Roman" w:hAnsi="Arial" w:cs="Arial"/>
          <w:sz w:val="24"/>
          <w:szCs w:val="24"/>
        </w:rPr>
      </w:pPr>
    </w:p>
    <w:p w14:paraId="542C4018" w14:textId="77777777" w:rsidR="007A40E4" w:rsidRDefault="007A40E4" w:rsidP="007A40E4">
      <w:pPr>
        <w:spacing w:after="0" w:line="240" w:lineRule="auto"/>
        <w:rPr>
          <w:rFonts w:ascii="Arial" w:eastAsia="Times New Roman" w:hAnsi="Arial" w:cs="Arial"/>
          <w:sz w:val="24"/>
          <w:szCs w:val="24"/>
        </w:rPr>
      </w:pPr>
      <w:r>
        <w:rPr>
          <w:rFonts w:ascii="Arial" w:eastAsia="Times New Roman" w:hAnsi="Arial" w:cs="Arial"/>
          <w:i/>
          <w:iCs/>
          <w:sz w:val="24"/>
          <w:szCs w:val="24"/>
        </w:rPr>
        <w:t>Note: The information has been taken from the San Bernardino County Health Department Handbook for Day Care Programs and the American Academy of Pediatrics Management of Infections in Day Care Center. If your child develops any of these symptoms of the indicated illness or disease, it is recommended that you consult your family physician concerning preventative measures and treatment.</w:t>
      </w:r>
    </w:p>
    <w:p w14:paraId="40A3A944" w14:textId="77777777" w:rsidR="007A40E4" w:rsidRDefault="007A40E4" w:rsidP="007A40E4">
      <w:pPr>
        <w:rPr>
          <w:rFonts w:ascii="Arial" w:hAnsi="Arial" w:cs="Arial"/>
          <w:b/>
          <w:sz w:val="24"/>
          <w:szCs w:val="24"/>
        </w:rPr>
      </w:pPr>
    </w:p>
    <w:p w14:paraId="19B3DA92" w14:textId="27B2E1E5" w:rsidR="0036559F" w:rsidRPr="007A40E4" w:rsidRDefault="0036559F" w:rsidP="007A40E4"/>
    <w:sectPr w:rsidR="0036559F" w:rsidRPr="007A40E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EAE09" w14:textId="77777777" w:rsidR="00202D9D" w:rsidRDefault="00202D9D" w:rsidP="007A40E4">
      <w:pPr>
        <w:spacing w:after="0" w:line="240" w:lineRule="auto"/>
      </w:pPr>
      <w:r>
        <w:separator/>
      </w:r>
    </w:p>
  </w:endnote>
  <w:endnote w:type="continuationSeparator" w:id="0">
    <w:p w14:paraId="7A6F6A05" w14:textId="77777777" w:rsidR="00202D9D" w:rsidRDefault="00202D9D" w:rsidP="007A4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19C2" w14:textId="77777777" w:rsidR="00FF23F0" w:rsidRDefault="00FF2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A4FB" w14:textId="77777777" w:rsidR="00FF23F0" w:rsidRDefault="00FF23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4065" w14:textId="77777777" w:rsidR="00FF23F0" w:rsidRDefault="00FF2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356EA" w14:textId="77777777" w:rsidR="00202D9D" w:rsidRDefault="00202D9D" w:rsidP="007A40E4">
      <w:pPr>
        <w:spacing w:after="0" w:line="240" w:lineRule="auto"/>
      </w:pPr>
      <w:r>
        <w:separator/>
      </w:r>
    </w:p>
  </w:footnote>
  <w:footnote w:type="continuationSeparator" w:id="0">
    <w:p w14:paraId="59CD9E30" w14:textId="77777777" w:rsidR="00202D9D" w:rsidRDefault="00202D9D" w:rsidP="007A4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E7FB" w14:textId="77777777" w:rsidR="00FF23F0" w:rsidRDefault="00FF23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4DE8" w14:textId="4F2F79DB" w:rsidR="007A40E4" w:rsidRDefault="000C4C3B" w:rsidP="000C4C3B">
    <w:pPr>
      <w:spacing w:before="480" w:after="120" w:line="240" w:lineRule="auto"/>
      <w:rPr>
        <w:rFonts w:ascii="Times New Roman" w:eastAsia="Times New Roman" w:hAnsi="Times New Roman" w:cs="Times New Roman"/>
        <w:sz w:val="24"/>
        <w:szCs w:val="24"/>
      </w:rPr>
    </w:pPr>
    <w:r>
      <w:rPr>
        <w:rFonts w:ascii="Nunito" w:eastAsia="Times New Roman" w:hAnsi="Nunito" w:cs="Times New Roman"/>
        <w:b/>
        <w:bCs/>
        <w:noProof/>
        <w:sz w:val="36"/>
        <w:szCs w:val="36"/>
      </w:rPr>
      <w:drawing>
        <wp:anchor distT="0" distB="0" distL="114300" distR="114300" simplePos="0" relativeHeight="251658240" behindDoc="0" locked="0" layoutInCell="1" allowOverlap="1" wp14:anchorId="21E61DA7" wp14:editId="71032DD6">
          <wp:simplePos x="0" y="0"/>
          <wp:positionH relativeFrom="margin">
            <wp:align>left</wp:align>
          </wp:positionH>
          <wp:positionV relativeFrom="paragraph">
            <wp:posOffset>58644</wp:posOffset>
          </wp:positionV>
          <wp:extent cx="1226372" cy="539573"/>
          <wp:effectExtent l="0" t="0" r="0" b="0"/>
          <wp:wrapSquare wrapText="bothSides"/>
          <wp:docPr id="1344786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372" cy="539573"/>
                  </a:xfrm>
                  <a:prstGeom prst="rect">
                    <a:avLst/>
                  </a:prstGeom>
                  <a:noFill/>
                </pic:spPr>
              </pic:pic>
            </a:graphicData>
          </a:graphic>
        </wp:anchor>
      </w:drawing>
    </w:r>
    <w:r>
      <w:rPr>
        <w:rFonts w:ascii="Nunito" w:eastAsia="Times New Roman" w:hAnsi="Nunito" w:cs="Times New Roman"/>
        <w:b/>
        <w:bCs/>
        <w:sz w:val="36"/>
        <w:szCs w:val="36"/>
      </w:rPr>
      <w:t xml:space="preserve">  </w:t>
    </w:r>
    <w:r w:rsidR="007A40E4">
      <w:rPr>
        <w:rFonts w:ascii="Nunito" w:eastAsia="Times New Roman" w:hAnsi="Nunito" w:cs="Times New Roman"/>
        <w:b/>
        <w:bCs/>
        <w:sz w:val="36"/>
        <w:szCs w:val="36"/>
      </w:rPr>
      <w:t>Illness &amp; Exclusion Policy Guide</w:t>
    </w:r>
  </w:p>
  <w:p w14:paraId="3087D6F6" w14:textId="77777777" w:rsidR="007A40E4" w:rsidRDefault="007A4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CC94" w14:textId="77777777" w:rsidR="00FF23F0" w:rsidRDefault="00FF2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30E"/>
    <w:multiLevelType w:val="hybridMultilevel"/>
    <w:tmpl w:val="4B68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454B2"/>
    <w:multiLevelType w:val="hybridMultilevel"/>
    <w:tmpl w:val="7BB2F18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6C4A2C27"/>
    <w:multiLevelType w:val="hybridMultilevel"/>
    <w:tmpl w:val="233AC7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05411C6"/>
    <w:multiLevelType w:val="hybridMultilevel"/>
    <w:tmpl w:val="27E28F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0583292">
    <w:abstractNumId w:val="0"/>
  </w:num>
  <w:num w:numId="2" w16cid:durableId="1156065311">
    <w:abstractNumId w:val="2"/>
  </w:num>
  <w:num w:numId="3" w16cid:durableId="1919097514">
    <w:abstractNumId w:val="1"/>
  </w:num>
  <w:num w:numId="4" w16cid:durableId="535778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3D"/>
    <w:rsid w:val="000C4C3B"/>
    <w:rsid w:val="00202D9D"/>
    <w:rsid w:val="002106C7"/>
    <w:rsid w:val="0036559F"/>
    <w:rsid w:val="007A40E4"/>
    <w:rsid w:val="00AB6F3D"/>
    <w:rsid w:val="00B82BB9"/>
    <w:rsid w:val="00FF2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77DF2"/>
  <w15:chartTrackingRefBased/>
  <w15:docId w15:val="{5E8B70B2-3CB8-49AB-BEFB-FBABA7DEC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6F3D"/>
    <w:pPr>
      <w:ind w:left="720"/>
      <w:contextualSpacing/>
    </w:pPr>
  </w:style>
  <w:style w:type="paragraph" w:styleId="Header">
    <w:name w:val="header"/>
    <w:basedOn w:val="Normal"/>
    <w:link w:val="HeaderChar"/>
    <w:uiPriority w:val="99"/>
    <w:unhideWhenUsed/>
    <w:rsid w:val="007A4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0E4"/>
  </w:style>
  <w:style w:type="paragraph" w:styleId="Footer">
    <w:name w:val="footer"/>
    <w:basedOn w:val="Normal"/>
    <w:link w:val="FooterChar"/>
    <w:uiPriority w:val="99"/>
    <w:unhideWhenUsed/>
    <w:rsid w:val="007A4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Vinson</dc:creator>
  <cp:keywords/>
  <dc:description/>
  <cp:lastModifiedBy>Chelsea Vinson</cp:lastModifiedBy>
  <cp:revision>4</cp:revision>
  <dcterms:created xsi:type="dcterms:W3CDTF">2023-08-10T22:11:00Z</dcterms:created>
  <dcterms:modified xsi:type="dcterms:W3CDTF">2026-11-06T16:40:00Z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e9637a45-d01d-492a-a39b-3f2a8b4f0c95</vt:lpwstr>
  </property>
</Properties>
</file>