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7B2A" w14:textId="3DF7484F" w:rsidR="003078CC" w:rsidRPr="003078CC" w:rsidRDefault="003078CC" w:rsidP="00307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078C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Stakeholder </w:t>
      </w:r>
      <w:r w:rsidR="009F404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</w:t>
      </w:r>
      <w:r w:rsidRPr="003078C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ensions</w:t>
      </w:r>
    </w:p>
    <w:p w14:paraId="300BC50A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Stakeholder pensions were introduced from 6 April 2001 and employer arrangements had to be in place, where required, from 8 October 2001. A stakeholder pension is a type of personal pension and further information is given via the ‘Personal pension’ link in the Learning Centre. However, there are stricter compliance requirements for stakeholder pensions and a limit on charges which is lower than the cost of most other arrangements.</w:t>
      </w:r>
      <w:r w:rsidRPr="003078CC">
        <w:rPr>
          <w:rFonts w:ascii="Arial" w:eastAsia="Times New Roman" w:hAnsi="Arial" w:cs="Arial"/>
          <w:color w:val="000000"/>
          <w:lang w:eastAsia="en-GB"/>
        </w:rPr>
        <w:br/>
        <w:t>   </w:t>
      </w:r>
    </w:p>
    <w:p w14:paraId="4E92CEBF" w14:textId="48C52BC0" w:rsid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TPR and the FCA monitor compliance requirements.</w:t>
      </w:r>
    </w:p>
    <w:p w14:paraId="4F2C4721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112657A" w14:textId="70B1A9C8" w:rsid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Up until 1 October 2012, access to a stakeholder pension arrangement had to be offered by any employer with five or more staff, unless it offered an occupational scheme that satisfied certain minimum eligibility criteria, or a group personal pension which met certain standards. The requirement to provide access to a stakeholder pension arrangement was abolished when automatic enrolment was introduced, although employers must continue to deduct and pay across contributions for existing members of a stakeholder scheme.</w:t>
      </w:r>
    </w:p>
    <w:p w14:paraId="6ACB53F7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69CBEF55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Before 6 April 2006, tax relief on contributions to a personal pension was limited to a percentage of qualifying earnings. However, when stakeholder pensions were introduced, contributions could be paid up to £3,600 each year without reference to earnings.</w:t>
      </w:r>
    </w:p>
    <w:p w14:paraId="4FA96D04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Employers are not obliged to contribute to stakeholder pension arrangements.</w:t>
      </w:r>
    </w:p>
    <w:p w14:paraId="31C803D4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 </w:t>
      </w:r>
    </w:p>
    <w:p w14:paraId="61479988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Employees can be members of both an occupational pension scheme and have a stakeholder pension at the same time (concurrent membership).</w:t>
      </w:r>
    </w:p>
    <w:p w14:paraId="12D9D51E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 </w:t>
      </w:r>
    </w:p>
    <w:p w14:paraId="49D1AA27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Management charges under a stakeholder scheme are restricted to 1.5% during the plan’s first ten years of existence and 1% p.a. thereafter.</w:t>
      </w:r>
    </w:p>
    <w:p w14:paraId="0B79743C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 </w:t>
      </w:r>
    </w:p>
    <w:p w14:paraId="4D6CE203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Although the trustees or scheme managers determine the range of investment options, they must set a suitable ‘default’ investment option for members who were unable or unwilling to make an investment decision. </w:t>
      </w:r>
    </w:p>
    <w:p w14:paraId="65275A1D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 </w:t>
      </w:r>
    </w:p>
    <w:p w14:paraId="31B90040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t>This ‘default’ fund must offer a ‘lifestyled’ investment switch so that members’ investments are moved into less volatile asset classes as they approach their chosen retirement age, but only for new members from 6 April 2005.</w:t>
      </w:r>
    </w:p>
    <w:p w14:paraId="214B5871" w14:textId="77777777" w:rsidR="003078CC" w:rsidRPr="003078CC" w:rsidRDefault="003078CC" w:rsidP="00307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078CC">
        <w:rPr>
          <w:rFonts w:ascii="Arial" w:eastAsia="Times New Roman" w:hAnsi="Arial" w:cs="Arial"/>
          <w:color w:val="000000"/>
          <w:lang w:eastAsia="en-GB"/>
        </w:rPr>
        <w:br/>
        <w:t>Stakeholder pension schemes can be used as qualifying pension schemes for automatic enrolment purposes.</w:t>
      </w:r>
    </w:p>
    <w:p w14:paraId="4E657440" w14:textId="77777777" w:rsidR="003078CC" w:rsidRDefault="003078CC"/>
    <w:sectPr w:rsidR="00307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CC"/>
    <w:rsid w:val="003078CC"/>
    <w:rsid w:val="009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8851"/>
  <w15:chartTrackingRefBased/>
  <w15:docId w15:val="{B3A6CE1D-0872-4698-A817-A168B13E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2</cp:revision>
  <dcterms:created xsi:type="dcterms:W3CDTF">2020-09-29T22:05:00Z</dcterms:created>
  <dcterms:modified xsi:type="dcterms:W3CDTF">2020-09-29T22:09:00Z</dcterms:modified>
</cp:coreProperties>
</file>