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C1" w:rsidRDefault="00294EED" w:rsidP="009D02E7">
      <w:pPr>
        <w:spacing w:after="0" w:line="240" w:lineRule="auto"/>
        <w:rPr>
          <w:b/>
          <w:sz w:val="32"/>
          <w:u w:val="single"/>
        </w:rPr>
      </w:pPr>
      <w:r w:rsidRPr="00294EED">
        <w:rPr>
          <w:b/>
          <w:sz w:val="32"/>
          <w:u w:val="single"/>
        </w:rPr>
        <w:t>Vision of Innocents</w:t>
      </w:r>
    </w:p>
    <w:p w:rsidR="009D02E7" w:rsidRDefault="009D02E7" w:rsidP="006447C0">
      <w:pPr>
        <w:spacing w:after="0" w:line="240" w:lineRule="auto"/>
        <w:rPr>
          <w:i/>
          <w:sz w:val="20"/>
          <w:szCs w:val="20"/>
        </w:rPr>
      </w:pPr>
      <w:r w:rsidRPr="009D02E7">
        <w:rPr>
          <w:b/>
          <w:sz w:val="24"/>
          <w:szCs w:val="24"/>
        </w:rPr>
        <w:t xml:space="preserve">NB </w:t>
      </w:r>
      <w:r w:rsidRPr="006447C0">
        <w:rPr>
          <w:b/>
          <w:i/>
          <w:sz w:val="20"/>
          <w:szCs w:val="20"/>
        </w:rPr>
        <w:t>This reading and defence was submitted in</w:t>
      </w:r>
      <w:r w:rsidRPr="006447C0">
        <w:rPr>
          <w:b/>
          <w:i/>
          <w:sz w:val="20"/>
          <w:szCs w:val="20"/>
          <w:u w:val="single"/>
        </w:rPr>
        <w:t xml:space="preserve"> </w:t>
      </w:r>
      <w:r w:rsidRPr="006447C0">
        <w:rPr>
          <w:b/>
          <w:i/>
          <w:sz w:val="20"/>
          <w:szCs w:val="20"/>
        </w:rPr>
        <w:t xml:space="preserve">2013 in response to previous syllabus. As the student understands the principles of reading and defence </w:t>
      </w:r>
      <w:r w:rsidR="006447C0">
        <w:rPr>
          <w:b/>
          <w:i/>
          <w:sz w:val="20"/>
          <w:szCs w:val="20"/>
        </w:rPr>
        <w:t xml:space="preserve">genres </w:t>
      </w:r>
      <w:r w:rsidRPr="006447C0">
        <w:rPr>
          <w:b/>
          <w:i/>
          <w:sz w:val="20"/>
          <w:szCs w:val="20"/>
        </w:rPr>
        <w:t>and is quite literate, she was awarded a VHA or A grade</w:t>
      </w:r>
      <w:r w:rsidR="006447C0">
        <w:rPr>
          <w:b/>
          <w:i/>
          <w:sz w:val="20"/>
          <w:szCs w:val="20"/>
        </w:rPr>
        <w:t>,</w:t>
      </w:r>
      <w:r w:rsidRPr="006447C0">
        <w:rPr>
          <w:b/>
          <w:i/>
          <w:sz w:val="20"/>
          <w:szCs w:val="20"/>
        </w:rPr>
        <w:t xml:space="preserve"> which was confirmed by panel. It seems that third person point of view is now preferred for</w:t>
      </w:r>
      <w:r w:rsidRPr="006447C0">
        <w:rPr>
          <w:b/>
          <w:i/>
          <w:sz w:val="24"/>
          <w:szCs w:val="24"/>
        </w:rPr>
        <w:t xml:space="preserve"> </w:t>
      </w:r>
      <w:r w:rsidRPr="006447C0">
        <w:rPr>
          <w:b/>
          <w:i/>
          <w:sz w:val="20"/>
          <w:szCs w:val="20"/>
        </w:rPr>
        <w:t>the reading as the audience is academic in new syllabus</w:t>
      </w:r>
      <w:r w:rsidR="006447C0" w:rsidRPr="006447C0">
        <w:rPr>
          <w:b/>
          <w:i/>
          <w:sz w:val="20"/>
          <w:szCs w:val="20"/>
        </w:rPr>
        <w:t xml:space="preserve"> assessment objectives and ISMGs</w:t>
      </w:r>
      <w:r w:rsidRPr="006447C0">
        <w:rPr>
          <w:b/>
          <w:i/>
          <w:sz w:val="20"/>
          <w:szCs w:val="20"/>
        </w:rPr>
        <w:t>.</w:t>
      </w:r>
      <w:r w:rsidRPr="006447C0">
        <w:rPr>
          <w:b/>
          <w:sz w:val="20"/>
          <w:szCs w:val="20"/>
        </w:rPr>
        <w:t xml:space="preserve">  </w:t>
      </w:r>
      <w:r w:rsidR="006447C0" w:rsidRPr="006447C0">
        <w:rPr>
          <w:b/>
          <w:i/>
          <w:sz w:val="20"/>
          <w:szCs w:val="20"/>
        </w:rPr>
        <w:t>The defence still requires a mixture of first and third person narration</w:t>
      </w:r>
      <w:r w:rsidR="006447C0">
        <w:rPr>
          <w:b/>
          <w:i/>
          <w:sz w:val="20"/>
          <w:szCs w:val="20"/>
        </w:rPr>
        <w:t xml:space="preserve"> to the best of my knowledge</w:t>
      </w:r>
      <w:r w:rsidR="006447C0" w:rsidRPr="006447C0">
        <w:rPr>
          <w:b/>
          <w:i/>
          <w:sz w:val="20"/>
          <w:szCs w:val="20"/>
        </w:rPr>
        <w:t>.</w:t>
      </w:r>
      <w:r w:rsidR="006447C0" w:rsidRPr="006447C0">
        <w:rPr>
          <w:i/>
          <w:sz w:val="20"/>
          <w:szCs w:val="20"/>
        </w:rPr>
        <w:t xml:space="preserve"> </w:t>
      </w:r>
      <w:r w:rsidR="006447C0">
        <w:rPr>
          <w:i/>
          <w:sz w:val="20"/>
          <w:szCs w:val="20"/>
        </w:rPr>
        <w:t xml:space="preserve">See QCAA exemplar response, if unsure. </w:t>
      </w:r>
    </w:p>
    <w:p w:rsidR="006447C0" w:rsidRPr="006447C0" w:rsidRDefault="006447C0" w:rsidP="006447C0">
      <w:pPr>
        <w:spacing w:after="0" w:line="240" w:lineRule="auto"/>
        <w:rPr>
          <w:i/>
          <w:sz w:val="20"/>
          <w:szCs w:val="20"/>
        </w:rPr>
      </w:pPr>
      <w:bookmarkStart w:id="0" w:name="_GoBack"/>
      <w:bookmarkEnd w:id="0"/>
    </w:p>
    <w:p w:rsidR="00FB1D6D" w:rsidRPr="00C211CC" w:rsidRDefault="00FF0033" w:rsidP="001D3DE8">
      <w:pPr>
        <w:spacing w:line="360" w:lineRule="auto"/>
      </w:pPr>
      <w:r w:rsidRPr="00C211CC">
        <w:t xml:space="preserve">I had been recommended </w:t>
      </w:r>
      <w:r w:rsidR="007B1B93" w:rsidRPr="00C211CC">
        <w:t xml:space="preserve">Henry James’ </w:t>
      </w:r>
      <w:r w:rsidR="00E85EF6" w:rsidRPr="00C211CC">
        <w:t>‘</w:t>
      </w:r>
      <w:r w:rsidR="00E85EF6" w:rsidRPr="00884960">
        <w:rPr>
          <w:i/>
        </w:rPr>
        <w:t>The Turn of the Screw’</w:t>
      </w:r>
      <w:r w:rsidR="008E4C5D" w:rsidRPr="00C211CC">
        <w:t xml:space="preserve"> </w:t>
      </w:r>
      <w:r w:rsidR="007B53CA" w:rsidRPr="00C211CC">
        <w:t xml:space="preserve">as a novel I would enjoy </w:t>
      </w:r>
      <w:r w:rsidRPr="00C211CC">
        <w:t xml:space="preserve">prior to this assessment and as such </w:t>
      </w:r>
      <w:r w:rsidR="007B53CA" w:rsidRPr="00C211CC">
        <w:t xml:space="preserve">I </w:t>
      </w:r>
      <w:r w:rsidRPr="00C211CC">
        <w:t xml:space="preserve">was already reading </w:t>
      </w:r>
      <w:r w:rsidR="007B53CA" w:rsidRPr="00C211CC">
        <w:t>it</w:t>
      </w:r>
      <w:r w:rsidRPr="00C211CC">
        <w:t xml:space="preserve"> </w:t>
      </w:r>
      <w:r w:rsidR="007B53CA" w:rsidRPr="00C211CC">
        <w:t>recreationally</w:t>
      </w:r>
      <w:r w:rsidRPr="00C211CC">
        <w:t xml:space="preserve">. I have a love of fantasy horror with strong heroines who are entrapped. </w:t>
      </w:r>
      <w:r w:rsidR="00E013B0" w:rsidRPr="00C211CC">
        <w:t>A</w:t>
      </w:r>
      <w:r w:rsidRPr="00C211CC">
        <w:t xml:space="preserve"> </w:t>
      </w:r>
      <w:r w:rsidR="006C2ADB" w:rsidRPr="00C211CC">
        <w:t xml:space="preserve">supernatural </w:t>
      </w:r>
      <w:r w:rsidR="00E013B0" w:rsidRPr="00C211CC">
        <w:t>edge</w:t>
      </w:r>
      <w:r w:rsidR="006C2ADB" w:rsidRPr="00C211CC">
        <w:t xml:space="preserve"> </w:t>
      </w:r>
      <w:r w:rsidR="00E013B0" w:rsidRPr="00C211CC">
        <w:t>piques my interest immediately a</w:t>
      </w:r>
      <w:r w:rsidR="00923A50" w:rsidRPr="00C211CC">
        <w:t>n</w:t>
      </w:r>
      <w:r w:rsidR="00E013B0" w:rsidRPr="00C211CC">
        <w:t>d b</w:t>
      </w:r>
      <w:r w:rsidRPr="00C211CC">
        <w:t xml:space="preserve">efore beginning the novel I was expecting a </w:t>
      </w:r>
      <w:r w:rsidR="00797D8D" w:rsidRPr="00C211CC">
        <w:t>typical gothic horro</w:t>
      </w:r>
      <w:r w:rsidR="00E013B0" w:rsidRPr="00C211CC">
        <w:t>r</w:t>
      </w:r>
      <w:r w:rsidR="00BD2644" w:rsidRPr="00C211CC">
        <w:t>.</w:t>
      </w:r>
      <w:r w:rsidR="00E013B0" w:rsidRPr="00C211CC">
        <w:t xml:space="preserve"> </w:t>
      </w:r>
      <w:r w:rsidR="00BD2644" w:rsidRPr="00C211CC">
        <w:t xml:space="preserve">The plot of </w:t>
      </w:r>
      <w:r w:rsidR="009313A4" w:rsidRPr="00C211CC">
        <w:t>‘</w:t>
      </w:r>
      <w:r w:rsidR="00E85EF6" w:rsidRPr="00884960">
        <w:rPr>
          <w:i/>
        </w:rPr>
        <w:t>The Turn of the Screw’</w:t>
      </w:r>
      <w:r w:rsidR="008E4C5D" w:rsidRPr="00C211CC">
        <w:t xml:space="preserve"> </w:t>
      </w:r>
      <w:r w:rsidR="000807F0" w:rsidRPr="00C211CC">
        <w:t xml:space="preserve">revolves around a young governess sent to live with two </w:t>
      </w:r>
      <w:r w:rsidR="004B0DA7" w:rsidRPr="00C211CC">
        <w:t xml:space="preserve">beatific </w:t>
      </w:r>
      <w:r w:rsidR="007D48D4" w:rsidRPr="00C211CC">
        <w:t>siblings, ten-year-old Miles and eight-year-old Flora</w:t>
      </w:r>
      <w:r w:rsidR="00A94602" w:rsidRPr="00C211CC">
        <w:t>,</w:t>
      </w:r>
      <w:r w:rsidR="004B0DA7" w:rsidRPr="00C211CC">
        <w:t xml:space="preserve"> at </w:t>
      </w:r>
      <w:r w:rsidR="007D48D4" w:rsidRPr="00C211CC">
        <w:t xml:space="preserve">a remote </w:t>
      </w:r>
      <w:r w:rsidR="009E4EE2" w:rsidRPr="00C211CC">
        <w:t>country estate; ho</w:t>
      </w:r>
      <w:r w:rsidR="00F477AF" w:rsidRPr="00C211CC">
        <w:t>wever</w:t>
      </w:r>
      <w:r w:rsidR="004B0DA7" w:rsidRPr="00C211CC">
        <w:t>,</w:t>
      </w:r>
      <w:r w:rsidR="00F477AF" w:rsidRPr="00C211CC">
        <w:t xml:space="preserve"> she quickly becomes aware of a malevolent </w:t>
      </w:r>
      <w:r w:rsidR="00BD2644" w:rsidRPr="00C211CC">
        <w:t>presence which</w:t>
      </w:r>
      <w:r w:rsidR="007D48D4" w:rsidRPr="00C211CC">
        <w:t xml:space="preserve"> materialises in </w:t>
      </w:r>
      <w:r w:rsidR="00B25B2C" w:rsidRPr="00C211CC">
        <w:t>th</w:t>
      </w:r>
      <w:r w:rsidR="002D41F8" w:rsidRPr="00C211CC">
        <w:t>e form of a male spectre, l</w:t>
      </w:r>
      <w:r w:rsidR="007D48D4" w:rsidRPr="00C211CC">
        <w:t>ater identified as</w:t>
      </w:r>
      <w:r w:rsidR="002D41F8" w:rsidRPr="00C211CC">
        <w:t xml:space="preserve"> Peter Quint, the valet</w:t>
      </w:r>
      <w:r w:rsidR="00BD2644" w:rsidRPr="00C211CC">
        <w:t>,</w:t>
      </w:r>
      <w:r w:rsidR="002D41F8" w:rsidRPr="00C211CC">
        <w:t xml:space="preserve"> who</w:t>
      </w:r>
      <w:r w:rsidR="004B0DA7" w:rsidRPr="00C211CC">
        <w:t xml:space="preserve"> </w:t>
      </w:r>
      <w:r w:rsidR="00B25B2C" w:rsidRPr="00C211CC">
        <w:t>was said to</w:t>
      </w:r>
      <w:r w:rsidR="004B0DA7" w:rsidRPr="00C211CC">
        <w:t xml:space="preserve"> have been </w:t>
      </w:r>
      <w:r w:rsidR="00884960">
        <w:t>“</w:t>
      </w:r>
      <w:r w:rsidR="00B25B2C" w:rsidRPr="00C211CC">
        <w:rPr>
          <w:i/>
        </w:rPr>
        <w:t>too free</w:t>
      </w:r>
      <w:r w:rsidR="00884960">
        <w:rPr>
          <w:i/>
        </w:rPr>
        <w:t>”</w:t>
      </w:r>
      <w:r w:rsidR="00B25B2C" w:rsidRPr="00C211CC">
        <w:t xml:space="preserve"> with young Miles</w:t>
      </w:r>
      <w:r w:rsidR="002D41F8" w:rsidRPr="00C211CC">
        <w:t>. Hi</w:t>
      </w:r>
      <w:r w:rsidR="004B0DA7" w:rsidRPr="00C211CC">
        <w:t xml:space="preserve">s ghost </w:t>
      </w:r>
      <w:r w:rsidR="007D48D4" w:rsidRPr="00C211CC">
        <w:t xml:space="preserve">is </w:t>
      </w:r>
      <w:r w:rsidR="009E4EE2" w:rsidRPr="00C211CC">
        <w:t>followed</w:t>
      </w:r>
      <w:r w:rsidR="007D48D4" w:rsidRPr="00C211CC">
        <w:t xml:space="preserve"> by </w:t>
      </w:r>
      <w:r w:rsidR="00BD2644" w:rsidRPr="00C211CC">
        <w:t>the apparition</w:t>
      </w:r>
      <w:r w:rsidR="007D48D4" w:rsidRPr="00C211CC">
        <w:t xml:space="preserve"> of his</w:t>
      </w:r>
      <w:r w:rsidR="00BD2644" w:rsidRPr="00C211CC">
        <w:t xml:space="preserve"> alleged</w:t>
      </w:r>
      <w:r w:rsidR="007D48D4" w:rsidRPr="00C211CC">
        <w:t xml:space="preserve"> </w:t>
      </w:r>
      <w:r w:rsidR="004B0DA7" w:rsidRPr="00C211CC">
        <w:t xml:space="preserve">former </w:t>
      </w:r>
      <w:r w:rsidR="002D41F8" w:rsidRPr="00C211CC">
        <w:t>lover and t</w:t>
      </w:r>
      <w:r w:rsidR="007D48D4" w:rsidRPr="00C211CC">
        <w:t xml:space="preserve">he </w:t>
      </w:r>
      <w:r w:rsidR="004B0DA7" w:rsidRPr="00C211CC">
        <w:t>previous</w:t>
      </w:r>
      <w:r w:rsidR="007D48D4" w:rsidRPr="00C211CC">
        <w:t xml:space="preserve"> governess, Miss Jessel. </w:t>
      </w:r>
      <w:r w:rsidR="00BD2644" w:rsidRPr="00C211CC">
        <w:t>James explores how easily innocence can be corrupted t</w:t>
      </w:r>
      <w:r w:rsidR="000B3301" w:rsidRPr="00C211CC">
        <w:t xml:space="preserve">hrough the </w:t>
      </w:r>
      <w:r w:rsidR="00B25B2C" w:rsidRPr="00C211CC">
        <w:t xml:space="preserve">young </w:t>
      </w:r>
      <w:r w:rsidR="0056334C" w:rsidRPr="00C211CC">
        <w:t>g</w:t>
      </w:r>
      <w:r w:rsidR="007D48D4" w:rsidRPr="00C211CC">
        <w:t>overness</w:t>
      </w:r>
      <w:r w:rsidR="00A94602" w:rsidRPr="00C211CC">
        <w:t>’</w:t>
      </w:r>
      <w:r w:rsidR="007D48D4" w:rsidRPr="00C211CC">
        <w:t xml:space="preserve"> </w:t>
      </w:r>
      <w:r w:rsidR="000B3301" w:rsidRPr="00C211CC">
        <w:t xml:space="preserve">battle for </w:t>
      </w:r>
      <w:r w:rsidR="007D48D4" w:rsidRPr="00C211CC">
        <w:t xml:space="preserve">her unnaturally </w:t>
      </w:r>
      <w:r w:rsidR="00B25B2C" w:rsidRPr="00C211CC">
        <w:t xml:space="preserve">angelic </w:t>
      </w:r>
      <w:r w:rsidR="007D48D4" w:rsidRPr="00C211CC">
        <w:t>pupils</w:t>
      </w:r>
      <w:r w:rsidR="002D41F8" w:rsidRPr="00C211CC">
        <w:t>’</w:t>
      </w:r>
      <w:r w:rsidR="00E013B0" w:rsidRPr="00C211CC">
        <w:t xml:space="preserve"> immortal souls</w:t>
      </w:r>
      <w:r w:rsidR="00BD2644" w:rsidRPr="00C211CC">
        <w:t>.</w:t>
      </w:r>
      <w:r w:rsidR="00E013B0" w:rsidRPr="00C211CC">
        <w:t xml:space="preserve"> </w:t>
      </w:r>
      <w:r w:rsidR="0056334C" w:rsidRPr="00C211CC">
        <w:t>The g</w:t>
      </w:r>
      <w:r w:rsidR="00BD2644" w:rsidRPr="00C211CC">
        <w:t xml:space="preserve">overness </w:t>
      </w:r>
      <w:r w:rsidR="00C53F3E" w:rsidRPr="00C211CC">
        <w:t xml:space="preserve">elicited my sympathy and understanding. </w:t>
      </w:r>
      <w:r w:rsidR="00C53F3E" w:rsidRPr="00C211CC">
        <w:rPr>
          <w:i/>
        </w:rPr>
        <w:t>She was in love</w:t>
      </w:r>
      <w:r w:rsidR="00C53F3E" w:rsidRPr="00C211CC">
        <w:t xml:space="preserve"> </w:t>
      </w:r>
      <w:r w:rsidR="009E4EE2" w:rsidRPr="00C211CC">
        <w:t xml:space="preserve">with the children’s uncle </w:t>
      </w:r>
      <w:r w:rsidR="00BD2644" w:rsidRPr="00C211CC">
        <w:t>and though</w:t>
      </w:r>
      <w:r w:rsidR="0056334C" w:rsidRPr="00C211CC">
        <w:t xml:space="preserve"> the g</w:t>
      </w:r>
      <w:r w:rsidR="00740BAC" w:rsidRPr="00C211CC">
        <w:t>overness’ adoration</w:t>
      </w:r>
      <w:r w:rsidR="00C53F3E" w:rsidRPr="00C211CC">
        <w:t xml:space="preserve"> for her pupils’ uncle can explain her intimate affection with the children</w:t>
      </w:r>
      <w:r w:rsidR="00CF1E40" w:rsidRPr="00C211CC">
        <w:t xml:space="preserve">, and her conviction </w:t>
      </w:r>
      <w:r w:rsidR="009E4EE2" w:rsidRPr="00C211CC">
        <w:t>of</w:t>
      </w:r>
      <w:r w:rsidR="00CF1E40" w:rsidRPr="00C211CC">
        <w:t xml:space="preserve"> their</w:t>
      </w:r>
      <w:r w:rsidR="00CF1E40" w:rsidRPr="00C211CC">
        <w:rPr>
          <w:i/>
        </w:rPr>
        <w:t xml:space="preserve"> </w:t>
      </w:r>
      <w:r w:rsidR="00884960">
        <w:rPr>
          <w:i/>
        </w:rPr>
        <w:t>“</w:t>
      </w:r>
      <w:r w:rsidR="00CF1E40" w:rsidRPr="00C211CC">
        <w:rPr>
          <w:i/>
        </w:rPr>
        <w:t>positive fragrance of purity</w:t>
      </w:r>
      <w:r w:rsidR="00884960">
        <w:rPr>
          <w:i/>
        </w:rPr>
        <w:t>”</w:t>
      </w:r>
      <w:r w:rsidR="00CF1E40" w:rsidRPr="00C211CC">
        <w:t>,</w:t>
      </w:r>
      <w:r w:rsidR="00C53F3E" w:rsidRPr="00C211CC">
        <w:t xml:space="preserve"> I believe</w:t>
      </w:r>
      <w:r w:rsidR="009E4EE2" w:rsidRPr="00C211CC">
        <w:t>d</w:t>
      </w:r>
      <w:r w:rsidR="00C53F3E" w:rsidRPr="00C211CC">
        <w:t xml:space="preserve"> that she was also bound by a sense of duty</w:t>
      </w:r>
      <w:r w:rsidR="009E4EE2" w:rsidRPr="00C211CC">
        <w:t>.</w:t>
      </w:r>
      <w:r w:rsidR="004439AA" w:rsidRPr="00C211CC">
        <w:t xml:space="preserve"> I relate</w:t>
      </w:r>
      <w:r w:rsidR="009E4EE2" w:rsidRPr="00C211CC">
        <w:t>d</w:t>
      </w:r>
      <w:r w:rsidR="0056334C" w:rsidRPr="00C211CC">
        <w:t xml:space="preserve"> to the g</w:t>
      </w:r>
      <w:r w:rsidR="004439AA" w:rsidRPr="00C211CC">
        <w:t>ove</w:t>
      </w:r>
      <w:r w:rsidR="00740BAC" w:rsidRPr="00C211CC">
        <w:t>rness through my own romanticised values of honour and love</w:t>
      </w:r>
      <w:r w:rsidR="004439AA" w:rsidRPr="00C211CC">
        <w:t>.</w:t>
      </w:r>
      <w:r w:rsidR="009E4EE2" w:rsidRPr="00C211CC">
        <w:t xml:space="preserve"> I fou</w:t>
      </w:r>
      <w:r w:rsidR="006C2ADB" w:rsidRPr="00C211CC">
        <w:t>nd myself siding with</w:t>
      </w:r>
      <w:r w:rsidR="0056334C" w:rsidRPr="00C211CC">
        <w:t xml:space="preserve"> the g</w:t>
      </w:r>
      <w:r w:rsidR="006C2ADB" w:rsidRPr="00C211CC">
        <w:t>overness as s</w:t>
      </w:r>
      <w:r w:rsidR="00F91BB9" w:rsidRPr="00C211CC">
        <w:t>he faces</w:t>
      </w:r>
      <w:r w:rsidR="000B565C" w:rsidRPr="00C211CC">
        <w:t xml:space="preserve"> a threat that no one </w:t>
      </w:r>
      <w:r w:rsidR="009E4EE2" w:rsidRPr="00C211CC">
        <w:t xml:space="preserve">but she </w:t>
      </w:r>
      <w:r w:rsidR="00BD2644" w:rsidRPr="00C211CC">
        <w:t>can</w:t>
      </w:r>
      <w:r w:rsidR="009313A4" w:rsidRPr="00C211CC">
        <w:t xml:space="preserve"> see</w:t>
      </w:r>
      <w:r w:rsidR="000B565C" w:rsidRPr="00C211CC">
        <w:t>.</w:t>
      </w:r>
      <w:r w:rsidR="00990442" w:rsidRPr="00C211CC">
        <w:t xml:space="preserve"> </w:t>
      </w:r>
      <w:r w:rsidR="0056334C" w:rsidRPr="00C211CC">
        <w:t>I understood the g</w:t>
      </w:r>
      <w:r w:rsidR="00BF621E" w:rsidRPr="00C211CC">
        <w:t>overness’</w:t>
      </w:r>
      <w:r w:rsidR="00990442" w:rsidRPr="00C211CC">
        <w:t xml:space="preserve"> need to protect those around her</w:t>
      </w:r>
      <w:r w:rsidR="00BF621E" w:rsidRPr="00C211CC">
        <w:t xml:space="preserve"> from the misfortunes </w:t>
      </w:r>
      <w:r w:rsidR="00BD2644" w:rsidRPr="00C211CC">
        <w:t>to which she is</w:t>
      </w:r>
      <w:r w:rsidR="00BF621E" w:rsidRPr="00C211CC">
        <w:t xml:space="preserve"> subject</w:t>
      </w:r>
      <w:r w:rsidR="00F91BB9" w:rsidRPr="00C211CC">
        <w:t>, particularly when she states</w:t>
      </w:r>
      <w:r w:rsidR="00336369" w:rsidRPr="00C211CC">
        <w:t xml:space="preserve"> </w:t>
      </w:r>
      <w:r w:rsidR="00884960">
        <w:t>“</w:t>
      </w:r>
      <w:r w:rsidR="00336369" w:rsidRPr="00C211CC">
        <w:rPr>
          <w:i/>
        </w:rPr>
        <w:t>I’d rather die than give you pain or do you wrong</w:t>
      </w:r>
      <w:r w:rsidR="00884960">
        <w:rPr>
          <w:i/>
        </w:rPr>
        <w:t>”</w:t>
      </w:r>
      <w:r w:rsidR="00990442" w:rsidRPr="00C211CC">
        <w:t xml:space="preserve"> </w:t>
      </w:r>
      <w:r w:rsidR="00BF621E" w:rsidRPr="00C211CC">
        <w:t xml:space="preserve">as I </w:t>
      </w:r>
      <w:r w:rsidR="009313A4" w:rsidRPr="00C211CC">
        <w:t>have</w:t>
      </w:r>
      <w:r w:rsidR="009E4EE2" w:rsidRPr="00C211CC">
        <w:t xml:space="preserve"> </w:t>
      </w:r>
      <w:r w:rsidR="009313A4" w:rsidRPr="00C211CC">
        <w:t>my own commitment</w:t>
      </w:r>
      <w:r w:rsidR="006718A7" w:rsidRPr="00C211CC">
        <w:t xml:space="preserve"> </w:t>
      </w:r>
      <w:r w:rsidR="00BF621E" w:rsidRPr="00C211CC">
        <w:t>to shield others from harmful realities.</w:t>
      </w:r>
      <w:r w:rsidR="00BD2644" w:rsidRPr="00C211CC">
        <w:t xml:space="preserve"> As she tries</w:t>
      </w:r>
      <w:r w:rsidR="00BF621E" w:rsidRPr="00C211CC">
        <w:t xml:space="preserve"> desperately to protect </w:t>
      </w:r>
      <w:r w:rsidR="00E013B0" w:rsidRPr="00C211CC">
        <w:t>the innocent</w:t>
      </w:r>
      <w:r w:rsidR="00884960">
        <w:t>,</w:t>
      </w:r>
      <w:r w:rsidR="00970F7F" w:rsidRPr="00C211CC">
        <w:t xml:space="preserve"> </w:t>
      </w:r>
      <w:r w:rsidR="00BF621E" w:rsidRPr="00C211CC">
        <w:t xml:space="preserve">I could understand and personally justify her every action. </w:t>
      </w:r>
    </w:p>
    <w:p w:rsidR="00F91BB9" w:rsidRPr="00C211CC" w:rsidRDefault="00FB1D6D" w:rsidP="001D3DE8">
      <w:pPr>
        <w:spacing w:line="360" w:lineRule="auto"/>
      </w:pPr>
      <w:r w:rsidRPr="00C211CC">
        <w:t xml:space="preserve">Though ‘Wilsonians’ state that the novel is </w:t>
      </w:r>
      <w:r w:rsidR="006718A7" w:rsidRPr="00C211CC">
        <w:t>primarily a</w:t>
      </w:r>
      <w:r w:rsidR="009E4EE2" w:rsidRPr="00C211CC">
        <w:t xml:space="preserve"> psychological</w:t>
      </w:r>
      <w:r w:rsidR="006718A7" w:rsidRPr="00C211CC">
        <w:t xml:space="preserve"> characteris</w:t>
      </w:r>
      <w:r w:rsidR="001F421D" w:rsidRPr="00C211CC">
        <w:t xml:space="preserve">ation of the </w:t>
      </w:r>
      <w:r w:rsidR="009E4EE2" w:rsidRPr="00C211CC">
        <w:t xml:space="preserve">neurotic </w:t>
      </w:r>
      <w:r w:rsidR="001F421D" w:rsidRPr="00C211CC">
        <w:t>governess</w:t>
      </w:r>
      <w:r w:rsidR="00740CBB" w:rsidRPr="00C211CC">
        <w:t xml:space="preserve"> with the</w:t>
      </w:r>
      <w:r w:rsidR="00BD2644" w:rsidRPr="00C211CC">
        <w:t xml:space="preserve"> ghastly</w:t>
      </w:r>
      <w:r w:rsidR="00740CBB" w:rsidRPr="00C211CC">
        <w:t xml:space="preserve"> situation a manifestation of her psychosis</w:t>
      </w:r>
      <w:r w:rsidR="00F91BB9" w:rsidRPr="00C211CC">
        <w:t>, I</w:t>
      </w:r>
      <w:r w:rsidR="001F421D" w:rsidRPr="00C211CC">
        <w:t xml:space="preserve"> find this </w:t>
      </w:r>
      <w:r w:rsidR="00755361" w:rsidRPr="00C211CC">
        <w:t>interpretation unsatisfying and indefensible</w:t>
      </w:r>
      <w:r w:rsidR="001F421D" w:rsidRPr="00C211CC">
        <w:t>. The text itself</w:t>
      </w:r>
      <w:r w:rsidR="00145DFD" w:rsidRPr="00C211CC">
        <w:t xml:space="preserve"> </w:t>
      </w:r>
      <w:r w:rsidR="00F91BB9" w:rsidRPr="00C211CC">
        <w:t>does not support this</w:t>
      </w:r>
      <w:r w:rsidR="00755361" w:rsidRPr="00C211CC">
        <w:t xml:space="preserve"> claim, for if the claim is t</w:t>
      </w:r>
      <w:r w:rsidR="009E4EE2" w:rsidRPr="00C211CC">
        <w:t>o be believed</w:t>
      </w:r>
      <w:r w:rsidR="00E013B0" w:rsidRPr="00C211CC">
        <w:t>,</w:t>
      </w:r>
      <w:r w:rsidR="009E4EE2" w:rsidRPr="00C211CC">
        <w:t xml:space="preserve"> the spectres are </w:t>
      </w:r>
      <w:r w:rsidR="00755361" w:rsidRPr="00C211CC">
        <w:t>mer</w:t>
      </w:r>
      <w:r w:rsidR="0056334C" w:rsidRPr="00C211CC">
        <w:t>ely in the g</w:t>
      </w:r>
      <w:r w:rsidR="00755361" w:rsidRPr="00C211CC">
        <w:t xml:space="preserve">overness’ </w:t>
      </w:r>
      <w:r w:rsidR="009E4EE2" w:rsidRPr="00C211CC">
        <w:t>mind</w:t>
      </w:r>
      <w:r w:rsidR="00755361" w:rsidRPr="00C211CC">
        <w:t xml:space="preserve">. How then, </w:t>
      </w:r>
      <w:r w:rsidR="009E4EE2" w:rsidRPr="00C211CC">
        <w:t xml:space="preserve">could </w:t>
      </w:r>
      <w:r w:rsidR="0056334C" w:rsidRPr="00C211CC">
        <w:t>the g</w:t>
      </w:r>
      <w:r w:rsidR="001F421D" w:rsidRPr="00C211CC">
        <w:t>overness have known Miss Jessel and Quint</w:t>
      </w:r>
      <w:r w:rsidR="00755361" w:rsidRPr="00C211CC">
        <w:t>’s features</w:t>
      </w:r>
      <w:r w:rsidR="001F421D" w:rsidRPr="00C211CC">
        <w:t xml:space="preserve">? She had never seen a portrait of </w:t>
      </w:r>
      <w:r w:rsidR="00884960">
        <w:t>either y</w:t>
      </w:r>
      <w:r w:rsidR="001F421D" w:rsidRPr="00C211CC">
        <w:t xml:space="preserve">et </w:t>
      </w:r>
      <w:r w:rsidR="00742456" w:rsidRPr="00C211CC">
        <w:t xml:space="preserve">the housekeeper, </w:t>
      </w:r>
      <w:r w:rsidR="001F421D" w:rsidRPr="00C211CC">
        <w:t>Mrs. Grose</w:t>
      </w:r>
      <w:r w:rsidR="00742456" w:rsidRPr="00C211CC">
        <w:t>,</w:t>
      </w:r>
      <w:r w:rsidR="001F421D" w:rsidRPr="00C211CC">
        <w:t xml:space="preserve"> after hearing her description of the </w:t>
      </w:r>
      <w:r w:rsidR="00755361" w:rsidRPr="00C211CC">
        <w:t>first spectre</w:t>
      </w:r>
      <w:r w:rsidR="001F421D" w:rsidRPr="00C211CC">
        <w:t xml:space="preserve"> </w:t>
      </w:r>
      <w:r w:rsidR="00884960">
        <w:t>“</w:t>
      </w:r>
      <w:r w:rsidR="001F421D" w:rsidRPr="00C211CC">
        <w:rPr>
          <w:i/>
        </w:rPr>
        <w:t>blanched</w:t>
      </w:r>
      <w:r w:rsidR="00884960">
        <w:rPr>
          <w:i/>
        </w:rPr>
        <w:t>”</w:t>
      </w:r>
      <w:r w:rsidR="006C2A41">
        <w:t xml:space="preserve">. The inconsistencies in the Wilsonian interpretation are also demonstrated by the governess’ surprise, </w:t>
      </w:r>
      <w:r w:rsidR="00755361" w:rsidRPr="00C211CC">
        <w:t>both that</w:t>
      </w:r>
      <w:r w:rsidR="00C862AD" w:rsidRPr="00C211CC">
        <w:t xml:space="preserve"> Mrs. Grose</w:t>
      </w:r>
      <w:r w:rsidR="00755361" w:rsidRPr="00C211CC">
        <w:t xml:space="preserve"> </w:t>
      </w:r>
      <w:r w:rsidR="00F4347A" w:rsidRPr="00C211CC">
        <w:t>knew Quint and that he was dead</w:t>
      </w:r>
      <w:r w:rsidR="00E013B0" w:rsidRPr="00C211CC">
        <w:t>:</w:t>
      </w:r>
      <w:r w:rsidR="00F4347A" w:rsidRPr="00C211CC">
        <w:t xml:space="preserve"> </w:t>
      </w:r>
      <w:r w:rsidR="00F4347A" w:rsidRPr="00C211CC">
        <w:rPr>
          <w:i/>
        </w:rPr>
        <w:t>“Died?” I almost shrieked</w:t>
      </w:r>
      <w:r w:rsidR="00B97ABD" w:rsidRPr="00C211CC">
        <w:t>.</w:t>
      </w:r>
      <w:r w:rsidR="00884960">
        <w:t>”</w:t>
      </w:r>
      <w:r w:rsidR="00B97ABD" w:rsidRPr="00C211CC">
        <w:t xml:space="preserve"> Though the Wilsonian </w:t>
      </w:r>
      <w:r w:rsidR="00E013B0" w:rsidRPr="00C211CC">
        <w:t>psychological reading</w:t>
      </w:r>
      <w:r w:rsidR="00B97ABD" w:rsidRPr="00C211CC">
        <w:t xml:space="preserve"> can easily be ju</w:t>
      </w:r>
      <w:r w:rsidR="00F4347A" w:rsidRPr="00C211CC">
        <w:t>stified by alluding to the text in general</w:t>
      </w:r>
      <w:r w:rsidR="0047003E" w:rsidRPr="00C211CC">
        <w:t>,</w:t>
      </w:r>
      <w:r w:rsidR="00F4347A" w:rsidRPr="00C211CC">
        <w:t xml:space="preserve"> </w:t>
      </w:r>
      <w:r w:rsidR="00B97ABD" w:rsidRPr="00C211CC">
        <w:t>it</w:t>
      </w:r>
      <w:r w:rsidR="00BD2644" w:rsidRPr="00C211CC">
        <w:t xml:space="preserve"> ignores </w:t>
      </w:r>
      <w:r w:rsidR="00BD2644" w:rsidRPr="00C211CC">
        <w:lastRenderedPageBreak/>
        <w:t>many key plot elements</w:t>
      </w:r>
      <w:r w:rsidR="00F4347A" w:rsidRPr="00C211CC">
        <w:t>,</w:t>
      </w:r>
      <w:r w:rsidR="00B97ABD" w:rsidRPr="00C211CC">
        <w:t xml:space="preserve"> without which the story becomes incoherent. I therefore find myself an anti-Wilsonian </w:t>
      </w:r>
      <w:r w:rsidR="0047003E" w:rsidRPr="00C211CC">
        <w:t xml:space="preserve">who prefers a supernatural meaning that explores the </w:t>
      </w:r>
      <w:r w:rsidR="00F91BB9" w:rsidRPr="00C211CC">
        <w:t>nature of good and evil.</w:t>
      </w:r>
    </w:p>
    <w:p w:rsidR="00884960" w:rsidRDefault="00F91BB9" w:rsidP="00884960">
      <w:pPr>
        <w:spacing w:line="360" w:lineRule="auto"/>
      </w:pPr>
      <w:r w:rsidRPr="00C211CC">
        <w:t>James places great importance on saving the children’s souls from the embodi</w:t>
      </w:r>
      <w:r w:rsidR="00BD2644" w:rsidRPr="00C211CC">
        <w:t>ment of evil – the ghosts. The g</w:t>
      </w:r>
      <w:r w:rsidRPr="00C211CC">
        <w:t>overness’ determination to rescue Miles from those corrupting spirits appears to be part of a larger, eternal battle between good and evil, in which good should always triumph. James’ values and mine a</w:t>
      </w:r>
      <w:r w:rsidR="00BD2644" w:rsidRPr="00C211CC">
        <w:t>re aligned at this point – the g</w:t>
      </w:r>
      <w:r w:rsidRPr="00C211CC">
        <w:t xml:space="preserve">overness is there to aide Miles in the rejection of the spectres. Though I hold this view, and believe the author does as </w:t>
      </w:r>
      <w:r w:rsidR="0056334C" w:rsidRPr="00C211CC">
        <w:t>well, others may interpret the g</w:t>
      </w:r>
      <w:r w:rsidRPr="00C211CC">
        <w:t>overness as problematic rather tha</w:t>
      </w:r>
      <w:r w:rsidR="00AF5E44" w:rsidRPr="00C211CC">
        <w:t>n helpful. Her victory is a Pyr</w:t>
      </w:r>
      <w:r w:rsidRPr="00C211CC">
        <w:t xml:space="preserve">rhic one; at the moment of triumph, when she has saved Miles’ soul, </w:t>
      </w:r>
      <w:r w:rsidR="00884960">
        <w:t>“</w:t>
      </w:r>
      <w:r w:rsidRPr="00C211CC">
        <w:rPr>
          <w:i/>
        </w:rPr>
        <w:t>his little heart, dispossessed, had stopped</w:t>
      </w:r>
      <w:r w:rsidR="00884960">
        <w:rPr>
          <w:i/>
        </w:rPr>
        <w:t>”</w:t>
      </w:r>
      <w:r w:rsidRPr="00C211CC">
        <w:t>. While James may be willing to sacrifice a child for the greater good, I am n</w:t>
      </w:r>
      <w:r w:rsidR="0056334C" w:rsidRPr="00C211CC">
        <w:t>ot; nor, do I believe, was the g</w:t>
      </w:r>
      <w:r w:rsidRPr="00C211CC">
        <w:t>overness.</w:t>
      </w:r>
      <w:r w:rsidR="00AF5E44" w:rsidRPr="00C211CC">
        <w:t xml:space="preserve"> </w:t>
      </w:r>
    </w:p>
    <w:p w:rsidR="00884960" w:rsidRPr="000F6B83" w:rsidRDefault="00884960" w:rsidP="00884960">
      <w:pPr>
        <w:spacing w:line="360" w:lineRule="auto"/>
        <w:rPr>
          <w:rFonts w:ascii="Calibri" w:hAnsi="Calibri" w:cs="Calibri"/>
        </w:rPr>
      </w:pPr>
      <w:r w:rsidRPr="000F6B83">
        <w:rPr>
          <w:rFonts w:ascii="Calibri" w:hAnsi="Calibri" w:cs="Calibri"/>
        </w:rPr>
        <w:t>Suggested short stories and novellas</w:t>
      </w:r>
      <w:r>
        <w:rPr>
          <w:rFonts w:ascii="Calibri" w:hAnsi="Calibri" w:cs="Calibri"/>
        </w:rPr>
        <w:t xml:space="preserve"> for the task</w:t>
      </w:r>
      <w:r w:rsidRPr="000F6B83">
        <w:rPr>
          <w:rFonts w:ascii="Calibri" w:hAnsi="Calibri" w:cs="Calibr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077"/>
        <w:gridCol w:w="4779"/>
      </w:tblGrid>
      <w:tr w:rsidR="00884960" w:rsidRPr="000F6B83" w:rsidTr="00C27BB3">
        <w:tc>
          <w:tcPr>
            <w:tcW w:w="4077" w:type="dxa"/>
          </w:tcPr>
          <w:p w:rsidR="00884960" w:rsidRPr="000F6B83" w:rsidRDefault="00884960" w:rsidP="00C27BB3">
            <w:pPr>
              <w:pStyle w:val="Tabletex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0F6B83">
              <w:rPr>
                <w:rFonts w:ascii="Calibri" w:hAnsi="Calibri" w:cs="Calibri"/>
                <w:sz w:val="16"/>
                <w:szCs w:val="16"/>
              </w:rPr>
              <w:t>Henry James</w:t>
            </w:r>
            <w:r w:rsidRPr="000F6B83">
              <w:rPr>
                <w:rFonts w:ascii="Calibri" w:hAnsi="Calibri" w:cs="Calibri"/>
                <w:i/>
                <w:sz w:val="16"/>
                <w:szCs w:val="16"/>
              </w:rPr>
              <w:t>, “</w:t>
            </w:r>
            <w:r w:rsidRPr="000F6B83">
              <w:rPr>
                <w:rFonts w:ascii="Calibri" w:hAnsi="Calibri" w:cs="Calibri"/>
                <w:sz w:val="16"/>
                <w:szCs w:val="16"/>
              </w:rPr>
              <w:t xml:space="preserve">The Turn of the Screw” </w:t>
            </w:r>
          </w:p>
          <w:p w:rsidR="00884960" w:rsidRPr="000F6B83" w:rsidRDefault="00884960" w:rsidP="00C27BB3">
            <w:pPr>
              <w:pStyle w:val="Tabletext"/>
              <w:ind w:left="0"/>
              <w:rPr>
                <w:rFonts w:ascii="Calibri" w:hAnsi="Calibri" w:cs="Calibri"/>
                <w:i/>
                <w:sz w:val="16"/>
                <w:szCs w:val="16"/>
              </w:rPr>
            </w:pPr>
            <w:r w:rsidRPr="000F6B83">
              <w:rPr>
                <w:rFonts w:ascii="Calibri" w:hAnsi="Calibri" w:cs="Calibri"/>
                <w:sz w:val="16"/>
                <w:szCs w:val="16"/>
              </w:rPr>
              <w:t>Edgar Allen Poe, “The Murders in the Rue Morgue”</w:t>
            </w:r>
          </w:p>
          <w:p w:rsidR="00884960" w:rsidRPr="000F6B83" w:rsidRDefault="00884960" w:rsidP="00C27BB3">
            <w:pPr>
              <w:pStyle w:val="Tabletext"/>
              <w:ind w:left="0"/>
              <w:rPr>
                <w:rFonts w:ascii="Calibri" w:hAnsi="Calibri" w:cs="Calibri"/>
                <w:i/>
                <w:sz w:val="16"/>
                <w:szCs w:val="16"/>
              </w:rPr>
            </w:pPr>
            <w:r w:rsidRPr="000F6B83">
              <w:rPr>
                <w:rFonts w:ascii="Calibri" w:hAnsi="Calibri" w:cs="Calibri"/>
                <w:sz w:val="16"/>
                <w:szCs w:val="16"/>
              </w:rPr>
              <w:t>Edgar Allen Poe</w:t>
            </w:r>
            <w:r w:rsidRPr="000F6B83">
              <w:rPr>
                <w:rFonts w:ascii="Calibri" w:hAnsi="Calibri" w:cs="Calibri"/>
                <w:i/>
                <w:sz w:val="16"/>
                <w:szCs w:val="16"/>
              </w:rPr>
              <w:t>, “</w:t>
            </w:r>
            <w:r w:rsidRPr="000F6B83">
              <w:rPr>
                <w:rFonts w:ascii="Calibri" w:hAnsi="Calibri" w:cs="Calibri"/>
                <w:sz w:val="16"/>
                <w:szCs w:val="16"/>
              </w:rPr>
              <w:t>The Fall of the House of Usher”</w:t>
            </w:r>
          </w:p>
          <w:p w:rsidR="00884960" w:rsidRPr="000F6B83" w:rsidRDefault="00884960" w:rsidP="00C27BB3">
            <w:pPr>
              <w:pStyle w:val="Tabletext"/>
              <w:tabs>
                <w:tab w:val="left" w:pos="2590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0F6B83">
              <w:rPr>
                <w:rFonts w:ascii="Calibri" w:hAnsi="Calibri" w:cs="Calibri"/>
                <w:sz w:val="16"/>
                <w:szCs w:val="16"/>
              </w:rPr>
              <w:t>W.W. Jacobs “The Monkey’s Paw”</w:t>
            </w:r>
            <w:r>
              <w:rPr>
                <w:rFonts w:ascii="Calibri" w:hAnsi="Calibri" w:cs="Calibri"/>
                <w:sz w:val="16"/>
                <w:szCs w:val="16"/>
              </w:rPr>
              <w:tab/>
            </w:r>
          </w:p>
          <w:p w:rsidR="00884960" w:rsidRPr="000F6B83" w:rsidRDefault="00884960" w:rsidP="00C27BB3">
            <w:pPr>
              <w:pStyle w:val="Tabletex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0F6B83">
              <w:rPr>
                <w:rFonts w:ascii="Calibri" w:hAnsi="Calibri" w:cs="Calibri"/>
                <w:sz w:val="16"/>
                <w:szCs w:val="16"/>
              </w:rPr>
              <w:t>Theodore Sturgeon, “Yesterday Was Monday”</w:t>
            </w:r>
          </w:p>
          <w:p w:rsidR="00884960" w:rsidRPr="000F6B83" w:rsidRDefault="00884960" w:rsidP="00C27BB3">
            <w:pPr>
              <w:pStyle w:val="Tabletex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0F6B83">
              <w:rPr>
                <w:rFonts w:ascii="Calibri" w:hAnsi="Calibri" w:cs="Calibri"/>
                <w:sz w:val="16"/>
                <w:szCs w:val="16"/>
              </w:rPr>
              <w:t xml:space="preserve">Jerome Bixby, “It’s a Good Life”  </w:t>
            </w:r>
          </w:p>
          <w:p w:rsidR="00884960" w:rsidRPr="000F6B83" w:rsidRDefault="00884960" w:rsidP="00C27BB3">
            <w:pPr>
              <w:pStyle w:val="Tabletex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0F6B83">
              <w:rPr>
                <w:rFonts w:ascii="Calibri" w:hAnsi="Calibri" w:cs="Calibri"/>
                <w:sz w:val="16"/>
                <w:szCs w:val="16"/>
              </w:rPr>
              <w:t>Daniel Keyes, “Flowers for Algernon”</w:t>
            </w:r>
          </w:p>
          <w:p w:rsidR="00884960" w:rsidRDefault="00884960" w:rsidP="00C27BB3">
            <w:pPr>
              <w:pStyle w:val="Tabletex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0F6B83">
              <w:rPr>
                <w:rFonts w:ascii="Calibri" w:hAnsi="Calibri" w:cs="Calibri"/>
                <w:sz w:val="16"/>
                <w:szCs w:val="16"/>
              </w:rPr>
              <w:t>Franz Kafka, “The Cell”</w:t>
            </w:r>
          </w:p>
          <w:p w:rsidR="00884960" w:rsidRPr="000F6B83" w:rsidRDefault="00884960" w:rsidP="00C27BB3">
            <w:pPr>
              <w:pStyle w:val="Tabletext"/>
              <w:ind w:left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Stephen King, “Battleground”</w:t>
            </w:r>
          </w:p>
        </w:tc>
        <w:tc>
          <w:tcPr>
            <w:tcW w:w="4779" w:type="dxa"/>
          </w:tcPr>
          <w:p w:rsidR="00884960" w:rsidRPr="000F6B83" w:rsidRDefault="00884960" w:rsidP="00C27BB3">
            <w:pPr>
              <w:pStyle w:val="Tabletex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0F6B83">
              <w:rPr>
                <w:rFonts w:ascii="Calibri" w:hAnsi="Calibri" w:cs="Calibri"/>
                <w:sz w:val="16"/>
                <w:szCs w:val="16"/>
              </w:rPr>
              <w:t>Charlotte Perkins Gilman, “The Yellow Wallpaper”</w:t>
            </w:r>
          </w:p>
          <w:p w:rsidR="00884960" w:rsidRPr="000F6B83" w:rsidRDefault="00884960" w:rsidP="00C27BB3">
            <w:pPr>
              <w:pStyle w:val="Tabletex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0F6B83">
              <w:rPr>
                <w:rFonts w:ascii="Calibri" w:hAnsi="Calibri" w:cs="Calibri"/>
                <w:sz w:val="16"/>
                <w:szCs w:val="16"/>
              </w:rPr>
              <w:t>Ambrose Bierce, “An Occurrence at Owl Creek Bridge”</w:t>
            </w:r>
          </w:p>
          <w:p w:rsidR="00884960" w:rsidRPr="000F6B83" w:rsidRDefault="00884960" w:rsidP="00C27BB3">
            <w:pPr>
              <w:pStyle w:val="Tabletex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0F6B83">
              <w:rPr>
                <w:rFonts w:ascii="Calibri" w:hAnsi="Calibri" w:cs="Calibri"/>
                <w:sz w:val="16"/>
                <w:szCs w:val="16"/>
              </w:rPr>
              <w:t xml:space="preserve">Shirley Jackson, “The Lottery” </w:t>
            </w:r>
          </w:p>
          <w:p w:rsidR="00884960" w:rsidRPr="000F6B83" w:rsidRDefault="00884960" w:rsidP="00C27BB3">
            <w:pPr>
              <w:pStyle w:val="Tabletex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0F6B83">
              <w:rPr>
                <w:rFonts w:ascii="Calibri" w:hAnsi="Calibri" w:cs="Calibri"/>
                <w:sz w:val="16"/>
                <w:szCs w:val="16"/>
              </w:rPr>
              <w:t>H.H. Munro (“Saki”), “The Open Window”</w:t>
            </w:r>
          </w:p>
          <w:p w:rsidR="00884960" w:rsidRPr="000F6B83" w:rsidRDefault="00884960" w:rsidP="00C27BB3">
            <w:pPr>
              <w:pStyle w:val="Tabletex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0F6B83">
              <w:rPr>
                <w:rFonts w:ascii="Calibri" w:hAnsi="Calibri" w:cs="Calibri"/>
                <w:sz w:val="16"/>
                <w:szCs w:val="16"/>
              </w:rPr>
              <w:t xml:space="preserve">Frederick Marryat, “The Werewolf” </w:t>
            </w:r>
          </w:p>
          <w:p w:rsidR="00884960" w:rsidRPr="000F6B83" w:rsidRDefault="00884960" w:rsidP="00C27BB3">
            <w:pPr>
              <w:pStyle w:val="Tabletex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0F6B83">
              <w:rPr>
                <w:rFonts w:ascii="Calibri" w:hAnsi="Calibri" w:cs="Calibri"/>
                <w:sz w:val="16"/>
                <w:szCs w:val="16"/>
              </w:rPr>
              <w:t xml:space="preserve">Franz Kafka, “Metamorphosis” </w:t>
            </w:r>
          </w:p>
          <w:p w:rsidR="00884960" w:rsidRPr="000F6B83" w:rsidRDefault="00884960" w:rsidP="00C27BB3">
            <w:pPr>
              <w:pStyle w:val="Tabletex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0F6B83">
              <w:rPr>
                <w:rFonts w:ascii="Calibri" w:hAnsi="Calibri" w:cs="Calibri"/>
                <w:sz w:val="16"/>
                <w:szCs w:val="16"/>
              </w:rPr>
              <w:t xml:space="preserve">Arthur Conan Doyle, “The Hound of the Baskervilles” </w:t>
            </w:r>
          </w:p>
          <w:p w:rsidR="00884960" w:rsidRDefault="00884960" w:rsidP="00C27BB3">
            <w:pPr>
              <w:pStyle w:val="Tabletex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0F6B83">
              <w:rPr>
                <w:rFonts w:ascii="Calibri" w:hAnsi="Calibri" w:cs="Calibri"/>
                <w:sz w:val="16"/>
                <w:szCs w:val="16"/>
              </w:rPr>
              <w:t xml:space="preserve">Tim Winton “ The Water </w:t>
            </w:r>
            <w:r>
              <w:rPr>
                <w:rFonts w:ascii="Calibri" w:hAnsi="Calibri" w:cs="Calibri"/>
                <w:sz w:val="16"/>
                <w:szCs w:val="16"/>
              </w:rPr>
              <w:t>Was D</w:t>
            </w:r>
            <w:r w:rsidRPr="000F6B83">
              <w:rPr>
                <w:rFonts w:ascii="Calibri" w:hAnsi="Calibri" w:cs="Calibri"/>
                <w:sz w:val="16"/>
                <w:szCs w:val="16"/>
              </w:rPr>
              <w:t>ark and It Went Forever Down”</w:t>
            </w:r>
          </w:p>
          <w:p w:rsidR="00884960" w:rsidRPr="000F6B83" w:rsidRDefault="00884960" w:rsidP="00C27BB3">
            <w:pPr>
              <w:pStyle w:val="Tabletext"/>
              <w:ind w:left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Ray Bradbury “ There Will Come Soft Rains”</w:t>
            </w:r>
          </w:p>
        </w:tc>
      </w:tr>
    </w:tbl>
    <w:p w:rsidR="00667388" w:rsidRDefault="00667388" w:rsidP="001D3DE8">
      <w:pPr>
        <w:spacing w:line="360" w:lineRule="auto"/>
        <w:outlineLvl w:val="0"/>
      </w:pPr>
    </w:p>
    <w:p w:rsidR="00667388" w:rsidRDefault="00667388" w:rsidP="001D3DE8">
      <w:pPr>
        <w:spacing w:line="360" w:lineRule="auto"/>
        <w:outlineLvl w:val="0"/>
      </w:pPr>
    </w:p>
    <w:p w:rsidR="00667388" w:rsidRDefault="00667388" w:rsidP="001D3DE8">
      <w:pPr>
        <w:spacing w:line="360" w:lineRule="auto"/>
        <w:outlineLvl w:val="0"/>
      </w:pPr>
    </w:p>
    <w:p w:rsidR="00294EED" w:rsidRDefault="00294EED" w:rsidP="001D3DE8">
      <w:pPr>
        <w:spacing w:line="360" w:lineRule="auto"/>
        <w:outlineLvl w:val="0"/>
      </w:pPr>
    </w:p>
    <w:p w:rsidR="00294EED" w:rsidRDefault="00294EED" w:rsidP="001D3DE8">
      <w:pPr>
        <w:spacing w:line="360" w:lineRule="auto"/>
        <w:outlineLvl w:val="0"/>
      </w:pPr>
    </w:p>
    <w:p w:rsidR="001D3DE8" w:rsidRDefault="001D3DE8" w:rsidP="001D3DE8">
      <w:pPr>
        <w:spacing w:line="360" w:lineRule="auto"/>
        <w:outlineLvl w:val="0"/>
        <w:rPr>
          <w:b/>
          <w:u w:val="single"/>
        </w:rPr>
      </w:pPr>
    </w:p>
    <w:p w:rsidR="001D3DE8" w:rsidRDefault="001D3DE8" w:rsidP="001D3DE8">
      <w:pPr>
        <w:spacing w:line="360" w:lineRule="auto"/>
        <w:outlineLvl w:val="0"/>
        <w:rPr>
          <w:b/>
          <w:u w:val="single"/>
        </w:rPr>
      </w:pPr>
    </w:p>
    <w:p w:rsidR="001D3DE8" w:rsidRDefault="001D3DE8" w:rsidP="001D3DE8">
      <w:pPr>
        <w:spacing w:line="360" w:lineRule="auto"/>
        <w:outlineLvl w:val="0"/>
        <w:rPr>
          <w:b/>
          <w:u w:val="single"/>
        </w:rPr>
      </w:pPr>
    </w:p>
    <w:p w:rsidR="001D3DE8" w:rsidRDefault="001D3DE8" w:rsidP="001D3DE8">
      <w:pPr>
        <w:spacing w:line="360" w:lineRule="auto"/>
        <w:outlineLvl w:val="0"/>
        <w:rPr>
          <w:b/>
          <w:u w:val="single"/>
        </w:rPr>
      </w:pPr>
    </w:p>
    <w:p w:rsidR="001D3DE8" w:rsidRDefault="001D3DE8" w:rsidP="001D3DE8">
      <w:pPr>
        <w:spacing w:line="360" w:lineRule="auto"/>
        <w:outlineLvl w:val="0"/>
        <w:rPr>
          <w:b/>
          <w:u w:val="single"/>
        </w:rPr>
      </w:pPr>
    </w:p>
    <w:p w:rsidR="001D3DE8" w:rsidRDefault="001D3DE8" w:rsidP="001D3DE8">
      <w:pPr>
        <w:spacing w:line="360" w:lineRule="auto"/>
        <w:outlineLvl w:val="0"/>
        <w:rPr>
          <w:b/>
          <w:u w:val="single"/>
        </w:rPr>
      </w:pPr>
    </w:p>
    <w:p w:rsidR="001D3DE8" w:rsidRDefault="001D3DE8" w:rsidP="001D3DE8">
      <w:pPr>
        <w:spacing w:line="360" w:lineRule="auto"/>
        <w:outlineLvl w:val="0"/>
        <w:rPr>
          <w:b/>
          <w:u w:val="single"/>
        </w:rPr>
      </w:pPr>
    </w:p>
    <w:p w:rsidR="001D3DE8" w:rsidRDefault="001D3DE8" w:rsidP="001D3DE8">
      <w:pPr>
        <w:spacing w:line="360" w:lineRule="auto"/>
        <w:outlineLvl w:val="0"/>
        <w:rPr>
          <w:b/>
          <w:u w:val="single"/>
        </w:rPr>
      </w:pPr>
    </w:p>
    <w:p w:rsidR="001D3DE8" w:rsidRDefault="001D3DE8" w:rsidP="001D3DE8">
      <w:pPr>
        <w:spacing w:line="360" w:lineRule="auto"/>
        <w:outlineLvl w:val="0"/>
        <w:rPr>
          <w:b/>
          <w:u w:val="single"/>
        </w:rPr>
      </w:pPr>
    </w:p>
    <w:p w:rsidR="001D3DE8" w:rsidRDefault="001D3DE8" w:rsidP="001D3DE8">
      <w:pPr>
        <w:spacing w:line="360" w:lineRule="auto"/>
        <w:outlineLvl w:val="0"/>
        <w:rPr>
          <w:b/>
          <w:u w:val="single"/>
        </w:rPr>
      </w:pPr>
    </w:p>
    <w:p w:rsidR="001D3DE8" w:rsidRDefault="001D3DE8" w:rsidP="001D3DE8">
      <w:pPr>
        <w:spacing w:line="360" w:lineRule="auto"/>
        <w:outlineLvl w:val="0"/>
        <w:rPr>
          <w:b/>
          <w:u w:val="single"/>
        </w:rPr>
      </w:pPr>
    </w:p>
    <w:p w:rsidR="001D3DE8" w:rsidRDefault="001D3DE8" w:rsidP="001D3DE8">
      <w:pPr>
        <w:spacing w:line="360" w:lineRule="auto"/>
        <w:outlineLvl w:val="0"/>
        <w:rPr>
          <w:b/>
          <w:u w:val="single"/>
        </w:rPr>
      </w:pPr>
    </w:p>
    <w:p w:rsidR="001D3DE8" w:rsidRDefault="001D3DE8" w:rsidP="001D3DE8">
      <w:pPr>
        <w:spacing w:line="360" w:lineRule="auto"/>
        <w:outlineLvl w:val="0"/>
        <w:rPr>
          <w:b/>
          <w:u w:val="single"/>
        </w:rPr>
      </w:pPr>
    </w:p>
    <w:p w:rsidR="00ED23B7" w:rsidRPr="001D3DE8" w:rsidRDefault="00667388" w:rsidP="001D3DE8">
      <w:pPr>
        <w:spacing w:line="360" w:lineRule="auto"/>
        <w:outlineLvl w:val="0"/>
        <w:rPr>
          <w:b/>
          <w:sz w:val="40"/>
          <w:u w:val="single"/>
        </w:rPr>
      </w:pPr>
      <w:r w:rsidRPr="001D3DE8">
        <w:rPr>
          <w:b/>
          <w:sz w:val="32"/>
          <w:u w:val="single"/>
        </w:rPr>
        <w:t>Defence</w:t>
      </w:r>
    </w:p>
    <w:p w:rsidR="00ED23B7" w:rsidRPr="00CA3F0E" w:rsidRDefault="00ED23B7" w:rsidP="001D3DE8">
      <w:pPr>
        <w:spacing w:after="120" w:line="360" w:lineRule="auto"/>
      </w:pPr>
      <w:r w:rsidRPr="00CA3F0E">
        <w:t>Literary theorists have investigated a plethora of approaches to construe meanings from text, each one focusing respectively upon the role of the reader, author or the text itself. Author-</w:t>
      </w:r>
      <w:r>
        <w:t>centred</w:t>
      </w:r>
      <w:r w:rsidRPr="00CA3F0E">
        <w:t xml:space="preserve"> theorists asserted the authority of an </w:t>
      </w:r>
      <w:r w:rsidRPr="00CA3F0E">
        <w:rPr>
          <w:i/>
        </w:rPr>
        <w:t>‘Author-God’</w:t>
      </w:r>
      <w:r w:rsidRPr="00CA3F0E">
        <w:t xml:space="preserve"> </w:t>
      </w:r>
      <w:sdt>
        <w:sdtPr>
          <w:id w:val="1456923"/>
          <w:citation/>
        </w:sdtPr>
        <w:sdtEndPr/>
        <w:sdtContent>
          <w:r w:rsidR="006447C0">
            <w:rPr>
              <w:noProof/>
            </w:rPr>
            <w:fldChar w:fldCharType="begin"/>
          </w:r>
          <w:r w:rsidR="006447C0">
            <w:rPr>
              <w:noProof/>
            </w:rPr>
            <w:instrText xml:space="preserve"> CITATION Gal10 \l 3081 </w:instrText>
          </w:r>
          <w:r w:rsidR="006447C0">
            <w:rPr>
              <w:noProof/>
            </w:rPr>
            <w:fldChar w:fldCharType="separate"/>
          </w:r>
          <w:r>
            <w:rPr>
              <w:noProof/>
            </w:rPr>
            <w:t>(Gallix, 2010)</w:t>
          </w:r>
          <w:r w:rsidR="006447C0">
            <w:rPr>
              <w:noProof/>
            </w:rPr>
            <w:fldChar w:fldCharType="end"/>
          </w:r>
        </w:sdtContent>
      </w:sdt>
      <w:r w:rsidRPr="00CA3F0E">
        <w:t xml:space="preserve"> as sole creator of meaning. As literary theory evolved, the ‘Author-God’ came to be seen as unreliable; authorial intention was acknowledged as the ‘</w:t>
      </w:r>
      <w:r w:rsidRPr="00CA3F0E">
        <w:rPr>
          <w:i/>
        </w:rPr>
        <w:t>intentional fallacy’</w:t>
      </w:r>
      <w:r w:rsidRPr="00CA3F0E">
        <w:t xml:space="preserve"> </w:t>
      </w:r>
      <w:sdt>
        <w:sdtPr>
          <w:id w:val="1456924"/>
          <w:citation/>
        </w:sdtPr>
        <w:sdtEndPr/>
        <w:sdtContent>
          <w:r w:rsidR="006447C0">
            <w:rPr>
              <w:noProof/>
            </w:rPr>
            <w:fldChar w:fldCharType="begin"/>
          </w:r>
          <w:r w:rsidR="006447C0">
            <w:rPr>
              <w:noProof/>
            </w:rPr>
            <w:instrText xml:space="preserve"> CITATION Bea46 \l 3081 </w:instrText>
          </w:r>
          <w:r w:rsidR="006447C0">
            <w:rPr>
              <w:noProof/>
            </w:rPr>
            <w:fldChar w:fldCharType="separate"/>
          </w:r>
          <w:r>
            <w:rPr>
              <w:noProof/>
            </w:rPr>
            <w:t>(Beardsley, 1946)</w:t>
          </w:r>
          <w:r w:rsidR="006447C0">
            <w:rPr>
              <w:noProof/>
            </w:rPr>
            <w:fldChar w:fldCharType="end"/>
          </w:r>
        </w:sdtContent>
      </w:sdt>
      <w:r w:rsidRPr="00CA3F0E">
        <w:t xml:space="preserve">. The text-centred approach further debunked author-centred approaches to texts, positing that meaning exists in </w:t>
      </w:r>
      <w:r w:rsidRPr="00CA3F0E">
        <w:rPr>
          <w:i/>
        </w:rPr>
        <w:t>‘the words on the page’</w:t>
      </w:r>
      <w:sdt>
        <w:sdtPr>
          <w:rPr>
            <w:i/>
          </w:rPr>
          <w:id w:val="1456926"/>
          <w:citation/>
        </w:sdtPr>
        <w:sdtEndPr/>
        <w:sdtContent>
          <w:r w:rsidR="006447C0">
            <w:rPr>
              <w:noProof/>
            </w:rPr>
            <w:fldChar w:fldCharType="begin"/>
          </w:r>
          <w:r w:rsidR="006447C0">
            <w:rPr>
              <w:noProof/>
            </w:rPr>
            <w:instrText xml:space="preserve"> CITATION Lye96 \l 3081 </w:instrText>
          </w:r>
          <w:r w:rsidR="006447C0">
            <w:rPr>
              <w:noProof/>
            </w:rPr>
            <w:fldChar w:fldCharType="separate"/>
          </w:r>
          <w:r>
            <w:rPr>
              <w:noProof/>
            </w:rPr>
            <w:t>(Lye, 1996)</w:t>
          </w:r>
          <w:r w:rsidR="006447C0">
            <w:rPr>
              <w:noProof/>
            </w:rPr>
            <w:fldChar w:fldCharType="end"/>
          </w:r>
        </w:sdtContent>
      </w:sdt>
      <w:r w:rsidRPr="00CA3F0E">
        <w:t xml:space="preserve"> so that all sophisticated readers derive a similar interpretation. Twentieth century reader-centred theorists </w:t>
      </w:r>
      <w:r>
        <w:t xml:space="preserve">further </w:t>
      </w:r>
      <w:r w:rsidRPr="00CA3F0E">
        <w:t xml:space="preserve">proposed that text was only ‘ink on paper’, asserting that meanings were culturally transferred between readers; the text’s meaning exists </w:t>
      </w:r>
      <w:r w:rsidRPr="00CA3F0E">
        <w:rPr>
          <w:i/>
        </w:rPr>
        <w:t>‘only in the reader’s mind’</w:t>
      </w:r>
      <w:r w:rsidRPr="00CA3F0E">
        <w:t xml:space="preserve"> </w:t>
      </w:r>
      <w:sdt>
        <w:sdtPr>
          <w:id w:val="1456927"/>
          <w:citation/>
        </w:sdtPr>
        <w:sdtEndPr/>
        <w:sdtContent>
          <w:r w:rsidR="006447C0">
            <w:rPr>
              <w:noProof/>
            </w:rPr>
            <w:fldChar w:fldCharType="begin"/>
          </w:r>
          <w:r w:rsidR="006447C0">
            <w:rPr>
              <w:noProof/>
            </w:rPr>
            <w:instrText xml:space="preserve"> CITATION Lye96 \l 3081 </w:instrText>
          </w:r>
          <w:r w:rsidR="006447C0">
            <w:rPr>
              <w:noProof/>
            </w:rPr>
            <w:fldChar w:fldCharType="separate"/>
          </w:r>
          <w:r>
            <w:rPr>
              <w:noProof/>
            </w:rPr>
            <w:t>(Lye, 1996)</w:t>
          </w:r>
          <w:r w:rsidR="006447C0">
            <w:rPr>
              <w:noProof/>
            </w:rPr>
            <w:fldChar w:fldCharType="end"/>
          </w:r>
        </w:sdtContent>
      </w:sdt>
      <w:r w:rsidRPr="00CA3F0E">
        <w:t xml:space="preserve">. </w:t>
      </w:r>
      <w:r>
        <w:t>T</w:t>
      </w:r>
      <w:r w:rsidRPr="00CA3F0E">
        <w:t>he reader’s involvement with the text was vital.</w:t>
      </w:r>
    </w:p>
    <w:p w:rsidR="00ED23B7" w:rsidRPr="00CA3F0E" w:rsidRDefault="00ED23B7" w:rsidP="001D3DE8">
      <w:pPr>
        <w:spacing w:before="120" w:after="120" w:line="360" w:lineRule="auto"/>
        <w:rPr>
          <w:b/>
        </w:rPr>
      </w:pPr>
      <w:r w:rsidRPr="00CA3F0E">
        <w:t xml:space="preserve">Louise Rosenblatt posited that there are </w:t>
      </w:r>
      <w:r w:rsidRPr="00CA3F0E">
        <w:rPr>
          <w:i/>
        </w:rPr>
        <w:t>‘two opposing modes of experiences of a text-the “efferent” and the “aesthetic”.’</w:t>
      </w:r>
      <w:r w:rsidRPr="00CA3F0E">
        <w:t xml:space="preserve"> When reading from the efferent position the reader is motivated only to acquire information. Alternately, aesthetic readers interpret the novel through unique personal experiences and individual engagement with the text</w:t>
      </w:r>
      <w:sdt>
        <w:sdtPr>
          <w:id w:val="2161412"/>
          <w:citation/>
        </w:sdtPr>
        <w:sdtEndPr/>
        <w:sdtContent>
          <w:r w:rsidR="006447C0">
            <w:rPr>
              <w:noProof/>
            </w:rPr>
            <w:fldChar w:fldCharType="begin"/>
          </w:r>
          <w:r w:rsidR="006447C0">
            <w:rPr>
              <w:noProof/>
            </w:rPr>
            <w:instrText xml:space="preserve"> CITATION Lou78 \l 3081 </w:instrText>
          </w:r>
          <w:r w:rsidR="006447C0">
            <w:rPr>
              <w:noProof/>
            </w:rPr>
            <w:fldChar w:fldCharType="separate"/>
          </w:r>
          <w:r>
            <w:rPr>
              <w:noProof/>
            </w:rPr>
            <w:t>(Rosenblatt, 1978)</w:t>
          </w:r>
          <w:r w:rsidR="006447C0">
            <w:rPr>
              <w:noProof/>
            </w:rPr>
            <w:fldChar w:fldCharType="end"/>
          </w:r>
        </w:sdtContent>
      </w:sdt>
      <w:r w:rsidRPr="00CA3F0E">
        <w:t xml:space="preserve">. During my reading of </w:t>
      </w:r>
      <w:r w:rsidRPr="00CA3F0E">
        <w:rPr>
          <w:i/>
        </w:rPr>
        <w:t>‘The Turn of the Screw’</w:t>
      </w:r>
      <w:r w:rsidRPr="00CA3F0E">
        <w:t xml:space="preserve"> by Henry James I found that, though I believed I took Louise Rosenblatt’s </w:t>
      </w:r>
      <w:r w:rsidRPr="00CA3F0E">
        <w:rPr>
          <w:i/>
        </w:rPr>
        <w:t>“efferent”</w:t>
      </w:r>
      <w:r w:rsidRPr="00CA3F0E">
        <w:t xml:space="preserve"> approach, I actually read as a psychological reader, or as Rosenblatt described it, an </w:t>
      </w:r>
      <w:r w:rsidRPr="00CA3F0E">
        <w:rPr>
          <w:i/>
        </w:rPr>
        <w:t>“aesthetic”</w:t>
      </w:r>
      <w:r w:rsidRPr="00CA3F0E">
        <w:t xml:space="preserve"> reader</w:t>
      </w:r>
      <w:sdt>
        <w:sdtPr>
          <w:id w:val="2161410"/>
          <w:citation/>
        </w:sdtPr>
        <w:sdtEndPr/>
        <w:sdtContent>
          <w:r w:rsidR="006447C0">
            <w:rPr>
              <w:noProof/>
            </w:rPr>
            <w:fldChar w:fldCharType="begin"/>
          </w:r>
          <w:r w:rsidR="006447C0">
            <w:rPr>
              <w:noProof/>
            </w:rPr>
            <w:instrText xml:space="preserve"> CITATION Chu97 \l 3081 </w:instrText>
          </w:r>
          <w:r w:rsidR="006447C0">
            <w:rPr>
              <w:noProof/>
            </w:rPr>
            <w:fldChar w:fldCharType="separate"/>
          </w:r>
          <w:r>
            <w:rPr>
              <w:noProof/>
            </w:rPr>
            <w:t>(Church, 1997)</w:t>
          </w:r>
          <w:r w:rsidR="006447C0">
            <w:rPr>
              <w:noProof/>
            </w:rPr>
            <w:fldChar w:fldCharType="end"/>
          </w:r>
        </w:sdtContent>
      </w:sdt>
      <w:r>
        <w:t>,</w:t>
      </w:r>
      <w:r w:rsidRPr="00CA3F0E">
        <w:t xml:space="preserve"> “</w:t>
      </w:r>
      <w:r w:rsidRPr="00CA3F0E">
        <w:rPr>
          <w:i/>
        </w:rPr>
        <w:t>I found myself siding with the governess</w:t>
      </w:r>
      <w:r>
        <w:rPr>
          <w:i/>
        </w:rPr>
        <w:t xml:space="preserve">.” </w:t>
      </w:r>
      <w:r w:rsidRPr="00CA3F0E">
        <w:t>Rosenblatt’s work in literary theory from the 1930s onwards was the generational instigator of a theoretical movement from which many prominent theorists launched their theories, including Stanley Fish and Norman Holland.</w:t>
      </w:r>
    </w:p>
    <w:p w:rsidR="00ED23B7" w:rsidRPr="00CA3F0E" w:rsidRDefault="00ED23B7" w:rsidP="001D3DE8">
      <w:pPr>
        <w:spacing w:before="120" w:after="120" w:line="360" w:lineRule="auto"/>
      </w:pPr>
      <w:r w:rsidRPr="00CA3F0E">
        <w:lastRenderedPageBreak/>
        <w:t xml:space="preserve">Stanley Fish created a phenomenological theory, based on the concept of ‘interpretive communities’ </w:t>
      </w:r>
      <w:sdt>
        <w:sdtPr>
          <w:id w:val="551899118"/>
          <w:citation/>
        </w:sdtPr>
        <w:sdtEndPr/>
        <w:sdtContent>
          <w:r w:rsidR="006447C0">
            <w:rPr>
              <w:noProof/>
            </w:rPr>
            <w:fldChar w:fldCharType="begin"/>
          </w:r>
          <w:r w:rsidR="006447C0">
            <w:rPr>
              <w:noProof/>
            </w:rPr>
            <w:instrText xml:space="preserve"> CITATION Chr12 \l 3081 </w:instrText>
          </w:r>
          <w:r w:rsidR="006447C0">
            <w:rPr>
              <w:noProof/>
            </w:rPr>
            <w:fldChar w:fldCharType="separate"/>
          </w:r>
          <w:r>
            <w:rPr>
              <w:noProof/>
            </w:rPr>
            <w:t>(Lang, 2012)</w:t>
          </w:r>
          <w:r w:rsidR="006447C0">
            <w:rPr>
              <w:noProof/>
            </w:rPr>
            <w:fldChar w:fldCharType="end"/>
          </w:r>
        </w:sdtContent>
      </w:sdt>
      <w:r w:rsidRPr="00CA3F0E">
        <w:t>. Fish held the perspective that it is the reader who projects formal features identifiable in all times and places onto a text, much as I did when I stated, “</w:t>
      </w:r>
      <w:r w:rsidRPr="00CA3F0E">
        <w:rPr>
          <w:i/>
        </w:rPr>
        <w:t>I was expecting a typical gothic horror”</w:t>
      </w:r>
      <w:r w:rsidRPr="00CA3F0E">
        <w:t xml:space="preserve">. Fish’s theory </w:t>
      </w:r>
      <w:r w:rsidRPr="00CA3F0E">
        <w:rPr>
          <w:i/>
        </w:rPr>
        <w:t>‘places the meaning solely within the arena of those receiving the text’</w:t>
      </w:r>
      <w:sdt>
        <w:sdtPr>
          <w:id w:val="67941217"/>
          <w:citation/>
        </w:sdtPr>
        <w:sdtEndPr/>
        <w:sdtContent>
          <w:r w:rsidR="006447C0">
            <w:rPr>
              <w:noProof/>
            </w:rPr>
            <w:fldChar w:fldCharType="begin"/>
          </w:r>
          <w:r w:rsidR="006447C0">
            <w:rPr>
              <w:noProof/>
            </w:rPr>
            <w:instrText xml:space="preserve"> CITATION Chr12 \l 3081 </w:instrText>
          </w:r>
          <w:r w:rsidR="006447C0">
            <w:rPr>
              <w:noProof/>
            </w:rPr>
            <w:fldChar w:fldCharType="separate"/>
          </w:r>
          <w:r>
            <w:rPr>
              <w:noProof/>
            </w:rPr>
            <w:t>(Lang, 2012)</w:t>
          </w:r>
          <w:r w:rsidR="006447C0">
            <w:rPr>
              <w:noProof/>
            </w:rPr>
            <w:fldChar w:fldCharType="end"/>
          </w:r>
        </w:sdtContent>
      </w:sdt>
      <w:r w:rsidRPr="00CA3F0E">
        <w:t xml:space="preserve">; however, this is not the individual, rather it is the group with whom the reader identifies. Fish’s reading strategy creates meaning as the reader </w:t>
      </w:r>
      <w:r w:rsidRPr="00CA3F0E">
        <w:rPr>
          <w:i/>
        </w:rPr>
        <w:t>‘authors the text’</w:t>
      </w:r>
      <w:r w:rsidRPr="00CA3F0E">
        <w:t xml:space="preserve"> </w:t>
      </w:r>
      <w:sdt>
        <w:sdtPr>
          <w:id w:val="1081713640"/>
          <w:citation/>
        </w:sdtPr>
        <w:sdtEndPr/>
        <w:sdtContent>
          <w:r w:rsidR="006447C0">
            <w:rPr>
              <w:noProof/>
            </w:rPr>
            <w:fldChar w:fldCharType="begin"/>
          </w:r>
          <w:r w:rsidR="006447C0">
            <w:rPr>
              <w:noProof/>
            </w:rPr>
            <w:instrText xml:space="preserve"> CITATION Gul11 \l 3081 </w:instrText>
          </w:r>
          <w:r w:rsidR="006447C0">
            <w:rPr>
              <w:noProof/>
            </w:rPr>
            <w:fldChar w:fldCharType="separate"/>
          </w:r>
          <w:r>
            <w:rPr>
              <w:noProof/>
            </w:rPr>
            <w:t>(Gulish, 2011)</w:t>
          </w:r>
          <w:r w:rsidR="006447C0">
            <w:rPr>
              <w:noProof/>
            </w:rPr>
            <w:fldChar w:fldCharType="end"/>
          </w:r>
        </w:sdtContent>
      </w:sdt>
      <w:r w:rsidRPr="00CA3F0E">
        <w:t xml:space="preserve"> using clarifying strategies formed by their ‘interpretive community’. I employed this approach to </w:t>
      </w:r>
      <w:proofErr w:type="spellStart"/>
      <w:r w:rsidRPr="00CA3F0E">
        <w:t>problematise</w:t>
      </w:r>
      <w:proofErr w:type="spellEnd"/>
      <w:r w:rsidRPr="00CA3F0E">
        <w:t xml:space="preserve"> the Wilsonian viewpoint. I identified my own </w:t>
      </w:r>
      <w:r w:rsidRPr="00CA3F0E">
        <w:rPr>
          <w:i/>
        </w:rPr>
        <w:t>“romanticised values of honour and love”</w:t>
      </w:r>
      <w:r w:rsidRPr="00CA3F0E">
        <w:t xml:space="preserve"> which I have adopted from culture and thus my interpretive community. Although Fish’s theory can be applied to describe my reading approach, I found his ideas constrictive. Interpretive communities do not address the idea that the reader can both bring and take away from the text; this theory posits that </w:t>
      </w:r>
      <w:r w:rsidRPr="00CA3F0E">
        <w:rPr>
          <w:i/>
        </w:rPr>
        <w:t>‘the reader is only reading their preunderstanding back into the text’</w:t>
      </w:r>
      <w:sdt>
        <w:sdtPr>
          <w:id w:val="2024439297"/>
          <w:citation/>
        </w:sdtPr>
        <w:sdtEndPr/>
        <w:sdtContent>
          <w:r w:rsidR="006447C0">
            <w:rPr>
              <w:noProof/>
            </w:rPr>
            <w:fldChar w:fldCharType="begin"/>
          </w:r>
          <w:r w:rsidR="006447C0">
            <w:rPr>
              <w:noProof/>
            </w:rPr>
            <w:instrText xml:space="preserve"> CITATION Chr12 \l 3081 </w:instrText>
          </w:r>
          <w:r w:rsidR="006447C0">
            <w:rPr>
              <w:noProof/>
            </w:rPr>
            <w:fldChar w:fldCharType="separate"/>
          </w:r>
          <w:r>
            <w:rPr>
              <w:noProof/>
            </w:rPr>
            <w:t>(Lang, 2012)</w:t>
          </w:r>
          <w:r w:rsidR="006447C0">
            <w:rPr>
              <w:noProof/>
            </w:rPr>
            <w:fldChar w:fldCharType="end"/>
          </w:r>
        </w:sdtContent>
      </w:sdt>
      <w:r w:rsidRPr="00CA3F0E">
        <w:t xml:space="preserve">. It is assumed that the text has no form of its own, only the form that the reader, </w:t>
      </w:r>
      <w:r w:rsidR="009D02E7" w:rsidRPr="00CA3F0E">
        <w:t>channelling</w:t>
      </w:r>
      <w:r w:rsidRPr="00CA3F0E">
        <w:t xml:space="preserve"> the interpretive community, gives to the text. I have found that as a reader, many of my values and beliefs are shaped by what I have read; therefore Fish’s theory does not quite satisfy my understanding of how I read the text.</w:t>
      </w:r>
    </w:p>
    <w:p w:rsidR="00ED23B7" w:rsidRPr="00CA3F0E" w:rsidRDefault="00ED23B7" w:rsidP="001D3DE8">
      <w:pPr>
        <w:spacing w:before="120" w:after="120" w:line="360" w:lineRule="auto"/>
      </w:pPr>
      <w:r w:rsidRPr="00CA3F0E">
        <w:t xml:space="preserve">As I continued to read, I </w:t>
      </w:r>
      <w:r>
        <w:t>employed</w:t>
      </w:r>
      <w:r w:rsidRPr="00CA3F0E">
        <w:t xml:space="preserve"> Norman Holland’s psychological concept, </w:t>
      </w:r>
      <w:r w:rsidRPr="00CA3F0E">
        <w:rPr>
          <w:i/>
        </w:rPr>
        <w:t>‘</w:t>
      </w:r>
      <w:r w:rsidRPr="00CA3F0E">
        <w:t xml:space="preserve">identity theme’ </w:t>
      </w:r>
      <w:sdt>
        <w:sdtPr>
          <w:id w:val="109131841"/>
          <w:citation/>
        </w:sdtPr>
        <w:sdtEndPr/>
        <w:sdtContent>
          <w:r w:rsidR="006447C0">
            <w:rPr>
              <w:noProof/>
            </w:rPr>
            <w:fldChar w:fldCharType="begin"/>
          </w:r>
          <w:r w:rsidR="006447C0">
            <w:rPr>
              <w:noProof/>
            </w:rPr>
            <w:instrText xml:space="preserve"> CITATION Hol98 \l 3081  </w:instrText>
          </w:r>
          <w:r w:rsidR="006447C0">
            <w:rPr>
              <w:noProof/>
            </w:rPr>
            <w:fldChar w:fldCharType="separate"/>
          </w:r>
          <w:r>
            <w:rPr>
              <w:noProof/>
            </w:rPr>
            <w:t>(Holland, 1998)</w:t>
          </w:r>
          <w:r w:rsidR="006447C0">
            <w:rPr>
              <w:noProof/>
            </w:rPr>
            <w:fldChar w:fldCharType="end"/>
          </w:r>
        </w:sdtContent>
      </w:sdt>
      <w:r w:rsidRPr="00CA3F0E">
        <w:t xml:space="preserve">.  This theory focuses upon how each individual </w:t>
      </w:r>
      <w:r w:rsidRPr="00CA3F0E">
        <w:rPr>
          <w:i/>
        </w:rPr>
        <w:t xml:space="preserve">‘construes it [the novel] differently’ </w:t>
      </w:r>
      <w:r w:rsidRPr="00CA3F0E">
        <w:t xml:space="preserve">due to his or her individual personality </w:t>
      </w:r>
      <w:sdt>
        <w:sdtPr>
          <w:id w:val="67941218"/>
          <w:citation/>
        </w:sdtPr>
        <w:sdtEndPr/>
        <w:sdtContent>
          <w:r w:rsidR="006447C0">
            <w:rPr>
              <w:noProof/>
            </w:rPr>
            <w:fldChar w:fldCharType="begin"/>
          </w:r>
          <w:r w:rsidR="006447C0">
            <w:rPr>
              <w:noProof/>
            </w:rPr>
            <w:instrText xml:space="preserve"> CITATION Hol98 \l 3081 </w:instrText>
          </w:r>
          <w:r w:rsidR="006447C0">
            <w:rPr>
              <w:noProof/>
            </w:rPr>
            <w:fldChar w:fldCharType="separate"/>
          </w:r>
          <w:r>
            <w:rPr>
              <w:noProof/>
            </w:rPr>
            <w:t>(Holland, 1998)</w:t>
          </w:r>
          <w:r w:rsidR="006447C0">
            <w:rPr>
              <w:noProof/>
            </w:rPr>
            <w:fldChar w:fldCharType="end"/>
          </w:r>
        </w:sdtContent>
      </w:sdt>
      <w:r w:rsidRPr="00CA3F0E">
        <w:t xml:space="preserve">. According to Holland’s theory we actively interact with literature </w:t>
      </w:r>
      <w:r w:rsidRPr="00CA3F0E">
        <w:rPr>
          <w:i/>
        </w:rPr>
        <w:t>‘so as to re-create our identities’</w:t>
      </w:r>
      <w:r w:rsidRPr="00CA3F0E">
        <w:t xml:space="preserve">. This concept relates to Rosenblatt’s ‘transactional theory’ that </w:t>
      </w:r>
      <w:r>
        <w:t>suggests</w:t>
      </w:r>
      <w:r w:rsidRPr="00CA3F0E">
        <w:t xml:space="preserve"> that the reader and the text continuously act and are acted upon by each other – that each of these acts is a unique experience for the reader</w:t>
      </w:r>
      <w:sdt>
        <w:sdtPr>
          <w:id w:val="67941219"/>
          <w:citation/>
        </w:sdtPr>
        <w:sdtEndPr/>
        <w:sdtContent>
          <w:r w:rsidR="006447C0">
            <w:rPr>
              <w:noProof/>
            </w:rPr>
            <w:fldChar w:fldCharType="begin"/>
          </w:r>
          <w:r w:rsidR="006447C0">
            <w:rPr>
              <w:noProof/>
            </w:rPr>
            <w:instrText xml:space="preserve"> CITATION Lou78 </w:instrText>
          </w:r>
          <w:r w:rsidR="006447C0">
            <w:rPr>
              <w:noProof/>
            </w:rPr>
            <w:instrText xml:space="preserve">\l 3081 </w:instrText>
          </w:r>
          <w:r w:rsidR="006447C0">
            <w:rPr>
              <w:noProof/>
            </w:rPr>
            <w:fldChar w:fldCharType="separate"/>
          </w:r>
          <w:r>
            <w:rPr>
              <w:noProof/>
            </w:rPr>
            <w:t>(Rosenblatt, 1978)</w:t>
          </w:r>
          <w:r w:rsidR="006447C0">
            <w:rPr>
              <w:noProof/>
            </w:rPr>
            <w:fldChar w:fldCharType="end"/>
          </w:r>
        </w:sdtContent>
      </w:sdt>
      <w:r w:rsidRPr="00CA3F0E">
        <w:t>, By personally relating to the governess I was using Rosenblatt’s 'transactional theory’ but ‘identity theme’ reaches beyond this; in Holland’s theory we completely re-create ourselves when we read and no matter the kind of literature we are interacting with</w:t>
      </w:r>
      <w:r>
        <w:t>,</w:t>
      </w:r>
      <w:r w:rsidRPr="00CA3F0E">
        <w:t xml:space="preserve"> it will affect our personality in some way, </w:t>
      </w:r>
      <w:r w:rsidRPr="00CA3F0E">
        <w:rPr>
          <w:i/>
        </w:rPr>
        <w:t>“I could understand and personally justify her every action.”</w:t>
      </w:r>
      <w:r w:rsidRPr="00CA3F0E">
        <w:t>.</w:t>
      </w:r>
    </w:p>
    <w:p w:rsidR="00ED23B7" w:rsidRPr="00CA3F0E" w:rsidRDefault="00ED23B7" w:rsidP="001D3DE8">
      <w:pPr>
        <w:spacing w:before="120" w:after="120" w:line="360" w:lineRule="auto"/>
      </w:pPr>
      <w:r w:rsidRPr="00CA3F0E">
        <w:t xml:space="preserve">The key feature of identity theme is the reader’s understanding within a framework of </w:t>
      </w:r>
      <w:r w:rsidR="009D02E7" w:rsidRPr="00CA3F0E">
        <w:t>defence</w:t>
      </w:r>
      <w:r w:rsidRPr="00CA3F0E">
        <w:t xml:space="preserve">, expectations, fantasies and transformations (DEFT). </w:t>
      </w:r>
      <w:r w:rsidR="009D02E7" w:rsidRPr="00CA3F0E">
        <w:t>Defence</w:t>
      </w:r>
      <w:r w:rsidRPr="00CA3F0E">
        <w:t xml:space="preserve"> addresses what societal influences the reader allows to affect their expectations of the novel and how they re-create themselves through these transactions with novel, in many ways this is similar to Fish’s ‘interpretive communities’. When addressing the ‘Wilsonian’ viewpoint I allowed societal influences to affect my opinion of an adequate plot ending, </w:t>
      </w:r>
      <w:r w:rsidRPr="00CA3F0E">
        <w:rPr>
          <w:i/>
        </w:rPr>
        <w:t xml:space="preserve">“I…find myself an anti-Wilsonian who prefers a </w:t>
      </w:r>
      <w:r>
        <w:rPr>
          <w:i/>
        </w:rPr>
        <w:t>supernatural meaning</w:t>
      </w:r>
      <w:r w:rsidRPr="00CA3F0E">
        <w:rPr>
          <w:i/>
        </w:rPr>
        <w:t>.”</w:t>
      </w:r>
      <w:r w:rsidRPr="00CA3F0E">
        <w:t xml:space="preserve"> These expectations, in turn, characterize the reading of the literary work within the reader’s ‘horizons of expectations’. Both </w:t>
      </w:r>
      <w:r w:rsidR="009D02E7" w:rsidRPr="00CA3F0E">
        <w:t>defence</w:t>
      </w:r>
      <w:r w:rsidRPr="00CA3F0E">
        <w:t xml:space="preserve"> and expectation are enforced by the fantasies the reader projects upon </w:t>
      </w:r>
      <w:r w:rsidRPr="00CA3F0E">
        <w:lastRenderedPageBreak/>
        <w:t xml:space="preserve">the text, that is, what the individual includes of their personality within their understanding of the novel and its characters. I used my fantasies to relate the governess’ life to reoccurring patterns within my own life including </w:t>
      </w:r>
      <w:r w:rsidRPr="00CA3F0E">
        <w:rPr>
          <w:i/>
        </w:rPr>
        <w:t>“my own commitment to shield others from harmful realities”</w:t>
      </w:r>
      <w:r w:rsidRPr="00CA3F0E">
        <w:t xml:space="preserve">.  Together </w:t>
      </w:r>
      <w:r w:rsidR="009D02E7" w:rsidRPr="00CA3F0E">
        <w:t>defence</w:t>
      </w:r>
      <w:r w:rsidRPr="00CA3F0E">
        <w:t xml:space="preserve">, expectations and fantasies allow the work to be transformed to </w:t>
      </w:r>
      <w:r w:rsidRPr="00CA3F0E">
        <w:rPr>
          <w:i/>
        </w:rPr>
        <w:t xml:space="preserve">‘have a meaning beyond </w:t>
      </w:r>
      <w:proofErr w:type="gramStart"/>
      <w:r w:rsidRPr="00CA3F0E">
        <w:rPr>
          <w:i/>
        </w:rPr>
        <w:t>time’</w:t>
      </w:r>
      <w:proofErr w:type="gramEnd"/>
      <w:sdt>
        <w:sdtPr>
          <w:rPr>
            <w:i/>
          </w:rPr>
          <w:id w:val="1456915"/>
          <w:citation/>
        </w:sdtPr>
        <w:sdtEndPr/>
        <w:sdtContent>
          <w:r w:rsidR="006447C0">
            <w:rPr>
              <w:noProof/>
            </w:rPr>
            <w:fldChar w:fldCharType="begin"/>
          </w:r>
          <w:r w:rsidR="006447C0">
            <w:rPr>
              <w:noProof/>
            </w:rPr>
            <w:instrText xml:space="preserve"> CITATION Hol98 \l 3081 </w:instrText>
          </w:r>
          <w:r w:rsidR="006447C0">
            <w:rPr>
              <w:noProof/>
            </w:rPr>
            <w:fldChar w:fldCharType="separate"/>
          </w:r>
          <w:r>
            <w:rPr>
              <w:noProof/>
            </w:rPr>
            <w:t>(Holland, 1998)</w:t>
          </w:r>
          <w:r w:rsidR="006447C0">
            <w:rPr>
              <w:noProof/>
            </w:rPr>
            <w:fldChar w:fldCharType="end"/>
          </w:r>
        </w:sdtContent>
      </w:sdt>
      <w:r w:rsidRPr="00CA3F0E">
        <w:t xml:space="preserve"> thus allowing the reader to be changed by the text. DEFT places the reader’s understanding at a crossroads between human experience, internal and external influence and the ideologies of the person</w:t>
      </w:r>
      <w:sdt>
        <w:sdtPr>
          <w:id w:val="1456940"/>
          <w:citation/>
        </w:sdtPr>
        <w:sdtEndPr/>
        <w:sdtContent>
          <w:r w:rsidR="006447C0">
            <w:rPr>
              <w:noProof/>
            </w:rPr>
            <w:fldChar w:fldCharType="begin"/>
          </w:r>
          <w:r w:rsidR="006447C0">
            <w:rPr>
              <w:noProof/>
            </w:rPr>
            <w:instrText xml:space="preserve"> CITATION Hol98 \l 3081 </w:instrText>
          </w:r>
          <w:r w:rsidR="006447C0">
            <w:rPr>
              <w:noProof/>
            </w:rPr>
            <w:fldChar w:fldCharType="separate"/>
          </w:r>
          <w:r>
            <w:rPr>
              <w:noProof/>
            </w:rPr>
            <w:t>(Holland, 1998)</w:t>
          </w:r>
          <w:r w:rsidR="006447C0">
            <w:rPr>
              <w:noProof/>
            </w:rPr>
            <w:fldChar w:fldCharType="end"/>
          </w:r>
        </w:sdtContent>
      </w:sdt>
      <w:r w:rsidRPr="00CA3F0E">
        <w:t xml:space="preserve">. These elements created, for me, a DEFT reading of the novel and in particular the governess with whom I </w:t>
      </w:r>
      <w:r w:rsidRPr="00CA3F0E">
        <w:rPr>
          <w:i/>
        </w:rPr>
        <w:t>“found myself siding”</w:t>
      </w:r>
      <w:r w:rsidRPr="00CA3F0E">
        <w:t>.</w:t>
      </w:r>
    </w:p>
    <w:p w:rsidR="00ED23B7" w:rsidRPr="00CA3F0E" w:rsidRDefault="00ED23B7" w:rsidP="001D3DE8">
      <w:pPr>
        <w:spacing w:before="120" w:after="120" w:line="360" w:lineRule="auto"/>
      </w:pPr>
      <w:r>
        <w:t xml:space="preserve">In the conclusion of my reading, </w:t>
      </w:r>
      <w:r w:rsidRPr="00CA3F0E">
        <w:t xml:space="preserve">I </w:t>
      </w:r>
      <w:r>
        <w:t>considered the i</w:t>
      </w:r>
      <w:r w:rsidRPr="00CA3F0E">
        <w:t xml:space="preserve">nvited meaning and the implied reader of </w:t>
      </w:r>
      <w:r w:rsidRPr="00CA3F0E">
        <w:rPr>
          <w:i/>
        </w:rPr>
        <w:t>‘The Turn of the Screw’</w:t>
      </w:r>
      <w:r w:rsidRPr="00CA3F0E">
        <w:t xml:space="preserve">. I was inclined to accept the supernatural elements of the novel at face value and found myself sympathizing with the governess’ plight as she stood against the evil that the </w:t>
      </w:r>
      <w:r w:rsidR="001D3DE8" w:rsidRPr="00CA3F0E">
        <w:t>spectres</w:t>
      </w:r>
      <w:r w:rsidRPr="00CA3F0E">
        <w:t xml:space="preserve"> presented. </w:t>
      </w:r>
      <w:r>
        <w:t>I also noted that</w:t>
      </w:r>
      <w:r w:rsidRPr="00CA3F0E">
        <w:t xml:space="preserve"> more experienced readers who have looked into Freudian analysis tend towards the Wilsonian stance, making them </w:t>
      </w:r>
      <w:r w:rsidR="001D3DE8" w:rsidRPr="00CA3F0E">
        <w:t>sceptical</w:t>
      </w:r>
      <w:r w:rsidRPr="00CA3F0E">
        <w:t xml:space="preserve"> of the governess’ actions. </w:t>
      </w:r>
      <w:r>
        <w:t>T</w:t>
      </w:r>
      <w:r w:rsidRPr="00CA3F0E">
        <w:t>he author</w:t>
      </w:r>
      <w:r>
        <w:t xml:space="preserve"> has</w:t>
      </w:r>
      <w:r w:rsidRPr="00CA3F0E">
        <w:t xml:space="preserve"> made the novel purposefully ambiguous, making it difficult to elicit a single ‘invited meaning’.  I did not find myself to be, what </w:t>
      </w:r>
      <w:proofErr w:type="spellStart"/>
      <w:r w:rsidRPr="00CA3F0E">
        <w:t>Iser</w:t>
      </w:r>
      <w:proofErr w:type="spellEnd"/>
      <w:r w:rsidRPr="00CA3F0E">
        <w:t xml:space="preserve"> describes, as the ‘implied reader’</w:t>
      </w:r>
      <w:sdt>
        <w:sdtPr>
          <w:id w:val="1456933"/>
          <w:citation/>
        </w:sdtPr>
        <w:sdtEndPr/>
        <w:sdtContent>
          <w:r w:rsidR="006447C0">
            <w:rPr>
              <w:noProof/>
            </w:rPr>
            <w:fldChar w:fldCharType="begin"/>
          </w:r>
          <w:r w:rsidR="006447C0">
            <w:rPr>
              <w:noProof/>
            </w:rPr>
            <w:instrText xml:space="preserve"> CITATION Que13 \l 3081  </w:instrText>
          </w:r>
          <w:r w:rsidR="006447C0">
            <w:rPr>
              <w:noProof/>
            </w:rPr>
            <w:fldChar w:fldCharType="separate"/>
          </w:r>
          <w:r>
            <w:rPr>
              <w:noProof/>
            </w:rPr>
            <w:t>(Queensland Studies Authority, 2011)</w:t>
          </w:r>
          <w:r w:rsidR="006447C0">
            <w:rPr>
              <w:noProof/>
            </w:rPr>
            <w:fldChar w:fldCharType="end"/>
          </w:r>
        </w:sdtContent>
      </w:sdt>
      <w:r w:rsidRPr="00CA3F0E">
        <w:t xml:space="preserve"> whose ideologies align with those of the novel. While I agreed with the ideologies of the governess, the ideologies of James as the ‘implied author’ were rather different from my own. Although I agreed that good should always triumph, sometimes at a cost, I </w:t>
      </w:r>
      <w:r>
        <w:t xml:space="preserve">am not </w:t>
      </w:r>
      <w:r>
        <w:rPr>
          <w:i/>
        </w:rPr>
        <w:t>“willing to sacrifice a child for the greater good</w:t>
      </w:r>
      <w:r w:rsidRPr="00CA3F0E">
        <w:rPr>
          <w:i/>
        </w:rPr>
        <w:t>.”</w:t>
      </w:r>
      <w:r w:rsidRPr="00CA3F0E">
        <w:t xml:space="preserve"> James appears to believe that good should succeed no matter the personal toll and I disagreed with this concept. I </w:t>
      </w:r>
      <w:r>
        <w:t xml:space="preserve">thus </w:t>
      </w:r>
      <w:r w:rsidRPr="00CA3F0E">
        <w:t>found myself not to be the ‘implied reader’ as I disagree</w:t>
      </w:r>
      <w:r>
        <w:t>d</w:t>
      </w:r>
      <w:r w:rsidRPr="00CA3F0E">
        <w:t xml:space="preserve"> with the sentiments </w:t>
      </w:r>
      <w:r>
        <w:t>presented</w:t>
      </w:r>
      <w:r w:rsidRPr="00CA3F0E">
        <w:t xml:space="preserve"> by the ‘implied author’. </w:t>
      </w:r>
    </w:p>
    <w:p w:rsidR="00ED23B7" w:rsidRPr="00CA3F0E" w:rsidRDefault="00ED23B7" w:rsidP="001D3DE8">
      <w:pPr>
        <w:spacing w:before="120" w:after="120" w:line="360" w:lineRule="auto"/>
      </w:pPr>
      <w:r w:rsidRPr="00CA3F0E">
        <w:t xml:space="preserve">In conclusion, whilst Fish’s ‘interpretive communities’ partially conveyed how I read </w:t>
      </w:r>
      <w:r w:rsidRPr="00CA3F0E">
        <w:rPr>
          <w:i/>
        </w:rPr>
        <w:t>‘The Turn of The Screw’</w:t>
      </w:r>
      <w:r>
        <w:rPr>
          <w:i/>
        </w:rPr>
        <w:t>,</w:t>
      </w:r>
      <w:r w:rsidRPr="00CA3F0E">
        <w:rPr>
          <w:i/>
        </w:rPr>
        <w:t xml:space="preserve"> </w:t>
      </w:r>
      <w:r w:rsidRPr="00CA3F0E">
        <w:t xml:space="preserve">I actually took a more psychological approach, which relied heavily upon Norman Holland’s ‘identity theme’ to </w:t>
      </w:r>
      <w:r>
        <w:t>construct meaning</w:t>
      </w:r>
      <w:r w:rsidRPr="00CA3F0E">
        <w:t>.</w:t>
      </w:r>
    </w:p>
    <w:p w:rsidR="00ED23B7" w:rsidRPr="00CA3F0E" w:rsidRDefault="00ED23B7" w:rsidP="00ED23B7"/>
    <w:p w:rsidR="001D3DE8" w:rsidRDefault="001D3DE8" w:rsidP="00ED23B7"/>
    <w:p w:rsidR="001D3DE8" w:rsidRDefault="001D3DE8" w:rsidP="00ED23B7"/>
    <w:p w:rsidR="001D3DE8" w:rsidRDefault="001D3DE8" w:rsidP="00ED23B7"/>
    <w:p w:rsidR="001D3DE8" w:rsidRDefault="001D3DE8" w:rsidP="00ED23B7"/>
    <w:p w:rsidR="001D3DE8" w:rsidRDefault="001D3DE8" w:rsidP="00ED23B7"/>
    <w:p w:rsidR="001D3DE8" w:rsidRDefault="001D3DE8" w:rsidP="00ED23B7"/>
    <w:p w:rsidR="001D3DE8" w:rsidRDefault="001D3DE8" w:rsidP="00ED23B7"/>
    <w:p w:rsidR="001D3DE8" w:rsidRDefault="001D3DE8" w:rsidP="00ED23B7"/>
    <w:p w:rsidR="001D3DE8" w:rsidRDefault="001D3DE8" w:rsidP="00ED23B7"/>
    <w:p w:rsidR="001D3DE8" w:rsidRDefault="001D3DE8" w:rsidP="00ED23B7"/>
    <w:p w:rsidR="001D3DE8" w:rsidRDefault="001D3DE8" w:rsidP="00ED23B7"/>
    <w:p w:rsidR="001D3DE8" w:rsidRDefault="001D3DE8" w:rsidP="00ED23B7"/>
    <w:p w:rsidR="001D3DE8" w:rsidRDefault="001D3DE8" w:rsidP="00ED23B7"/>
    <w:p w:rsidR="001D3DE8" w:rsidRDefault="001D3DE8" w:rsidP="00ED23B7"/>
    <w:p w:rsidR="00ED23B7" w:rsidRPr="00CA3F0E" w:rsidRDefault="00ED23B7" w:rsidP="00ED23B7"/>
    <w:p w:rsidR="00ED23B7" w:rsidRPr="00CA3F0E" w:rsidRDefault="00ED23B7" w:rsidP="00ED23B7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456943"/>
        <w:docPartObj>
          <w:docPartGallery w:val="Bibliographies"/>
          <w:docPartUnique/>
        </w:docPartObj>
      </w:sdtPr>
      <w:sdtEndPr/>
      <w:sdtContent>
        <w:p w:rsidR="00ED23B7" w:rsidRDefault="00ED23B7">
          <w:pPr>
            <w:pStyle w:val="Heading1"/>
          </w:pPr>
          <w:r>
            <w:t>Works Cited</w:t>
          </w:r>
        </w:p>
        <w:p w:rsidR="00ED23B7" w:rsidRDefault="00FC1ACB" w:rsidP="00ED23B7">
          <w:pPr>
            <w:pStyle w:val="Bibliography"/>
            <w:rPr>
              <w:rFonts w:cs="Times New Roman"/>
              <w:noProof/>
            </w:rPr>
          </w:pPr>
          <w:r>
            <w:fldChar w:fldCharType="begin"/>
          </w:r>
          <w:r w:rsidR="00ED23B7">
            <w:instrText xml:space="preserve"> BIBLIOGRAPHY </w:instrText>
          </w:r>
          <w:r>
            <w:fldChar w:fldCharType="separate"/>
          </w:r>
          <w:r w:rsidR="00ED23B7">
            <w:rPr>
              <w:rFonts w:cs="Times New Roman"/>
              <w:noProof/>
            </w:rPr>
            <w:t xml:space="preserve">Beardsley, M. (1946). </w:t>
          </w:r>
          <w:r w:rsidR="00ED23B7">
            <w:rPr>
              <w:rFonts w:cs="Times New Roman"/>
              <w:i/>
              <w:noProof/>
            </w:rPr>
            <w:t>The Intentional Fallacy</w:t>
          </w:r>
          <w:r w:rsidR="00ED23B7">
            <w:rPr>
              <w:rFonts w:cs="Times New Roman"/>
              <w:noProof/>
            </w:rPr>
            <w:t xml:space="preserve"> (3 ed.). Reprinted in Joseph Margolis, ed.,.</w:t>
          </w:r>
        </w:p>
        <w:p w:rsidR="00ED23B7" w:rsidRDefault="00ED23B7" w:rsidP="00ED23B7">
          <w:pPr>
            <w:pStyle w:val="Bibliography"/>
            <w:rPr>
              <w:rFonts w:cs="Times New Roman"/>
              <w:noProof/>
            </w:rPr>
          </w:pPr>
          <w:r>
            <w:rPr>
              <w:rFonts w:cs="Times New Roman"/>
              <w:noProof/>
            </w:rPr>
            <w:t xml:space="preserve">Church, W. G. (1997). </w:t>
          </w:r>
          <w:r>
            <w:rPr>
              <w:rFonts w:cs="Times New Roman"/>
              <w:i/>
              <w:noProof/>
            </w:rPr>
            <w:t>The Significance of Louise Rosenblatt on the Field of Teaching Literature.</w:t>
          </w:r>
          <w:r>
            <w:rPr>
              <w:rFonts w:cs="Times New Roman"/>
              <w:noProof/>
            </w:rPr>
            <w:t xml:space="preserve"> Retrieved March 23, 2013 from Northern Virginia Community College: http://www.vccaedu.org/inquiry/inquiry-spring97/i11chur.html</w:t>
          </w:r>
        </w:p>
        <w:p w:rsidR="00ED23B7" w:rsidRDefault="00ED23B7" w:rsidP="00ED23B7">
          <w:pPr>
            <w:pStyle w:val="Bibliography"/>
            <w:rPr>
              <w:rFonts w:cs="Times New Roman"/>
              <w:noProof/>
            </w:rPr>
          </w:pPr>
          <w:r>
            <w:rPr>
              <w:rFonts w:cs="Times New Roman"/>
              <w:noProof/>
            </w:rPr>
            <w:t xml:space="preserve">Gallix, A. (2010 14-January). </w:t>
          </w:r>
          <w:r>
            <w:rPr>
              <w:rFonts w:cs="Times New Roman"/>
              <w:i/>
              <w:noProof/>
            </w:rPr>
            <w:t>In Theory: The Death of the Author</w:t>
          </w:r>
          <w:r>
            <w:rPr>
              <w:rFonts w:cs="Times New Roman"/>
              <w:noProof/>
            </w:rPr>
            <w:t>. Retrieved 2013 йил 27-March from Andrew Gallix: http://andrewgallix.com/2010/01/14/in-theory-the-death-of-the-author/</w:t>
          </w:r>
        </w:p>
        <w:p w:rsidR="00ED23B7" w:rsidRDefault="00ED23B7" w:rsidP="00ED23B7">
          <w:pPr>
            <w:pStyle w:val="Bibliography"/>
            <w:rPr>
              <w:rFonts w:cs="Times New Roman"/>
              <w:noProof/>
            </w:rPr>
          </w:pPr>
          <w:r>
            <w:rPr>
              <w:rFonts w:cs="Times New Roman"/>
              <w:noProof/>
            </w:rPr>
            <w:t xml:space="preserve">Gulish, K. (2011, January 22). </w:t>
          </w:r>
          <w:r>
            <w:rPr>
              <w:rFonts w:cs="Times New Roman"/>
              <w:i/>
              <w:noProof/>
            </w:rPr>
            <w:t>"Interpretive Communities" Summary and Illustration</w:t>
          </w:r>
          <w:r>
            <w:rPr>
              <w:rFonts w:cs="Times New Roman"/>
              <w:noProof/>
            </w:rPr>
            <w:t>. Retrieved March 27, 2013 from PBWorks: http://thowe.pbworks.com/w/page/35152469/Fish,%20%E2%80%9CInterpretive%20Communities%E2%80%9D%20Summary</w:t>
          </w:r>
        </w:p>
        <w:p w:rsidR="00ED23B7" w:rsidRDefault="00ED23B7" w:rsidP="00ED23B7">
          <w:pPr>
            <w:pStyle w:val="Bibliography"/>
            <w:rPr>
              <w:rFonts w:cs="Times New Roman"/>
              <w:noProof/>
            </w:rPr>
          </w:pPr>
          <w:r>
            <w:rPr>
              <w:rFonts w:cs="Times New Roman"/>
              <w:noProof/>
            </w:rPr>
            <w:t xml:space="preserve">Holland, N. (1998). </w:t>
          </w:r>
          <w:r>
            <w:rPr>
              <w:rFonts w:cs="Times New Roman"/>
              <w:i/>
              <w:noProof/>
            </w:rPr>
            <w:t>Reading and Identity</w:t>
          </w:r>
          <w:r>
            <w:rPr>
              <w:rFonts w:cs="Times New Roman"/>
              <w:noProof/>
            </w:rPr>
            <w:t>. Retrieved March 13, 2013 from Reading and Identity: http://www.clas.ufl.edu/users/nholland/rdgident.htm</w:t>
          </w:r>
        </w:p>
        <w:p w:rsidR="00ED23B7" w:rsidRDefault="00ED23B7" w:rsidP="00ED23B7">
          <w:pPr>
            <w:pStyle w:val="Bibliography"/>
            <w:rPr>
              <w:rFonts w:cs="Times New Roman"/>
              <w:noProof/>
            </w:rPr>
          </w:pPr>
          <w:r>
            <w:rPr>
              <w:rFonts w:cs="Times New Roman"/>
              <w:noProof/>
            </w:rPr>
            <w:t xml:space="preserve">Lang, C. (2012). </w:t>
          </w:r>
          <w:r>
            <w:rPr>
              <w:rFonts w:cs="Times New Roman"/>
              <w:i/>
              <w:noProof/>
            </w:rPr>
            <w:t>A Brief History of Litererary Theory III</w:t>
          </w:r>
          <w:r>
            <w:rPr>
              <w:rFonts w:cs="Times New Roman"/>
              <w:noProof/>
            </w:rPr>
            <w:t>. Retrieved March 17, 2013 from Xenos Christian Fellowship: http://www.xenos.org/essays/litthry4.htm</w:t>
          </w:r>
        </w:p>
        <w:p w:rsidR="00ED23B7" w:rsidRDefault="00ED23B7" w:rsidP="00ED23B7">
          <w:pPr>
            <w:pStyle w:val="Bibliography"/>
            <w:rPr>
              <w:rFonts w:cs="Times New Roman"/>
              <w:noProof/>
            </w:rPr>
          </w:pPr>
          <w:r>
            <w:rPr>
              <w:rFonts w:cs="Times New Roman"/>
              <w:noProof/>
            </w:rPr>
            <w:t xml:space="preserve">Lye, J. (1996). </w:t>
          </w:r>
          <w:r>
            <w:rPr>
              <w:rFonts w:cs="Times New Roman"/>
              <w:i/>
              <w:noProof/>
            </w:rPr>
            <w:t>The Problem of Meaning in Literature.</w:t>
          </w:r>
          <w:r>
            <w:rPr>
              <w:rFonts w:cs="Times New Roman"/>
              <w:noProof/>
            </w:rPr>
            <w:t xml:space="preserve"> Retrieved 2013 йил 27-March from Brock University: www,brocku.ca/english/jlye/meaning.html</w:t>
          </w:r>
        </w:p>
        <w:p w:rsidR="00ED23B7" w:rsidRDefault="00ED23B7" w:rsidP="00ED23B7">
          <w:pPr>
            <w:pStyle w:val="Bibliography"/>
            <w:rPr>
              <w:rFonts w:cs="Times New Roman"/>
              <w:noProof/>
            </w:rPr>
          </w:pPr>
          <w:r>
            <w:rPr>
              <w:rFonts w:cs="Times New Roman"/>
              <w:noProof/>
            </w:rPr>
            <w:t xml:space="preserve">Queensland Studies Authority. (2011 йил November). </w:t>
          </w:r>
          <w:r>
            <w:rPr>
              <w:rFonts w:cs="Times New Roman"/>
              <w:i/>
              <w:noProof/>
            </w:rPr>
            <w:t>Approaches to Reading Practices</w:t>
          </w:r>
          <w:r>
            <w:rPr>
              <w:rFonts w:cs="Times New Roman"/>
              <w:noProof/>
            </w:rPr>
            <w:t>. Retrieved 2013 йил 27-March from http://www.qsa.qld.edu.au/downloads/senior/snr_eng_extn_11_res_read_prac_.pdf</w:t>
          </w:r>
        </w:p>
        <w:p w:rsidR="00ED23B7" w:rsidRDefault="00ED23B7" w:rsidP="00ED23B7">
          <w:pPr>
            <w:pStyle w:val="Bibliography"/>
            <w:rPr>
              <w:rFonts w:cs="Times New Roman"/>
              <w:noProof/>
            </w:rPr>
          </w:pPr>
          <w:r>
            <w:rPr>
              <w:rFonts w:cs="Times New Roman"/>
              <w:noProof/>
            </w:rPr>
            <w:t xml:space="preserve">Rosenblatt, L. (1978). </w:t>
          </w:r>
          <w:r>
            <w:rPr>
              <w:rFonts w:cs="Times New Roman"/>
              <w:i/>
              <w:noProof/>
            </w:rPr>
            <w:t>The Reader, The Text, The Poem: The Transactional Theory of the Literary Work.</w:t>
          </w:r>
          <w:r>
            <w:rPr>
              <w:rFonts w:cs="Times New Roman"/>
              <w:noProof/>
            </w:rPr>
            <w:t xml:space="preserve"> Illinois: Carbondale, IL.</w:t>
          </w:r>
        </w:p>
        <w:p w:rsidR="00ED23B7" w:rsidRDefault="00FC1ACB">
          <w:r>
            <w:fldChar w:fldCharType="end"/>
          </w:r>
        </w:p>
      </w:sdtContent>
    </w:sdt>
    <w:p w:rsidR="00ED23B7" w:rsidRPr="00CA3F0E" w:rsidRDefault="00ED23B7" w:rsidP="00ED23B7"/>
    <w:p w:rsidR="00ED23B7" w:rsidRPr="00CA3F0E" w:rsidRDefault="00ED23B7" w:rsidP="00ED23B7"/>
    <w:p w:rsidR="00ED23B7" w:rsidRPr="00CA3F0E" w:rsidRDefault="00ED23B7" w:rsidP="00ED23B7"/>
    <w:p w:rsidR="00ED23B7" w:rsidRPr="00CA3F0E" w:rsidRDefault="00ED23B7" w:rsidP="00ED23B7">
      <w:pPr>
        <w:widowControl w:val="0"/>
        <w:autoSpaceDE w:val="0"/>
        <w:autoSpaceDN w:val="0"/>
        <w:adjustRightInd w:val="0"/>
      </w:pPr>
    </w:p>
    <w:p w:rsidR="00A54B64" w:rsidRPr="00C211CC" w:rsidRDefault="00A54B64" w:rsidP="007D48D4">
      <w:pPr>
        <w:outlineLvl w:val="0"/>
      </w:pPr>
    </w:p>
    <w:sectPr w:rsidR="00A54B64" w:rsidRPr="00C211CC" w:rsidSect="000F63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FF0033"/>
    <w:rsid w:val="000807F0"/>
    <w:rsid w:val="000A4170"/>
    <w:rsid w:val="000B3301"/>
    <w:rsid w:val="000B565C"/>
    <w:rsid w:val="000F6326"/>
    <w:rsid w:val="00111CA6"/>
    <w:rsid w:val="00126261"/>
    <w:rsid w:val="00145DFD"/>
    <w:rsid w:val="00194BFC"/>
    <w:rsid w:val="001D3DE8"/>
    <w:rsid w:val="001F421D"/>
    <w:rsid w:val="00287D0F"/>
    <w:rsid w:val="00294EED"/>
    <w:rsid w:val="002D41F8"/>
    <w:rsid w:val="00336369"/>
    <w:rsid w:val="00344119"/>
    <w:rsid w:val="00362AA1"/>
    <w:rsid w:val="003E3CA6"/>
    <w:rsid w:val="00404A5F"/>
    <w:rsid w:val="004439AA"/>
    <w:rsid w:val="0047003E"/>
    <w:rsid w:val="004755D2"/>
    <w:rsid w:val="00486133"/>
    <w:rsid w:val="004B0DA7"/>
    <w:rsid w:val="004F2820"/>
    <w:rsid w:val="005276D8"/>
    <w:rsid w:val="0056334C"/>
    <w:rsid w:val="005D7268"/>
    <w:rsid w:val="005E055C"/>
    <w:rsid w:val="006447C0"/>
    <w:rsid w:val="00667388"/>
    <w:rsid w:val="006718A7"/>
    <w:rsid w:val="006757CF"/>
    <w:rsid w:val="006C2A41"/>
    <w:rsid w:val="006C2ADB"/>
    <w:rsid w:val="006C64E7"/>
    <w:rsid w:val="006E2728"/>
    <w:rsid w:val="00740BAC"/>
    <w:rsid w:val="00740CBB"/>
    <w:rsid w:val="00742456"/>
    <w:rsid w:val="00755361"/>
    <w:rsid w:val="0075599B"/>
    <w:rsid w:val="00755F89"/>
    <w:rsid w:val="007610D4"/>
    <w:rsid w:val="00792D6C"/>
    <w:rsid w:val="00797D8D"/>
    <w:rsid w:val="007B1B93"/>
    <w:rsid w:val="007B53CA"/>
    <w:rsid w:val="007D48D4"/>
    <w:rsid w:val="007F7867"/>
    <w:rsid w:val="008528EA"/>
    <w:rsid w:val="00884960"/>
    <w:rsid w:val="00897B57"/>
    <w:rsid w:val="008E4C5D"/>
    <w:rsid w:val="00923A50"/>
    <w:rsid w:val="009313A4"/>
    <w:rsid w:val="00945BD2"/>
    <w:rsid w:val="00970F7F"/>
    <w:rsid w:val="00972F54"/>
    <w:rsid w:val="009757C8"/>
    <w:rsid w:val="00990442"/>
    <w:rsid w:val="009B40C1"/>
    <w:rsid w:val="009B4AFF"/>
    <w:rsid w:val="009D02E7"/>
    <w:rsid w:val="009D1097"/>
    <w:rsid w:val="009E25B5"/>
    <w:rsid w:val="009E4EE2"/>
    <w:rsid w:val="00A0667B"/>
    <w:rsid w:val="00A54B64"/>
    <w:rsid w:val="00A94602"/>
    <w:rsid w:val="00AC58E6"/>
    <w:rsid w:val="00AF5E44"/>
    <w:rsid w:val="00B25B2C"/>
    <w:rsid w:val="00B31A2D"/>
    <w:rsid w:val="00B5324F"/>
    <w:rsid w:val="00B96F1C"/>
    <w:rsid w:val="00B97ABD"/>
    <w:rsid w:val="00BA2185"/>
    <w:rsid w:val="00BD2644"/>
    <w:rsid w:val="00BF621E"/>
    <w:rsid w:val="00C211CC"/>
    <w:rsid w:val="00C53F3E"/>
    <w:rsid w:val="00C5735B"/>
    <w:rsid w:val="00C862AD"/>
    <w:rsid w:val="00CD0032"/>
    <w:rsid w:val="00CE1CAD"/>
    <w:rsid w:val="00CF1E40"/>
    <w:rsid w:val="00D173F8"/>
    <w:rsid w:val="00D66C5C"/>
    <w:rsid w:val="00D83594"/>
    <w:rsid w:val="00DF794F"/>
    <w:rsid w:val="00E013B0"/>
    <w:rsid w:val="00E1299A"/>
    <w:rsid w:val="00E23E12"/>
    <w:rsid w:val="00E30B53"/>
    <w:rsid w:val="00E85EF6"/>
    <w:rsid w:val="00EC04CD"/>
    <w:rsid w:val="00EC1DBE"/>
    <w:rsid w:val="00EC6A0B"/>
    <w:rsid w:val="00ED23B7"/>
    <w:rsid w:val="00EE75A7"/>
    <w:rsid w:val="00F042AC"/>
    <w:rsid w:val="00F4347A"/>
    <w:rsid w:val="00F477AF"/>
    <w:rsid w:val="00F65BC7"/>
    <w:rsid w:val="00F91BB9"/>
    <w:rsid w:val="00FB1D6D"/>
    <w:rsid w:val="00FC1ACB"/>
    <w:rsid w:val="00FF0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379445-B979-4430-B98F-00652A2B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326"/>
  </w:style>
  <w:style w:type="paragraph" w:styleId="Heading1">
    <w:name w:val="heading 1"/>
    <w:basedOn w:val="Normal"/>
    <w:next w:val="Normal"/>
    <w:link w:val="Heading1Char"/>
    <w:uiPriority w:val="9"/>
    <w:qFormat/>
    <w:rsid w:val="00FB1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4">
    <w:name w:val="heading 4"/>
    <w:basedOn w:val="Normal"/>
    <w:next w:val="Normal"/>
    <w:link w:val="Heading4Char"/>
    <w:rsid w:val="008849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D6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DefaultStyle">
    <w:name w:val="Default Style"/>
    <w:rsid w:val="00D83594"/>
    <w:pPr>
      <w:suppressAutoHyphens/>
    </w:pPr>
    <w:rPr>
      <w:rFonts w:ascii="Calibri" w:eastAsia="Arial Unicode MS" w:hAnsi="Calibri" w:cs="Calibri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D23B7"/>
    <w:rPr>
      <w:rFonts w:ascii="Tahoma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ED23B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DocumentMap">
    <w:name w:val="Document Map"/>
    <w:basedOn w:val="Normal"/>
    <w:link w:val="DocumentMapChar"/>
    <w:rsid w:val="00ED23B7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ED23B7"/>
    <w:rPr>
      <w:rFonts w:ascii="Lucida Grande" w:hAnsi="Lucida Grande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ED23B7"/>
  </w:style>
  <w:style w:type="paragraph" w:customStyle="1" w:styleId="Heading4top">
    <w:name w:val="Heading 4 top"/>
    <w:basedOn w:val="Heading4"/>
    <w:rsid w:val="00884960"/>
    <w:pPr>
      <w:keepNext w:val="0"/>
      <w:keepLines w:val="0"/>
      <w:pageBreakBefore/>
      <w:widowControl w:val="0"/>
      <w:spacing w:before="0" w:line="240" w:lineRule="auto"/>
    </w:pPr>
    <w:rPr>
      <w:rFonts w:ascii="Times New Roman" w:eastAsia="Times New Roman" w:hAnsi="Times New Roman" w:cs="Times New Roman"/>
      <w:b/>
      <w:i w:val="0"/>
      <w:iCs w:val="0"/>
      <w:color w:val="auto"/>
      <w:szCs w:val="20"/>
    </w:rPr>
  </w:style>
  <w:style w:type="paragraph" w:customStyle="1" w:styleId="Tabletext">
    <w:name w:val="Table text"/>
    <w:basedOn w:val="Normal"/>
    <w:rsid w:val="00884960"/>
    <w:pPr>
      <w:widowControl w:val="0"/>
      <w:tabs>
        <w:tab w:val="left" w:pos="567"/>
      </w:tabs>
      <w:spacing w:before="40" w:after="20" w:line="240" w:lineRule="auto"/>
      <w:ind w:left="57"/>
    </w:pPr>
    <w:rPr>
      <w:rFonts w:ascii="Arial" w:eastAsia="Times New Roman" w:hAnsi="Arial" w:cs="Times New Roman"/>
      <w:sz w:val="1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88496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Gal10</b:Tag>
    <b:SourceType>InternetSite</b:SourceType>
    <b:Guid>{C2C92767-B3C4-3140-B90E-E1FEBC56C1E7}</b:Guid>
    <b:LCID>uz-Cyrl-UZ</b:LCID>
    <b:Author>
      <b:Author>
        <b:NameList>
          <b:Person>
            <b:Last>Gallix</b:Last>
            <b:First>Andrew</b:First>
          </b:Person>
        </b:NameList>
      </b:Author>
    </b:Author>
    <b:Title>In Theory: The Death of the Author</b:Title>
    <b:InternetSiteTitle>Andrew Gallix</b:InternetSiteTitle>
    <b:URL>http://andrewgallix.com/2010/01/14/in-theory-the-death-of-the-author/</b:URL>
    <b:Year>2010</b:Year>
    <b:Month>January</b:Month>
    <b:Day>14</b:Day>
    <b:YearAccessed>2013</b:YearAccessed>
    <b:MonthAccessed>March</b:MonthAccessed>
    <b:DayAccessed>27</b:DayAccessed>
    <b:RefOrder>1</b:RefOrder>
  </b:Source>
  <b:Source>
    <b:Tag>Bea46</b:Tag>
    <b:SourceType>Book</b:SourceType>
    <b:Guid>{42045FAC-1109-F742-BFC5-08403BC5FA21}</b:Guid>
    <b:LCID>uz-Cyrl-UZ</b:LCID>
    <b:Author>
      <b:Author>
        <b:NameList>
          <b:Person>
            <b:Last>Beardsley</b:Last>
            <b:First>Monroe</b:First>
          </b:Person>
        </b:NameList>
      </b:Author>
    </b:Author>
    <b:Title>The Intentional Fallacy</b:Title>
    <b:Year>1946</b:Year>
    <b:Publisher>Reprinted in Joseph Margolis, ed.,</b:Publisher>
    <b:Edition>3</b:Edition>
    <b:RefOrder>2</b:RefOrder>
  </b:Source>
  <b:Source>
    <b:Tag>Lye96</b:Tag>
    <b:SourceType>DocumentFromInternetSite</b:SourceType>
    <b:Guid>{15F004DB-D686-3146-9610-659CFAC64325}</b:Guid>
    <b:LCID>uz-Cyrl-UZ</b:LCID>
    <b:Author>
      <b:Author>
        <b:NameList>
          <b:Person>
            <b:Last>Lye</b:Last>
            <b:First>John</b:First>
          </b:Person>
        </b:NameList>
      </b:Author>
    </b:Author>
    <b:Title>The Problem of Meaning in Literature</b:Title>
    <b:Year>1996</b:Year>
    <b:InternetSiteTitle>Brock University</b:InternetSiteTitle>
    <b:URL>www,brocku.ca/english/jlye/meaning.html</b:URL>
    <b:YearAccessed>2013</b:YearAccessed>
    <b:MonthAccessed>March</b:MonthAccessed>
    <b:DayAccessed>27</b:DayAccessed>
    <b:RefOrder>3</b:RefOrder>
  </b:Source>
  <b:Source>
    <b:Tag>Lou78</b:Tag>
    <b:SourceType>Book</b:SourceType>
    <b:Guid>{E22F0319-561E-EA41-9918-A7BF90FDF53F}</b:Guid>
    <b:LCID>uz-Cyrl-UZ</b:LCID>
    <b:Author>
      <b:Author>
        <b:NameList>
          <b:Person>
            <b:Last>Rosenblatt</b:Last>
            <b:First>Louise</b:First>
          </b:Person>
        </b:NameList>
      </b:Author>
    </b:Author>
    <b:Title>The Reader, The Text, The Poem: The Transactional Theory of the Literary Work</b:Title>
    <b:Year>1978</b:Year>
    <b:City>Illinois</b:City>
    <b:Publisher>Carbondale, IL</b:Publisher>
    <b:RefOrder>4</b:RefOrder>
  </b:Source>
  <b:Source>
    <b:Tag>Chu97</b:Tag>
    <b:SourceType>DocumentFromInternetSite</b:SourceType>
    <b:Guid>{18908C78-A101-674B-871A-4103DAD6F25C}</b:Guid>
    <b:Author>
      <b:Author>
        <b:NameList>
          <b:Person>
            <b:Last>Church</b:Last>
            <b:First>Westbrook</b:First>
            <b:Middle>Gladdys</b:Middle>
          </b:Person>
        </b:NameList>
      </b:Author>
    </b:Author>
    <b:Title>The Significance of Louise Rosenblatt on the Field of Teaching Literature</b:Title>
    <b:InternetSiteTitle>Northern Virginia Community College</b:InternetSiteTitle>
    <b:URL>http://www.vccaedu.org/inquiry/inquiry-spring97/i11chur.html</b:URL>
    <b:Year>1997</b:Year>
    <b:YearAccessed>2013</b:YearAccessed>
    <b:MonthAccessed>March</b:MonthAccessed>
    <b:DayAccessed>23</b:DayAccessed>
    <b:RefOrder>5</b:RefOrder>
  </b:Source>
  <b:Source>
    <b:Tag>Chr12</b:Tag>
    <b:SourceType>InternetSite</b:SourceType>
    <b:Guid>{B4222D77-B39F-47CF-B9AB-5DE527DBB7B2}</b:Guid>
    <b:Title>A Brief History of Litererary Theory III</b:Title>
    <b:Year>2012</b:Year>
    <b:Author>
      <b:Author>
        <b:NameList>
          <b:Person>
            <b:Last>Lang</b:Last>
            <b:First>Chris</b:First>
          </b:Person>
        </b:NameList>
      </b:Author>
    </b:Author>
    <b:InternetSiteTitle>Xenos Christian Fellowship</b:InternetSiteTitle>
    <b:YearAccessed>2013</b:YearAccessed>
    <b:MonthAccessed>March</b:MonthAccessed>
    <b:DayAccessed>17</b:DayAccessed>
    <b:URL>http://www.xenos.org/essays/litthry4.htm</b:URL>
    <b:RefOrder>6</b:RefOrder>
  </b:Source>
  <b:Source>
    <b:Tag>Gul11</b:Tag>
    <b:SourceType>InternetSite</b:SourceType>
    <b:Guid>{0A28EE55-9DF9-4E6C-A7F8-079600DA6653}</b:Guid>
    <b:Title>"Interpretive Communities" Summary and Illustration</b:Title>
    <b:Year>2011</b:Year>
    <b:InternetSiteTitle>PBWorks</b:InternetSiteTitle>
    <b:Month>January</b:Month>
    <b:Day>22</b:Day>
    <b:YearAccessed>2013</b:YearAccessed>
    <b:MonthAccessed>March</b:MonthAccessed>
    <b:DayAccessed>27</b:DayAccessed>
    <b:URL>http://thowe.pbworks.com/w/page/35152469/Fish,%20%E2%80%9CInterpretive%20Communities%E2%80%9D%20Summary</b:URL>
    <b:Author>
      <b:Author>
        <b:NameList>
          <b:Person>
            <b:Last>Gulish</b:Last>
            <b:First>Konstantin</b:First>
          </b:Person>
        </b:NameList>
      </b:Author>
    </b:Author>
    <b:RefOrder>7</b:RefOrder>
  </b:Source>
  <b:Source>
    <b:Tag>Hol98</b:Tag>
    <b:SourceType>InternetSite</b:SourceType>
    <b:Guid>{2B1E0433-3BCD-D747-9688-C54FA6B28FAF}</b:Guid>
    <b:Author>
      <b:Author>
        <b:NameList>
          <b:Person>
            <b:Last>Holland</b:Last>
            <b:First>Norman</b:First>
          </b:Person>
        </b:NameList>
      </b:Author>
    </b:Author>
    <b:Title>Reading and Identity</b:Title>
    <b:Year>1998</b:Year>
    <b:InternetSiteTitle>Reading and Identity</b:InternetSiteTitle>
    <b:URL>http://www.clas.ufl.edu/users/nholland/rdgident.htm</b:URL>
    <b:YearAccessed>2013</b:YearAccessed>
    <b:MonthAccessed>March</b:MonthAccessed>
    <b:DayAccessed>13</b:DayAccessed>
    <b:RefOrder>8</b:RefOrder>
  </b:Source>
  <b:Source>
    <b:Tag>Que13</b:Tag>
    <b:SourceType>InternetSite</b:SourceType>
    <b:Guid>{4AC17587-123B-FE44-A957-DACF5DD6F32A}</b:Guid>
    <b:LCID>uz-Cyrl-UZ</b:LCID>
    <b:Author>
      <b:Author>
        <b:Corporate>Queensland Studies Authority</b:Corporate>
      </b:Author>
    </b:Author>
    <b:URL>http://www.qsa.qld.edu.au/downloads/senior/snr_eng_extn_11_res_read_prac_.pdf</b:URL>
    <b:YearAccessed>2013</b:YearAccessed>
    <b:MonthAccessed>March</b:MonthAccessed>
    <b:DayAccessed>27</b:DayAccessed>
    <b:Title>Approaches to Reading Practices</b:Title>
    <b:Year>2011</b:Year>
    <b:Month>November</b:Month>
    <b:RefOrder>9</b:RefOrder>
  </b:Source>
</b:Sources>
</file>

<file path=customXml/itemProps1.xml><?xml version="1.0" encoding="utf-8"?>
<ds:datastoreItem xmlns:ds="http://schemas.openxmlformats.org/officeDocument/2006/customXml" ds:itemID="{D96491B2-374D-491E-AAB4-3216B780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Moreton Anglican College</Company>
  <LinksUpToDate>false</LinksUpToDate>
  <CharactersWithSpaces>14399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001339</dc:creator>
  <cp:lastModifiedBy>Elizabeth Woolaston</cp:lastModifiedBy>
  <cp:revision>6</cp:revision>
  <cp:lastPrinted>2013-03-28T04:40:00Z</cp:lastPrinted>
  <dcterms:created xsi:type="dcterms:W3CDTF">2013-03-28T05:02:00Z</dcterms:created>
  <dcterms:modified xsi:type="dcterms:W3CDTF">2020-11-03T04:10:00Z</dcterms:modified>
</cp:coreProperties>
</file>