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u w:val="single"/>
          <w:shd w:fill="auto" w:val="clear"/>
        </w:rPr>
      </w:pPr>
    </w:p>
    <w:tbl>
      <w:tblPr/>
      <w:tblGrid>
        <w:gridCol w:w="2943"/>
      </w:tblGrid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Informazioni personali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</w:p>
    <w:tbl>
      <w:tblPr/>
      <w:tblGrid>
        <w:gridCol w:w="2943"/>
        <w:gridCol w:w="284"/>
        <w:gridCol w:w="7229"/>
      </w:tblGrid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40" w:after="4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Nome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Dr. RICCARDO MARTINI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40" w:after="4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Indirizzo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VIA ARCO LACOLINA 5, 72100 BRINDISI (BR)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40" w:after="4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Telefono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328-2910473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40" w:after="4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Fax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40" w:after="4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E-mail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40" w:after="40" w:line="240"/>
              <w:ind w:right="0" w:left="0" w:firstLine="0"/>
              <w:jc w:val="left"/>
              <w:rPr>
                <w:spacing w:val="0"/>
                <w:position w:val="0"/>
              </w:rPr>
            </w:pPr>
            <w:hyperlink xmlns:r="http://schemas.openxmlformats.org/officeDocument/2006/relationships" r:id="docRId0">
              <w:r>
                <w:rPr>
                  <w:rFonts w:ascii="Arial Narrow" w:hAnsi="Arial Narrow" w:cs="Arial Narrow" w:eastAsia="Arial Narrow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Ric4968@gmail.com</w:t>
              </w:r>
            </w:hyperlink>
          </w:p>
        </w:tc>
      </w:tr>
    </w:tbl>
    <w:p>
      <w:pPr>
        <w:spacing w:before="12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</w:p>
    <w:tbl>
      <w:tblPr/>
      <w:tblGrid>
        <w:gridCol w:w="2943"/>
        <w:gridCol w:w="284"/>
        <w:gridCol w:w="7229"/>
      </w:tblGrid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20" w:after="2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Nazionalità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ITALIANA</w:t>
            </w:r>
          </w:p>
        </w:tc>
      </w:tr>
    </w:tbl>
    <w:p>
      <w:pPr>
        <w:spacing w:before="20" w:after="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</w:p>
    <w:tbl>
      <w:tblPr/>
      <w:tblGrid>
        <w:gridCol w:w="2943"/>
        <w:gridCol w:w="284"/>
        <w:gridCol w:w="7229"/>
      </w:tblGrid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20" w:after="2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Data di nascita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04-09-1968 A CARRARA (MS), C.F. MRTRCR68P04B832V</w:t>
            </w:r>
          </w:p>
        </w:tc>
      </w:tr>
    </w:tbl>
    <w:p>
      <w:pPr>
        <w:spacing w:before="20" w:after="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u w:val="single"/>
          <w:shd w:fill="auto" w:val="clear"/>
        </w:rPr>
      </w:pPr>
    </w:p>
    <w:tbl>
      <w:tblPr/>
      <w:tblGrid>
        <w:gridCol w:w="2943"/>
      </w:tblGrid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Esperienza lavorativa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0"/>
          <w:u w:val="single"/>
          <w:shd w:fill="auto" w:val="clear"/>
        </w:rPr>
        <w:tab/>
      </w:r>
    </w:p>
    <w:tbl>
      <w:tblPr/>
      <w:tblGrid>
        <w:gridCol w:w="2943"/>
        <w:gridCol w:w="284"/>
        <w:gridCol w:w="7229"/>
      </w:tblGrid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DA 1/1/2002 A 2004</w:t>
            </w: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  <w:t xml:space="preserve">DA 1/11/2001 A 31/12/2002</w:t>
            </w: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  <w:t xml:space="preserve">DAL 2002 AL 2006</w:t>
            </w: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  <w:t xml:space="preserve">1/11/2002 AL NOVEMBRE 2003</w:t>
            </w: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  <w:t xml:space="preserve">DAL GIUGNO 2003 AL GIUGNO 2010</w:t>
            </w: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  <w:t xml:space="preserve">DAL GIUGNO 2010</w:t>
            </w: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  <w:t xml:space="preserve">DAL GIUGNO 2020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9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i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Frequenza come volontario presso il reparto oculistico dell’Ospedale di Massa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Carrara E Medico referente per 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’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Associazione Toscana Retinopatici ed ipovedenti  ( A.T.R.I. )      ( O.N.L.U.S. 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Provincia di Massa-Carrara ,</w:t>
            </w:r>
          </w:p>
          <w:p>
            <w:pPr>
              <w:numPr>
                <w:ilvl w:val="0"/>
                <w:numId w:val="49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Sostituzione di specialisti ambulatoriali presso i distretti U.S.L. di Massa-Carrara, Viareggio, Pisa e Lucca per 312 ore complessive </w:t>
            </w:r>
          </w:p>
          <w:p>
            <w:pPr>
              <w:numPr>
                <w:ilvl w:val="0"/>
                <w:numId w:val="49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Contratto Libero-Professionale di 6 ore settimanali presso Stabilimento Nuovo Pignone di Massa come oculista di fabbrica </w:t>
            </w:r>
          </w:p>
          <w:p>
            <w:pPr>
              <w:numPr>
                <w:ilvl w:val="0"/>
                <w:numId w:val="49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Contratto libero-professionale di 15 ore settimanali presso USL 5 di Pisa nei distretti di Pontedera-Ponsacco </w:t>
            </w:r>
          </w:p>
          <w:p>
            <w:pPr>
              <w:numPr>
                <w:ilvl w:val="0"/>
                <w:numId w:val="49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Contratto libero professionale di 7,5 ore settimanali presso USL 1 di Massa-Carrara nei distretti di Massa e Fosdinovo dal Giugno 2003, portato a 32,5 ore settimanali, comprensive di 25 presso U.O. Oculistica, dal Novembre 2003. Tale contratto è cessato nel Novembre 2006 e convertito in assunzione a tempo determinato in regime di intramoenia . Dal 2008 è assunto come dirigente medico a tempo indeterminato presso l’U.O. Oculistica dell’ASL 1 di Massa-Carrara. Presso l’U.O. Oculistica di Massa-Carrara è stato responsabile del servizio di elettrofisiologia oculare ed ipovisione e del servizio di Day-Hospital. </w:t>
            </w:r>
          </w:p>
          <w:p>
            <w:pPr>
              <w:numPr>
                <w:ilvl w:val="0"/>
                <w:numId w:val="49"/>
              </w:numPr>
              <w:spacing w:before="0" w:after="0" w:line="360"/>
              <w:ind w:right="0" w:left="108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Dirigente Medico presso U.O. Oculistica dell’Ospedale Vito Fazzi di Lecce.</w:t>
            </w:r>
          </w:p>
          <w:p>
            <w:pPr>
              <w:numPr>
                <w:ilvl w:val="0"/>
                <w:numId w:val="49"/>
              </w:numPr>
              <w:spacing w:before="0" w:after="0" w:line="360"/>
              <w:ind w:right="0" w:left="108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Libero professionista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Nome e indirizzo delll’attuale datore di lavoro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Tipo di azienda o settore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Tipo di impiego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Principali mansioni e responsabilità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u w:val="single"/>
          <w:shd w:fill="auto" w:val="clear"/>
        </w:rPr>
      </w:pPr>
    </w:p>
    <w:tbl>
      <w:tblPr/>
      <w:tblGrid>
        <w:gridCol w:w="2943"/>
      </w:tblGrid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Istruzione e formazione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</w:p>
    <w:tbl>
      <w:tblPr/>
      <w:tblGrid>
        <w:gridCol w:w="2943"/>
        <w:gridCol w:w="284"/>
        <w:gridCol w:w="7229"/>
      </w:tblGrid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right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1987</w:t>
            </w: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08/04/1995</w:t>
            </w: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1995</w:t>
            </w: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20" w:after="2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18/10/2001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3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Diploma di maturità classica con voti 43/60 presso il liceo classico P. Rossi a Massa ( MS ),</w:t>
            </w:r>
          </w:p>
          <w:p>
            <w:pPr>
              <w:numPr>
                <w:ilvl w:val="0"/>
                <w:numId w:val="73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Laurea in Medicina e Chirurgia, conseguita presso l’Università degli Studi di Pisa con voti 110 su 110, con la tesi “ effetti dei colliri antinfiammatori steroidei e non steroidei sulle variazioni dell’astigmatismo corneale dopo estrazione extracapsulare di cataratta “,</w:t>
            </w:r>
          </w:p>
          <w:p>
            <w:pPr>
              <w:numPr>
                <w:ilvl w:val="0"/>
                <w:numId w:val="73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Abilitazione alla professione di medico chirurgo presso l’Università degli Studi di Pisa ( sessione autunnale )</w:t>
            </w:r>
          </w:p>
          <w:p>
            <w:pPr>
              <w:numPr>
                <w:ilvl w:val="0"/>
                <w:numId w:val="73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Iscritto all’Albo dell’Ordine dei Medici e Chirurghi della provincia di Massa Carrara dall’anno 1996,</w:t>
            </w:r>
          </w:p>
          <w:p>
            <w:pPr>
              <w:numPr>
                <w:ilvl w:val="0"/>
                <w:numId w:val="73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Specializzazione in Oftalmologia, conseguita presso l’Università degli Studi di Pisa con voti 110 su 110 e lode, con la tesi “ Sviluppo di una stazione computerizzata per la valutazione dello strabismo “,</w:t>
            </w:r>
          </w:p>
          <w:p>
            <w:pPr>
              <w:numPr>
                <w:ilvl w:val="0"/>
                <w:numId w:val="73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Durante il corso di specializzazione, della durata legale di anni 4, si è interessato soprattutto di oftalmologia pediatrica, retina medica ( FAG, ICG, laserterapia ), e retina chirurgica ( vitrectomia e chirurgia episclerale ), partecipando come secondo operatore a numerosi interventi.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PUBBLICAZIONI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9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G. Tota, A. Parmini,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R. Martini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ab/>
              <w:t xml:space="preserve">Considerazioni su un caso di neuropatia ottica ischemica bilaterale comparsa simultaneamente nei due occhi.</w:t>
              <w:tab/>
              <w:t xml:space="preserve">Atti della Fondazione Giorgio Ronchi Anno LI,  N° 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sett. Ott. 1996</w:t>
            </w:r>
          </w:p>
          <w:p>
            <w:pPr>
              <w:spacing w:before="0" w:after="12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81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F. Passani, E. Salvatori,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R. Martini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ab/>
              <w:t xml:space="preserve">La sindrome di Usher: descrizione di un ceppo familiare affetto Rivista di oftalmologia, Anno IV, N°1, 1996</w:t>
            </w:r>
          </w:p>
          <w:p>
            <w:pPr>
              <w:spacing w:before="0" w:after="12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83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Rizzo S., Belting C., Genovesi-Ebert F., Cresti F., Vento A.,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Martini 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.: Successful treatment of Persistent Macular Holes using “Heavy Silicone Oil” as intraocular tamponade. Retina 2006, Vol.26, N° 8 pp.905-908</w:t>
            </w:r>
          </w:p>
          <w:p>
            <w:pPr>
              <w:spacing w:before="0" w:after="12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85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Coautore del libro “Le Endoftalmiti postchirurgiche”, Monografia SOI 2005</w:t>
            </w:r>
          </w:p>
          <w:p>
            <w:pPr>
              <w:spacing w:before="0" w:after="12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120" w:line="36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-</w:t>
              <w:tab/>
              <w:t xml:space="preserve">A. Mocellin, MR Rollo,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R. Martini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: chirurgia oftalmologica  in manuale di ALR blocchi periferici, pp. 66-68, Mediprint 2006</w:t>
            </w:r>
          </w:p>
          <w:p>
            <w:pPr>
              <w:spacing w:before="0" w:after="12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89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A. Mocellin, MR Rollo,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R. Martini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: tecniche anestesiologiche in corso di chirurgia del segmento anteriore in anestesie e tecniche analgosedative in oftalmochirurgia, pp. 73-80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Quaderni di Oftalmologia SOI  2006</w:t>
            </w:r>
          </w:p>
          <w:p>
            <w:pPr>
              <w:spacing w:before="0" w:after="12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numPr>
                <w:ilvl w:val="0"/>
                <w:numId w:val="91"/>
              </w:numPr>
              <w:spacing w:before="0" w:after="0" w:line="360"/>
              <w:ind w:right="0" w:left="108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MR Rollo,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R. Martini,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A. Mocellin: Confronto tra levobupivacaina 0,5% e ropivacaina 0,75% topica per la chiurugia della cataratta. Giornale di medicina perioperatoria, medicina critica e terapia del dolore; Vol.14,pp. 5-7 2005</w:t>
            </w:r>
          </w:p>
          <w:p>
            <w:pPr>
              <w:numPr>
                <w:ilvl w:val="0"/>
                <w:numId w:val="91"/>
              </w:numPr>
              <w:spacing w:before="0" w:after="0" w:line="360"/>
              <w:ind w:right="0" w:left="1080" w:hanging="360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Mocellin A., Rollo M. R., Martini R. : valutazione dell’effetto del mesoglicano in pazienti con retinopatia diabetica. Studio Redim. Minerva Oftalmologica 2011 Dicembre;53(4):75-82</w:t>
            </w:r>
          </w:p>
          <w:p>
            <w:pPr>
              <w:spacing w:before="0" w:after="0" w:line="360"/>
              <w:ind w:right="0" w:left="108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u w:val="single"/>
          <w:shd w:fill="auto" w:val="clear"/>
        </w:rPr>
        <w:t xml:space="preserve">HA PARTECIPATO COME FREQUENTANTE E RELATORE A NUMEROSI CONGRESSI, CORSI E WET LABS, VINCITORE PREMIO SOM 2014 CON LA RELAZIONE: IGRA TEST NELLE COROIDITI SERPIGINOSE</w:t>
        <w:br/>
      </w:r>
    </w:p>
    <w:tbl>
      <w:tblPr/>
      <w:tblGrid>
        <w:gridCol w:w="2943"/>
        <w:gridCol w:w="284"/>
        <w:gridCol w:w="7229"/>
      </w:tblGrid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33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Madrelingua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ITALIANA</w:t>
            </w:r>
          </w:p>
        </w:tc>
      </w:tr>
    </w:tbl>
    <w:p>
      <w:pPr>
        <w:spacing w:before="20" w:after="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20" w:after="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10"/>
          <w:u w:val="single"/>
          <w:shd w:fill="auto" w:val="clear"/>
        </w:rPr>
        <w:br/>
      </w:r>
    </w:p>
    <w:tbl>
      <w:tblPr/>
      <w:tblGrid>
        <w:gridCol w:w="2943"/>
        <w:gridCol w:w="284"/>
        <w:gridCol w:w="7229"/>
      </w:tblGrid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16775798" w:leader="none"/>
              </w:tabs>
              <w:spacing w:before="20" w:after="20" w:line="240"/>
              <w:ind w:right="3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INGLESE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16775798" w:leader="none"/>
              </w:tabs>
              <w:spacing w:before="20" w:after="20" w:line="240"/>
              <w:ind w:right="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Capacità di lettura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BUONA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20" w:after="20" w:line="240"/>
              <w:ind w:right="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Capacità di scrittura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BUONA</w:t>
            </w:r>
          </w:p>
        </w:tc>
      </w:tr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98" w:leader="none"/>
              </w:tabs>
              <w:spacing w:before="20" w:after="20" w:line="240"/>
              <w:ind w:right="33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•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Capacità di espressione orale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BUONA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u w:val="single"/>
          <w:shd w:fill="auto" w:val="clear"/>
        </w:rPr>
      </w:pPr>
    </w:p>
    <w:tbl>
      <w:tblPr/>
      <w:tblGrid>
        <w:gridCol w:w="2943"/>
        <w:gridCol w:w="284"/>
        <w:gridCol w:w="7229"/>
      </w:tblGrid>
      <w:tr>
        <w:trPr>
          <w:trHeight w:val="1" w:hRule="atLeast"/>
          <w:jc w:val="left"/>
        </w:trPr>
        <w:tc>
          <w:tcPr>
            <w:tcW w:w="294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33" w:left="0" w:firstLine="0"/>
              <w:jc w:val="right"/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Capacità e competenze tecniche</w:t>
            </w:r>
          </w:p>
          <w:p>
            <w:pPr>
              <w:keepNext w:val="true"/>
              <w:spacing w:before="20" w:after="2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i/>
                <w:color w:val="000000"/>
                <w:spacing w:val="0"/>
                <w:position w:val="0"/>
                <w:sz w:val="18"/>
                <w:u w:val="single"/>
                <w:shd w:fill="auto" w:val="clear"/>
              </w:rPr>
              <w:t xml:space="preserve">.</w:t>
            </w: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" w:after="2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2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20" w:after="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OTTIMA CONOSCENZA DEL COMPUTER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 Narrow" w:hAnsi="Arial Narrow" w:cs="Arial Narrow" w:eastAsia="Arial Narrow"/>
          <w:color w:val="000000"/>
          <w:spacing w:val="0"/>
          <w:position w:val="0"/>
          <w:sz w:val="20"/>
          <w:u w:val="single"/>
          <w:shd w:fill="auto" w:val="clear"/>
        </w:rPr>
        <w:t xml:space="preserve">Lecce, li 11-06-2020</w:t>
      </w:r>
    </w:p>
    <w:p>
      <w:pPr>
        <w:spacing w:before="20" w:after="2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20"/>
          <w:u w:val="single"/>
          <w:shd w:fill="auto" w:val="clear"/>
        </w:rPr>
      </w:pPr>
      <w:r>
        <w:object w:dxaOrig="2936" w:dyaOrig="1012">
          <v:rect xmlns:o="urn:schemas-microsoft-com:office:office" xmlns:v="urn:schemas-microsoft-com:vml" id="rectole0000000000" style="width:146.800000pt;height:50.6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20" w:after="20" w:line="240"/>
        <w:ind w:right="0" w:left="0" w:firstLine="0"/>
        <w:jc w:val="left"/>
        <w:rPr>
          <w:rFonts w:ascii="Arial Narrow" w:hAnsi="Arial Narrow" w:cs="Arial Narrow" w:eastAsia="Arial Narrow"/>
          <w:color w:val="000000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49">
    <w:abstractNumId w:val="42"/>
  </w:num>
  <w:num w:numId="73">
    <w:abstractNumId w:val="36"/>
  </w:num>
  <w:num w:numId="79">
    <w:abstractNumId w:val="30"/>
  </w:num>
  <w:num w:numId="81">
    <w:abstractNumId w:val="24"/>
  </w:num>
  <w:num w:numId="83">
    <w:abstractNumId w:val="18"/>
  </w:num>
  <w:num w:numId="85">
    <w:abstractNumId w:val="12"/>
  </w:num>
  <w:num w:numId="89">
    <w:abstractNumId w:val="6"/>
  </w:num>
  <w:num w:numId="9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mailto:Ric4968@gmail.com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