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4E79"/>
          <w:sz w:val="36"/>
        </w:rPr>
        <w:t>MODÈLE DE STRATÉGIE D’ACHAT PAR CATÉGORIE</w:t>
      </w:r>
    </w:p>
    <w:p>
      <w:pPr>
        <w:jc w:val="center"/>
      </w:pPr>
      <w:r>
        <w:rPr>
          <w:b/>
          <w:sz w:val="24"/>
        </w:rPr>
        <w:t>Exemple : Kits d’articles non alimentaires (NFI)</w:t>
      </w:r>
    </w:p>
    <w:p>
      <w:r>
        <w:t>Outil de travail à adapter aux procédures internes de l’organisation, aux exigences des bailleurs et aux réalités du marché local. Ce modèle ne remplace ni les règles de passation des marchés ni les validations techniques, budgétaires et de conformité requises.</w:t>
      </w:r>
    </w:p>
    <w:p>
      <w:pPr>
        <w:pStyle w:val="Heading1"/>
      </w:pPr>
      <w:r>
        <w:t>1. Fiche d’identification de la catégorie</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9"/>
          </w:tcPr>
          <w:p>
            <w:r>
              <w:rPr>
                <w:b/>
                <w:color w:val="FFFFFF"/>
                <w:sz w:val="16"/>
              </w:rPr>
              <w:t>Champ</w:t>
            </w:r>
          </w:p>
        </w:tc>
        <w:tc>
          <w:tcPr>
            <w:tcW w:type="dxa" w:w="5112"/>
            <w:vAlign w:val="center"/>
            <w:shd w:fill="1F4E79"/>
          </w:tcPr>
          <w:p>
            <w:r>
              <w:rPr>
                <w:b/>
                <w:color w:val="FFFFFF"/>
                <w:sz w:val="16"/>
              </w:rPr>
              <w:t>À compléter</w:t>
            </w:r>
          </w:p>
        </w:tc>
      </w:tr>
      <w:tr>
        <w:tc>
          <w:tcPr>
            <w:tcW w:type="dxa" w:w="5112"/>
            <w:vAlign w:val="center"/>
          </w:tcPr>
          <w:p>
            <w:r>
              <w:rPr>
                <w:sz w:val="16"/>
              </w:rPr>
              <w:t>Organisation / mission</w:t>
            </w:r>
          </w:p>
        </w:tc>
        <w:tc>
          <w:tcPr>
            <w:tcW w:type="dxa" w:w="5112"/>
            <w:vAlign w:val="center"/>
          </w:tcPr>
          <w:p>
            <w:r>
              <w:rPr>
                <w:sz w:val="16"/>
              </w:rPr>
              <w:t>[Nom de l’ONG / mission / base]</w:t>
            </w:r>
          </w:p>
        </w:tc>
      </w:tr>
      <w:tr>
        <w:tc>
          <w:tcPr>
            <w:tcW w:type="dxa" w:w="5112"/>
            <w:vAlign w:val="center"/>
          </w:tcPr>
          <w:p>
            <w:r>
              <w:rPr>
                <w:sz w:val="16"/>
              </w:rPr>
              <w:t>Catégorie</w:t>
            </w:r>
          </w:p>
        </w:tc>
        <w:tc>
          <w:tcPr>
            <w:tcW w:type="dxa" w:w="5112"/>
            <w:vAlign w:val="center"/>
          </w:tcPr>
          <w:p>
            <w:r>
              <w:rPr>
                <w:sz w:val="16"/>
              </w:rPr>
              <w:t>Kits NFI – articles non alimentaires</w:t>
            </w:r>
          </w:p>
        </w:tc>
      </w:tr>
      <w:tr>
        <w:tc>
          <w:tcPr>
            <w:tcW w:type="dxa" w:w="5112"/>
            <w:vAlign w:val="center"/>
          </w:tcPr>
          <w:p>
            <w:r>
              <w:rPr>
                <w:sz w:val="16"/>
              </w:rPr>
              <w:t>Responsable de catégorie</w:t>
            </w:r>
          </w:p>
        </w:tc>
        <w:tc>
          <w:tcPr>
            <w:tcW w:type="dxa" w:w="5112"/>
            <w:vAlign w:val="center"/>
          </w:tcPr>
          <w:p>
            <w:r>
              <w:rPr>
                <w:sz w:val="16"/>
              </w:rPr>
              <w:t>[Nom / fonction]</w:t>
            </w:r>
          </w:p>
        </w:tc>
      </w:tr>
      <w:tr>
        <w:tc>
          <w:tcPr>
            <w:tcW w:type="dxa" w:w="5112"/>
            <w:vAlign w:val="center"/>
          </w:tcPr>
          <w:p>
            <w:r>
              <w:rPr>
                <w:sz w:val="16"/>
              </w:rPr>
              <w:t>Période couverte</w:t>
            </w:r>
          </w:p>
        </w:tc>
        <w:tc>
          <w:tcPr>
            <w:tcW w:type="dxa" w:w="5112"/>
            <w:vAlign w:val="center"/>
          </w:tcPr>
          <w:p>
            <w:r>
              <w:rPr>
                <w:sz w:val="16"/>
              </w:rPr>
              <w:t>[Date de début – date de fin]</w:t>
            </w:r>
          </w:p>
        </w:tc>
      </w:tr>
      <w:tr>
        <w:tc>
          <w:tcPr>
            <w:tcW w:type="dxa" w:w="5112"/>
            <w:vAlign w:val="center"/>
          </w:tcPr>
          <w:p>
            <w:r>
              <w:rPr>
                <w:sz w:val="16"/>
              </w:rPr>
              <w:t>Budget indicatif</w:t>
            </w:r>
          </w:p>
        </w:tc>
        <w:tc>
          <w:tcPr>
            <w:tcW w:type="dxa" w:w="5112"/>
            <w:vAlign w:val="center"/>
          </w:tcPr>
          <w:p>
            <w:r>
              <w:rPr>
                <w:sz w:val="16"/>
              </w:rPr>
              <w:t>[Montant / devise / source de financement]</w:t>
            </w:r>
          </w:p>
        </w:tc>
      </w:tr>
      <w:tr>
        <w:tc>
          <w:tcPr>
            <w:tcW w:type="dxa" w:w="5112"/>
            <w:vAlign w:val="center"/>
          </w:tcPr>
          <w:p>
            <w:r>
              <w:rPr>
                <w:sz w:val="16"/>
              </w:rPr>
              <w:t>Parties prenantes</w:t>
            </w:r>
          </w:p>
        </w:tc>
        <w:tc>
          <w:tcPr>
            <w:tcW w:type="dxa" w:w="5112"/>
            <w:vAlign w:val="center"/>
          </w:tcPr>
          <w:p>
            <w:r>
              <w:rPr>
                <w:sz w:val="16"/>
              </w:rPr>
              <w:t>Procurement, Logistique, Programme, Finance, conformité, équipes terrain</w:t>
            </w:r>
          </w:p>
        </w:tc>
      </w:tr>
      <w:tr>
        <w:tc>
          <w:tcPr>
            <w:tcW w:type="dxa" w:w="5112"/>
            <w:vAlign w:val="center"/>
          </w:tcPr>
          <w:p>
            <w:r>
              <w:rPr>
                <w:sz w:val="16"/>
              </w:rPr>
              <w:t>Date de validation / approbateurs</w:t>
            </w:r>
          </w:p>
        </w:tc>
        <w:tc>
          <w:tcPr>
            <w:tcW w:type="dxa" w:w="5112"/>
            <w:vAlign w:val="center"/>
          </w:tcPr>
          <w:p>
            <w:r>
              <w:rPr>
                <w:sz w:val="16"/>
              </w:rPr>
              <w:t>[Noms, fonctions et dates]</w:t>
            </w:r>
          </w:p>
        </w:tc>
      </w:tr>
    </w:tbl>
    <w:p/>
    <w:p>
      <w:pPr>
        <w:pStyle w:val="Heading1"/>
      </w:pPr>
      <w:r>
        <w:t>2. Résumé exécutif et objectifs</w:t>
      </w:r>
    </w:p>
    <w:p>
      <w:r>
        <w:t>Décrire en quelques lignes le besoin opérationnel, les principales difficultés actuelles et les résultats recherchés.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shd w:fill="1F4E79"/>
          </w:tcPr>
          <w:p>
            <w:r>
              <w:rPr>
                <w:b/>
                <w:color w:val="FFFFFF"/>
                <w:sz w:val="16"/>
              </w:rPr>
              <w:t>Objectif</w:t>
            </w:r>
          </w:p>
        </w:tc>
        <w:tc>
          <w:tcPr>
            <w:tcW w:type="dxa" w:w="2556"/>
            <w:vAlign w:val="center"/>
            <w:shd w:fill="1F4E79"/>
          </w:tcPr>
          <w:p>
            <w:r>
              <w:rPr>
                <w:b/>
                <w:color w:val="FFFFFF"/>
                <w:sz w:val="16"/>
              </w:rPr>
              <w:t>Cible / résultat attendu</w:t>
            </w:r>
          </w:p>
        </w:tc>
        <w:tc>
          <w:tcPr>
            <w:tcW w:type="dxa" w:w="2556"/>
            <w:vAlign w:val="center"/>
            <w:shd w:fill="1F4E79"/>
          </w:tcPr>
          <w:p>
            <w:r>
              <w:rPr>
                <w:b/>
                <w:color w:val="FFFFFF"/>
                <w:sz w:val="16"/>
              </w:rPr>
              <w:t>Échéance</w:t>
            </w:r>
          </w:p>
        </w:tc>
        <w:tc>
          <w:tcPr>
            <w:tcW w:type="dxa" w:w="2556"/>
            <w:vAlign w:val="center"/>
            <w:shd w:fill="1F4E79"/>
          </w:tcPr>
          <w:p>
            <w:r>
              <w:rPr>
                <w:b/>
                <w:color w:val="FFFFFF"/>
                <w:sz w:val="16"/>
              </w:rPr>
              <w:t>Responsable</w:t>
            </w:r>
          </w:p>
        </w:tc>
      </w:tr>
      <w:tr>
        <w:tc>
          <w:tcPr>
            <w:tcW w:type="dxa" w:w="2556"/>
            <w:vAlign w:val="center"/>
          </w:tcPr>
          <w:p>
            <w:r>
              <w:rPr>
                <w:sz w:val="16"/>
              </w:rPr>
              <w:t>Réduire le délai entre demande validée et livraison</w:t>
            </w:r>
          </w:p>
        </w:tc>
        <w:tc>
          <w:tcPr>
            <w:tcW w:type="dxa" w:w="2556"/>
            <w:vAlign w:val="center"/>
          </w:tcPr>
          <w:p>
            <w:r>
              <w:rPr>
                <w:sz w:val="16"/>
              </w:rPr>
              <w:t>[Ex. cible locale à définir]</w:t>
            </w:r>
          </w:p>
        </w:tc>
        <w:tc>
          <w:tcPr>
            <w:tcW w:type="dxa" w:w="2556"/>
            <w:vAlign w:val="center"/>
          </w:tcPr>
          <w:p>
            <w:r>
              <w:rPr>
                <w:sz w:val="16"/>
              </w:rPr>
              <w:t>[Date]</w:t>
            </w:r>
          </w:p>
        </w:tc>
        <w:tc>
          <w:tcPr>
            <w:tcW w:type="dxa" w:w="2556"/>
            <w:vAlign w:val="center"/>
          </w:tcPr>
          <w:p>
            <w:r>
              <w:rPr>
                <w:sz w:val="16"/>
              </w:rPr>
              <w:t>[Nom / service]</w:t>
            </w:r>
          </w:p>
        </w:tc>
      </w:tr>
      <w:tr>
        <w:tc>
          <w:tcPr>
            <w:tcW w:type="dxa" w:w="2556"/>
            <w:vAlign w:val="center"/>
          </w:tcPr>
          <w:p>
            <w:r>
              <w:rPr>
                <w:sz w:val="16"/>
              </w:rPr>
              <w:t>Améliorer le rapport qualité-prix et la standardisation</w:t>
            </w:r>
          </w:p>
        </w:tc>
        <w:tc>
          <w:tcPr>
            <w:tcW w:type="dxa" w:w="2556"/>
            <w:vAlign w:val="center"/>
          </w:tcPr>
          <w:p>
            <w:r>
              <w:rPr>
                <w:sz w:val="16"/>
              </w:rPr>
              <w:t>[Spécifications et coûts validés]</w:t>
            </w:r>
          </w:p>
        </w:tc>
        <w:tc>
          <w:tcPr>
            <w:tcW w:type="dxa" w:w="2556"/>
            <w:vAlign w:val="center"/>
          </w:tcPr>
          <w:p>
            <w:r>
              <w:rPr>
                <w:sz w:val="16"/>
              </w:rPr>
              <w:t>[Date]</w:t>
            </w:r>
          </w:p>
        </w:tc>
        <w:tc>
          <w:tcPr>
            <w:tcW w:type="dxa" w:w="2556"/>
            <w:vAlign w:val="center"/>
          </w:tcPr>
          <w:p>
            <w:r>
              <w:rPr>
                <w:sz w:val="16"/>
              </w:rPr>
              <w:t>[Nom / service]</w:t>
            </w:r>
          </w:p>
        </w:tc>
      </w:tr>
      <w:tr>
        <w:tc>
          <w:tcPr>
            <w:tcW w:type="dxa" w:w="2556"/>
            <w:vAlign w:val="center"/>
          </w:tcPr>
          <w:p>
            <w:r>
              <w:rPr>
                <w:sz w:val="16"/>
              </w:rPr>
              <w:t>Sécuriser la disponibilité des articles critiques</w:t>
            </w:r>
          </w:p>
        </w:tc>
        <w:tc>
          <w:tcPr>
            <w:tcW w:type="dxa" w:w="2556"/>
            <w:vAlign w:val="center"/>
          </w:tcPr>
          <w:p>
            <w:r>
              <w:rPr>
                <w:sz w:val="16"/>
              </w:rPr>
              <w:t>[Niveau de couverture / fournisseurs de secours]</w:t>
            </w:r>
          </w:p>
        </w:tc>
        <w:tc>
          <w:tcPr>
            <w:tcW w:type="dxa" w:w="2556"/>
            <w:vAlign w:val="center"/>
          </w:tcPr>
          <w:p>
            <w:r>
              <w:rPr>
                <w:sz w:val="16"/>
              </w:rPr>
              <w:t>[Date]</w:t>
            </w:r>
          </w:p>
        </w:tc>
        <w:tc>
          <w:tcPr>
            <w:tcW w:type="dxa" w:w="2556"/>
            <w:vAlign w:val="center"/>
          </w:tcPr>
          <w:p>
            <w:r>
              <w:rPr>
                <w:sz w:val="16"/>
              </w:rPr>
              <w:t>[Nom / service]</w:t>
            </w:r>
          </w:p>
        </w:tc>
      </w:tr>
      <w:tr>
        <w:tc>
          <w:tcPr>
            <w:tcW w:type="dxa" w:w="2556"/>
            <w:vAlign w:val="center"/>
          </w:tcPr>
          <w:p>
            <w:r>
              <w:rPr>
                <w:sz w:val="16"/>
              </w:rPr>
              <w:t>Renforcer la traçabilité et la conformité</w:t>
            </w:r>
          </w:p>
        </w:tc>
        <w:tc>
          <w:tcPr>
            <w:tcW w:type="dxa" w:w="2556"/>
            <w:vAlign w:val="center"/>
          </w:tcPr>
          <w:p>
            <w:r>
              <w:rPr>
                <w:sz w:val="16"/>
              </w:rPr>
              <w:t>[Dossiers complets et décisions documentées]</w:t>
            </w:r>
          </w:p>
        </w:tc>
        <w:tc>
          <w:tcPr>
            <w:tcW w:type="dxa" w:w="2556"/>
            <w:vAlign w:val="center"/>
          </w:tcPr>
          <w:p>
            <w:r>
              <w:rPr>
                <w:sz w:val="16"/>
              </w:rPr>
              <w:t>[Date]</w:t>
            </w:r>
          </w:p>
        </w:tc>
        <w:tc>
          <w:tcPr>
            <w:tcW w:type="dxa" w:w="2556"/>
            <w:vAlign w:val="center"/>
          </w:tcPr>
          <w:p>
            <w:r>
              <w:rPr>
                <w:sz w:val="16"/>
              </w:rPr>
              <w:t>[Nom / service]</w:t>
            </w:r>
          </w:p>
        </w:tc>
      </w:tr>
    </w:tbl>
    <w:p/>
    <w:p>
      <w:pPr>
        <w:pStyle w:val="Heading1"/>
      </w:pPr>
      <w:r>
        <w:t>3. Périmètre de la catégorie et spécifications</w:t>
      </w:r>
    </w:p>
    <w:p>
      <w:r>
        <w:t>Préciser les articles inclus, les exclusions, les unités de mesure, les normes minimales et les besoins de conditionnement.</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shd w:fill="1F4E79"/>
          </w:tcPr>
          <w:p>
            <w:r>
              <w:rPr>
                <w:b/>
                <w:color w:val="FFFFFF"/>
                <w:sz w:val="16"/>
              </w:rPr>
              <w:t>Article / composant</w:t>
            </w:r>
          </w:p>
        </w:tc>
        <w:tc>
          <w:tcPr>
            <w:tcW w:type="dxa" w:w="2045"/>
            <w:vAlign w:val="center"/>
            <w:shd w:fill="1F4E79"/>
          </w:tcPr>
          <w:p>
            <w:r>
              <w:rPr>
                <w:b/>
                <w:color w:val="FFFFFF"/>
                <w:sz w:val="16"/>
              </w:rPr>
              <w:t>Spécification minimale à valider</w:t>
            </w:r>
          </w:p>
        </w:tc>
        <w:tc>
          <w:tcPr>
            <w:tcW w:type="dxa" w:w="2045"/>
            <w:vAlign w:val="center"/>
            <w:shd w:fill="1F4E79"/>
          </w:tcPr>
          <w:p>
            <w:r>
              <w:rPr>
                <w:b/>
                <w:color w:val="FFFFFF"/>
                <w:sz w:val="16"/>
              </w:rPr>
              <w:t>Unité</w:t>
            </w:r>
          </w:p>
        </w:tc>
        <w:tc>
          <w:tcPr>
            <w:tcW w:type="dxa" w:w="2045"/>
            <w:vAlign w:val="center"/>
            <w:shd w:fill="1F4E79"/>
          </w:tcPr>
          <w:p>
            <w:r>
              <w:rPr>
                <w:b/>
                <w:color w:val="FFFFFF"/>
                <w:sz w:val="16"/>
              </w:rPr>
              <w:t>Quantité estimée</w:t>
            </w:r>
          </w:p>
        </w:tc>
        <w:tc>
          <w:tcPr>
            <w:tcW w:type="dxa" w:w="2045"/>
            <w:vAlign w:val="center"/>
            <w:shd w:fill="1F4E79"/>
          </w:tcPr>
          <w:p>
            <w:r>
              <w:rPr>
                <w:b/>
                <w:color w:val="FFFFFF"/>
                <w:sz w:val="16"/>
              </w:rPr>
              <w:t>Criticité</w:t>
            </w:r>
          </w:p>
        </w:tc>
      </w:tr>
      <w:tr>
        <w:tc>
          <w:tcPr>
            <w:tcW w:type="dxa" w:w="2045"/>
            <w:vAlign w:val="center"/>
          </w:tcPr>
          <w:p>
            <w:r>
              <w:rPr>
                <w:sz w:val="16"/>
              </w:rPr>
              <w:t>Seau avec couvercle</w:t>
            </w:r>
          </w:p>
        </w:tc>
        <w:tc>
          <w:tcPr>
            <w:tcW w:type="dxa" w:w="2045"/>
            <w:vAlign w:val="center"/>
          </w:tcPr>
          <w:p>
            <w:r>
              <w:rPr>
                <w:sz w:val="16"/>
              </w:rPr>
              <w:t>[Volume, matériau, résistance, conformité]</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Élevée / moyenne / faible</w:t>
            </w:r>
          </w:p>
        </w:tc>
      </w:tr>
      <w:tr>
        <w:tc>
          <w:tcPr>
            <w:tcW w:type="dxa" w:w="2045"/>
            <w:vAlign w:val="center"/>
          </w:tcPr>
          <w:p>
            <w:r>
              <w:rPr>
                <w:sz w:val="16"/>
              </w:rPr>
              <w:t>Savon</w:t>
            </w:r>
          </w:p>
        </w:tc>
        <w:tc>
          <w:tcPr>
            <w:tcW w:type="dxa" w:w="2045"/>
            <w:vAlign w:val="center"/>
          </w:tcPr>
          <w:p>
            <w:r>
              <w:rPr>
                <w:sz w:val="16"/>
              </w:rPr>
              <w:t>[Poids, composition, emballage, durée de conservation si applicable]</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Élevée / moyenne / faible</w:t>
            </w:r>
          </w:p>
        </w:tc>
      </w:tr>
      <w:tr>
        <w:tc>
          <w:tcPr>
            <w:tcW w:type="dxa" w:w="2045"/>
            <w:vAlign w:val="center"/>
          </w:tcPr>
          <w:p>
            <w:r>
              <w:rPr>
                <w:sz w:val="16"/>
              </w:rPr>
              <w:t>Moustiquaire</w:t>
            </w:r>
          </w:p>
        </w:tc>
        <w:tc>
          <w:tcPr>
            <w:tcW w:type="dxa" w:w="2045"/>
            <w:vAlign w:val="center"/>
          </w:tcPr>
          <w:p>
            <w:r>
              <w:rPr>
                <w:sz w:val="16"/>
              </w:rPr>
              <w:t>[Dimensions, type, normes techniques applicables]</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Élevée / moyenne / faible</w:t>
            </w:r>
          </w:p>
        </w:tc>
      </w:tr>
      <w:tr>
        <w:tc>
          <w:tcPr>
            <w:tcW w:type="dxa" w:w="2045"/>
            <w:vAlign w:val="center"/>
          </w:tcPr>
          <w:p>
            <w:r>
              <w:rPr>
                <w:sz w:val="16"/>
              </w:rPr>
              <w:t>Couverture</w:t>
            </w:r>
          </w:p>
        </w:tc>
        <w:tc>
          <w:tcPr>
            <w:tcW w:type="dxa" w:w="2045"/>
            <w:vAlign w:val="center"/>
          </w:tcPr>
          <w:p>
            <w:r>
              <w:rPr>
                <w:sz w:val="16"/>
              </w:rPr>
              <w:t>[Dimensions, grammage, composition, résistance]</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Élevée / moyenne / faible</w:t>
            </w:r>
          </w:p>
        </w:tc>
      </w:tr>
      <w:tr>
        <w:tc>
          <w:tcPr>
            <w:tcW w:type="dxa" w:w="2045"/>
            <w:vAlign w:val="center"/>
          </w:tcPr>
          <w:p>
            <w:r>
              <w:rPr>
                <w:sz w:val="16"/>
              </w:rPr>
              <w:t>Jerrycan / bidon</w:t>
            </w:r>
          </w:p>
        </w:tc>
        <w:tc>
          <w:tcPr>
            <w:tcW w:type="dxa" w:w="2045"/>
            <w:vAlign w:val="center"/>
          </w:tcPr>
          <w:p>
            <w:r>
              <w:rPr>
                <w:sz w:val="16"/>
              </w:rPr>
              <w:t>[Capacité, matériau, bouchon, robustesse]</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Élevée / moyenne / faible</w:t>
            </w:r>
          </w:p>
        </w:tc>
      </w:tr>
      <w:tr>
        <w:tc>
          <w:tcPr>
            <w:tcW w:type="dxa" w:w="2045"/>
            <w:vAlign w:val="center"/>
          </w:tcPr>
          <w:p>
            <w:r>
              <w:rPr>
                <w:sz w:val="16"/>
              </w:rPr>
              <w:t>Autres composants</w:t>
            </w:r>
          </w:p>
        </w:tc>
        <w:tc>
          <w:tcPr>
            <w:tcW w:type="dxa" w:w="2045"/>
            <w:vAlign w:val="center"/>
          </w:tcPr>
          <w:p>
            <w:r>
              <w:rPr>
                <w:sz w:val="16"/>
              </w:rPr>
              <w:t>[Spécifications approuvées par le programme/logistique]</w:t>
            </w:r>
          </w:p>
        </w:tc>
        <w:tc>
          <w:tcPr>
            <w:tcW w:type="dxa" w:w="2045"/>
            <w:vAlign w:val="center"/>
          </w:tcPr>
          <w:p>
            <w:r>
              <w:rPr>
                <w:sz w:val="16"/>
              </w:rPr>
              <w:t>[Unité]</w:t>
            </w:r>
          </w:p>
        </w:tc>
        <w:tc>
          <w:tcPr>
            <w:tcW w:type="dxa" w:w="2045"/>
            <w:vAlign w:val="center"/>
          </w:tcPr>
          <w:p>
            <w:r>
              <w:rPr>
                <w:sz w:val="16"/>
              </w:rPr>
              <w:t>[À renseigner]</w:t>
            </w:r>
          </w:p>
        </w:tc>
        <w:tc>
          <w:tcPr>
            <w:tcW w:type="dxa" w:w="2045"/>
            <w:vAlign w:val="center"/>
          </w:tcPr>
          <w:p>
            <w:r>
              <w:rPr>
                <w:sz w:val="16"/>
              </w:rPr>
              <w:t>[Niveau]</w:t>
            </w:r>
          </w:p>
        </w:tc>
      </w:tr>
    </w:tbl>
    <w:p/>
    <w:p>
      <w:pPr>
        <w:pStyle w:val="Heading1"/>
      </w:pPr>
      <w:r>
        <w:t>4. Analyse des dépenses et de la demande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9"/>
          </w:tcPr>
          <w:p>
            <w:r>
              <w:rPr>
                <w:b/>
                <w:color w:val="FFFFFF"/>
                <w:sz w:val="16"/>
              </w:rPr>
              <w:t>Analyse</w:t>
            </w:r>
          </w:p>
        </w:tc>
        <w:tc>
          <w:tcPr>
            <w:tcW w:type="dxa" w:w="3408"/>
            <w:vAlign w:val="center"/>
            <w:shd w:fill="1F4E79"/>
          </w:tcPr>
          <w:p>
            <w:r>
              <w:rPr>
                <w:b/>
                <w:color w:val="FFFFFF"/>
                <w:sz w:val="16"/>
              </w:rPr>
              <w:t>Données à examiner</w:t>
            </w:r>
          </w:p>
        </w:tc>
        <w:tc>
          <w:tcPr>
            <w:tcW w:type="dxa" w:w="3408"/>
            <w:vAlign w:val="center"/>
            <w:shd w:fill="1F4E79"/>
          </w:tcPr>
          <w:p>
            <w:r>
              <w:rPr>
                <w:b/>
                <w:color w:val="FFFFFF"/>
                <w:sz w:val="16"/>
              </w:rPr>
              <w:t>Constats / décision</w:t>
            </w:r>
          </w:p>
        </w:tc>
      </w:tr>
      <w:tr>
        <w:tc>
          <w:tcPr>
            <w:tcW w:type="dxa" w:w="3408"/>
            <w:vAlign w:val="center"/>
          </w:tcPr>
          <w:p>
            <w:r>
              <w:rPr>
                <w:sz w:val="16"/>
              </w:rPr>
              <w:t>Historique des achats (12–24 mois)</w:t>
            </w:r>
          </w:p>
        </w:tc>
        <w:tc>
          <w:tcPr>
            <w:tcW w:type="dxa" w:w="3408"/>
            <w:vAlign w:val="center"/>
          </w:tcPr>
          <w:p>
            <w:r>
              <w:rPr>
                <w:sz w:val="16"/>
              </w:rPr>
              <w:t>Volumes, prix unitaires, montants, fréquence, sites et projets</w:t>
            </w:r>
          </w:p>
        </w:tc>
        <w:tc>
          <w:tcPr>
            <w:tcW w:type="dxa" w:w="3408"/>
            <w:vAlign w:val="center"/>
          </w:tcPr>
          <w:p>
            <w:r>
              <w:rPr>
                <w:sz w:val="16"/>
              </w:rPr>
              <w:t>[À compléter]</w:t>
            </w:r>
          </w:p>
        </w:tc>
      </w:tr>
      <w:tr>
        <w:tc>
          <w:tcPr>
            <w:tcW w:type="dxa" w:w="3408"/>
            <w:vAlign w:val="center"/>
          </w:tcPr>
          <w:p>
            <w:r>
              <w:rPr>
                <w:sz w:val="16"/>
              </w:rPr>
              <w:t>Prévisions de besoins</w:t>
            </w:r>
          </w:p>
        </w:tc>
        <w:tc>
          <w:tcPr>
            <w:tcW w:type="dxa" w:w="3408"/>
            <w:vAlign w:val="center"/>
          </w:tcPr>
          <w:p>
            <w:r>
              <w:rPr>
                <w:sz w:val="16"/>
              </w:rPr>
              <w:t>Plans de distribution, saisonnalité, pipeline de projets et scénarios d’urgence</w:t>
            </w:r>
          </w:p>
        </w:tc>
        <w:tc>
          <w:tcPr>
            <w:tcW w:type="dxa" w:w="3408"/>
            <w:vAlign w:val="center"/>
          </w:tcPr>
          <w:p>
            <w:r>
              <w:rPr>
                <w:sz w:val="16"/>
              </w:rPr>
              <w:t>[À compléter]</w:t>
            </w:r>
          </w:p>
        </w:tc>
      </w:tr>
      <w:tr>
        <w:tc>
          <w:tcPr>
            <w:tcW w:type="dxa" w:w="3408"/>
            <w:vAlign w:val="center"/>
          </w:tcPr>
          <w:p>
            <w:r>
              <w:rPr>
                <w:sz w:val="16"/>
              </w:rPr>
              <w:t>Consolidation de la demande</w:t>
            </w:r>
          </w:p>
        </w:tc>
        <w:tc>
          <w:tcPr>
            <w:tcW w:type="dxa" w:w="3408"/>
            <w:vAlign w:val="center"/>
          </w:tcPr>
          <w:p>
            <w:r>
              <w:rPr>
                <w:sz w:val="16"/>
              </w:rPr>
              <w:t>Besoins mutualisables entre bases/projets sans retarder les opérations</w:t>
            </w:r>
          </w:p>
        </w:tc>
        <w:tc>
          <w:tcPr>
            <w:tcW w:type="dxa" w:w="3408"/>
            <w:vAlign w:val="center"/>
          </w:tcPr>
          <w:p>
            <w:r>
              <w:rPr>
                <w:sz w:val="16"/>
              </w:rPr>
              <w:t>[À compléter]</w:t>
            </w:r>
          </w:p>
        </w:tc>
      </w:tr>
      <w:tr>
        <w:tc>
          <w:tcPr>
            <w:tcW w:type="dxa" w:w="3408"/>
            <w:vAlign w:val="center"/>
          </w:tcPr>
          <w:p>
            <w:r>
              <w:rPr>
                <w:sz w:val="16"/>
              </w:rPr>
              <w:t>Coût total d’acquisition</w:t>
            </w:r>
          </w:p>
        </w:tc>
        <w:tc>
          <w:tcPr>
            <w:tcW w:type="dxa" w:w="3408"/>
            <w:vAlign w:val="center"/>
          </w:tcPr>
          <w:p>
            <w:r>
              <w:rPr>
                <w:sz w:val="16"/>
              </w:rPr>
              <w:t>Prix, transport, manutention, stockage, assurance, pertes et contrôle qualité</w:t>
            </w:r>
          </w:p>
        </w:tc>
        <w:tc>
          <w:tcPr>
            <w:tcW w:type="dxa" w:w="3408"/>
            <w:vAlign w:val="center"/>
          </w:tcPr>
          <w:p>
            <w:r>
              <w:rPr>
                <w:sz w:val="16"/>
              </w:rPr>
              <w:t>[À compléter]</w:t>
            </w:r>
          </w:p>
        </w:tc>
      </w:tr>
      <w:tr>
        <w:tc>
          <w:tcPr>
            <w:tcW w:type="dxa" w:w="3408"/>
            <w:vAlign w:val="center"/>
          </w:tcPr>
          <w:p>
            <w:r>
              <w:rPr>
                <w:sz w:val="16"/>
              </w:rPr>
              <w:t>Variabilité du marché</w:t>
            </w:r>
          </w:p>
        </w:tc>
        <w:tc>
          <w:tcPr>
            <w:tcW w:type="dxa" w:w="3408"/>
            <w:vAlign w:val="center"/>
          </w:tcPr>
          <w:p>
            <w:r>
              <w:rPr>
                <w:sz w:val="16"/>
              </w:rPr>
              <w:t>Disponibilité locale, délais d’importation, volatilité des prix et risques de change</w:t>
            </w:r>
          </w:p>
        </w:tc>
        <w:tc>
          <w:tcPr>
            <w:tcW w:type="dxa" w:w="3408"/>
            <w:vAlign w:val="center"/>
          </w:tcPr>
          <w:p>
            <w:r>
              <w:rPr>
                <w:sz w:val="16"/>
              </w:rPr>
              <w:t>[À compléter]</w:t>
            </w:r>
          </w:p>
        </w:tc>
      </w:tr>
    </w:tbl>
    <w:p/>
    <w:p>
      <w:pPr>
        <w:pStyle w:val="Heading1"/>
      </w:pPr>
      <w:r>
        <w:t>5. Stratégie de sourcing et d’approvisionnement</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1F4E79"/>
          </w:tcPr>
          <w:p>
            <w:r>
              <w:rPr>
                <w:b/>
                <w:color w:val="FFFFFF"/>
                <w:sz w:val="16"/>
              </w:rPr>
              <w:t>Élément</w:t>
            </w:r>
          </w:p>
        </w:tc>
        <w:tc>
          <w:tcPr>
            <w:tcW w:type="dxa" w:w="5112"/>
            <w:vAlign w:val="center"/>
            <w:shd w:fill="1F4E79"/>
          </w:tcPr>
          <w:p>
            <w:r>
              <w:rPr>
                <w:b/>
                <w:color w:val="FFFFFF"/>
                <w:sz w:val="16"/>
              </w:rPr>
              <w:t>Approche proposée / décision à documenter</w:t>
            </w:r>
          </w:p>
        </w:tc>
      </w:tr>
      <w:tr>
        <w:tc>
          <w:tcPr>
            <w:tcW w:type="dxa" w:w="5112"/>
            <w:vAlign w:val="center"/>
          </w:tcPr>
          <w:p>
            <w:r>
              <w:rPr>
                <w:sz w:val="16"/>
              </w:rPr>
              <w:t>Segmentation du marché</w:t>
            </w:r>
          </w:p>
        </w:tc>
        <w:tc>
          <w:tcPr>
            <w:tcW w:type="dxa" w:w="5112"/>
            <w:vAlign w:val="center"/>
          </w:tcPr>
          <w:p>
            <w:r>
              <w:rPr>
                <w:sz w:val="16"/>
              </w:rPr>
              <w:t>Identifier fournisseurs locaux, grossistes, fabricants et options régionales/internationales.</w:t>
            </w:r>
          </w:p>
        </w:tc>
      </w:tr>
      <w:tr>
        <w:tc>
          <w:tcPr>
            <w:tcW w:type="dxa" w:w="5112"/>
            <w:vAlign w:val="center"/>
          </w:tcPr>
          <w:p>
            <w:r>
              <w:rPr>
                <w:sz w:val="16"/>
              </w:rPr>
              <w:t>Stratégie de mise en concurrence</w:t>
            </w:r>
          </w:p>
        </w:tc>
        <w:tc>
          <w:tcPr>
            <w:tcW w:type="dxa" w:w="5112"/>
            <w:vAlign w:val="center"/>
          </w:tcPr>
          <w:p>
            <w:r>
              <w:rPr>
                <w:sz w:val="16"/>
              </w:rPr>
              <w:t>Choisir la méthode selon les seuils, règles internes, bailleur, urgence justifiée et analyse du marché.</w:t>
            </w:r>
          </w:p>
        </w:tc>
      </w:tr>
      <w:tr>
        <w:tc>
          <w:tcPr>
            <w:tcW w:type="dxa" w:w="5112"/>
            <w:vAlign w:val="center"/>
          </w:tcPr>
          <w:p>
            <w:r>
              <w:rPr>
                <w:sz w:val="16"/>
              </w:rPr>
              <w:t>Contrats-cadres</w:t>
            </w:r>
          </w:p>
        </w:tc>
        <w:tc>
          <w:tcPr>
            <w:tcW w:type="dxa" w:w="5112"/>
            <w:vAlign w:val="center"/>
          </w:tcPr>
          <w:p>
            <w:r>
              <w:rPr>
                <w:sz w:val="16"/>
              </w:rPr>
              <w:t>Évaluer la pertinence de contrats-cadres avec prix/formules, durée, zones, délais, niveaux de service et conditions de commande.</w:t>
            </w:r>
          </w:p>
        </w:tc>
      </w:tr>
      <w:tr>
        <w:tc>
          <w:tcPr>
            <w:tcW w:type="dxa" w:w="5112"/>
            <w:vAlign w:val="center"/>
          </w:tcPr>
          <w:p>
            <w:r>
              <w:rPr>
                <w:sz w:val="16"/>
              </w:rPr>
              <w:t>Fournisseur principal et solution de secours</w:t>
            </w:r>
          </w:p>
        </w:tc>
        <w:tc>
          <w:tcPr>
            <w:tcW w:type="dxa" w:w="5112"/>
            <w:vAlign w:val="center"/>
          </w:tcPr>
          <w:p>
            <w:r>
              <w:rPr>
                <w:sz w:val="16"/>
              </w:rPr>
              <w:t>Éviter une dépendance unique lorsque le risque d’interruption est significatif.</w:t>
            </w:r>
          </w:p>
        </w:tc>
      </w:tr>
      <w:tr>
        <w:tc>
          <w:tcPr>
            <w:tcW w:type="dxa" w:w="5112"/>
            <w:vAlign w:val="center"/>
          </w:tcPr>
          <w:p>
            <w:r>
              <w:rPr>
                <w:sz w:val="16"/>
              </w:rPr>
              <w:t>Logistique et livraison</w:t>
            </w:r>
          </w:p>
        </w:tc>
        <w:tc>
          <w:tcPr>
            <w:tcW w:type="dxa" w:w="5112"/>
            <w:vAlign w:val="center"/>
          </w:tcPr>
          <w:p>
            <w:r>
              <w:rPr>
                <w:sz w:val="16"/>
              </w:rPr>
              <w:t>Définir les lieux, Incoterms si pertinents, calendrier, conditionnement, déchargement et responsabilités.</w:t>
            </w:r>
          </w:p>
        </w:tc>
      </w:tr>
      <w:tr>
        <w:tc>
          <w:tcPr>
            <w:tcW w:type="dxa" w:w="5112"/>
            <w:vAlign w:val="center"/>
          </w:tcPr>
          <w:p>
            <w:r>
              <w:rPr>
                <w:sz w:val="16"/>
              </w:rPr>
              <w:t>Contrôle qualité</w:t>
            </w:r>
          </w:p>
        </w:tc>
        <w:tc>
          <w:tcPr>
            <w:tcW w:type="dxa" w:w="5112"/>
            <w:vAlign w:val="center"/>
          </w:tcPr>
          <w:p>
            <w:r>
              <w:rPr>
                <w:sz w:val="16"/>
              </w:rPr>
              <w:t>Échantillons, inspection à réception, critères d’acceptation/rejet et gestion des non-conformités.</w:t>
            </w:r>
          </w:p>
        </w:tc>
      </w:tr>
      <w:tr>
        <w:tc>
          <w:tcPr>
            <w:tcW w:type="dxa" w:w="5112"/>
            <w:vAlign w:val="center"/>
          </w:tcPr>
          <w:p>
            <w:r>
              <w:rPr>
                <w:sz w:val="16"/>
              </w:rPr>
              <w:t>Durabilité et protection</w:t>
            </w:r>
          </w:p>
        </w:tc>
        <w:tc>
          <w:tcPr>
            <w:tcW w:type="dxa" w:w="5112"/>
            <w:vAlign w:val="center"/>
          </w:tcPr>
          <w:p>
            <w:r>
              <w:rPr>
                <w:sz w:val="16"/>
              </w:rPr>
              <w:t>Prendre en compte sécurité des utilisateurs, accessibilité, exigences environnementales et risques de protection pertinents.</w:t>
            </w:r>
          </w:p>
        </w:tc>
      </w:tr>
      <w:tr>
        <w:tc>
          <w:tcPr>
            <w:tcW w:type="dxa" w:w="5112"/>
            <w:vAlign w:val="center"/>
          </w:tcPr>
          <w:p>
            <w:r>
              <w:rPr>
                <w:sz w:val="16"/>
              </w:rPr>
              <w:t>Conformité</w:t>
            </w:r>
          </w:p>
        </w:tc>
        <w:tc>
          <w:tcPr>
            <w:tcW w:type="dxa" w:w="5112"/>
            <w:vAlign w:val="center"/>
          </w:tcPr>
          <w:p>
            <w:r>
              <w:rPr>
                <w:sz w:val="16"/>
              </w:rPr>
              <w:t>Vérifier conflits d’intérêts, sanctions/listes de vigilance selon les procédures, intégrité fournisseur et piste d’audit.</w:t>
            </w:r>
          </w:p>
        </w:tc>
      </w:tr>
    </w:tbl>
    <w:p/>
    <w:p>
      <w:pPr>
        <w:pStyle w:val="Heading1"/>
      </w:pPr>
      <w:r>
        <w:t>6. Évaluation et segmentation des fournisseurs</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1F4E79"/>
          </w:tcPr>
          <w:p>
            <w:r>
              <w:rPr>
                <w:b/>
                <w:color w:val="FFFFFF"/>
                <w:sz w:val="16"/>
              </w:rPr>
              <w:t>Critère</w:t>
            </w:r>
          </w:p>
        </w:tc>
        <w:tc>
          <w:tcPr>
            <w:tcW w:type="dxa" w:w="3408"/>
            <w:vAlign w:val="center"/>
            <w:shd w:fill="1F4E79"/>
          </w:tcPr>
          <w:p>
            <w:r>
              <w:rPr>
                <w:b/>
                <w:color w:val="FFFFFF"/>
                <w:sz w:val="16"/>
              </w:rPr>
              <w:t>Pondération indicative</w:t>
            </w:r>
          </w:p>
        </w:tc>
        <w:tc>
          <w:tcPr>
            <w:tcW w:type="dxa" w:w="3408"/>
            <w:vAlign w:val="center"/>
            <w:shd w:fill="1F4E79"/>
          </w:tcPr>
          <w:p>
            <w:r>
              <w:rPr>
                <w:b/>
                <w:color w:val="FFFFFF"/>
                <w:sz w:val="16"/>
              </w:rPr>
              <w:t>Éléments de preuve</w:t>
            </w:r>
          </w:p>
        </w:tc>
      </w:tr>
      <w:tr>
        <w:tc>
          <w:tcPr>
            <w:tcW w:type="dxa" w:w="3408"/>
            <w:vAlign w:val="center"/>
          </w:tcPr>
          <w:p>
            <w:r>
              <w:rPr>
                <w:sz w:val="16"/>
              </w:rPr>
              <w:t>Conformité technique / qualité</w:t>
            </w:r>
          </w:p>
        </w:tc>
        <w:tc>
          <w:tcPr>
            <w:tcW w:type="dxa" w:w="3408"/>
            <w:vAlign w:val="center"/>
          </w:tcPr>
          <w:p>
            <w:r>
              <w:rPr>
                <w:sz w:val="16"/>
              </w:rPr>
              <w:t>30 %</w:t>
            </w:r>
          </w:p>
        </w:tc>
        <w:tc>
          <w:tcPr>
            <w:tcW w:type="dxa" w:w="3408"/>
            <w:vAlign w:val="center"/>
          </w:tcPr>
          <w:p>
            <w:r>
              <w:rPr>
                <w:sz w:val="16"/>
              </w:rPr>
              <w:t>Fiches techniques, échantillons, certificats et références vérifiables</w:t>
            </w:r>
          </w:p>
        </w:tc>
      </w:tr>
      <w:tr>
        <w:tc>
          <w:tcPr>
            <w:tcW w:type="dxa" w:w="3408"/>
            <w:vAlign w:val="center"/>
          </w:tcPr>
          <w:p>
            <w:r>
              <w:rPr>
                <w:sz w:val="16"/>
              </w:rPr>
              <w:t>Prix et coût total livré</w:t>
            </w:r>
          </w:p>
        </w:tc>
        <w:tc>
          <w:tcPr>
            <w:tcW w:type="dxa" w:w="3408"/>
            <w:vAlign w:val="center"/>
          </w:tcPr>
          <w:p>
            <w:r>
              <w:rPr>
                <w:sz w:val="16"/>
              </w:rPr>
              <w:t>25 %</w:t>
            </w:r>
          </w:p>
        </w:tc>
        <w:tc>
          <w:tcPr>
            <w:tcW w:type="dxa" w:w="3408"/>
            <w:vAlign w:val="center"/>
          </w:tcPr>
          <w:p>
            <w:r>
              <w:rPr>
                <w:sz w:val="16"/>
              </w:rPr>
              <w:t>Offre détaillée, coûts logistiques, taxes et conditions de paiement</w:t>
            </w:r>
          </w:p>
        </w:tc>
      </w:tr>
      <w:tr>
        <w:tc>
          <w:tcPr>
            <w:tcW w:type="dxa" w:w="3408"/>
            <w:vAlign w:val="center"/>
          </w:tcPr>
          <w:p>
            <w:r>
              <w:rPr>
                <w:sz w:val="16"/>
              </w:rPr>
              <w:t>Capacité et disponibilité</w:t>
            </w:r>
          </w:p>
        </w:tc>
        <w:tc>
          <w:tcPr>
            <w:tcW w:type="dxa" w:w="3408"/>
            <w:vAlign w:val="center"/>
          </w:tcPr>
          <w:p>
            <w:r>
              <w:rPr>
                <w:sz w:val="16"/>
              </w:rPr>
              <w:t>15 %</w:t>
            </w:r>
          </w:p>
        </w:tc>
        <w:tc>
          <w:tcPr>
            <w:tcW w:type="dxa" w:w="3408"/>
            <w:vAlign w:val="center"/>
          </w:tcPr>
          <w:p>
            <w:r>
              <w:rPr>
                <w:sz w:val="16"/>
              </w:rPr>
              <w:t>Stocks, capacité de production, ressources et références</w:t>
            </w:r>
          </w:p>
        </w:tc>
      </w:tr>
      <w:tr>
        <w:tc>
          <w:tcPr>
            <w:tcW w:type="dxa" w:w="3408"/>
            <w:vAlign w:val="center"/>
          </w:tcPr>
          <w:p>
            <w:r>
              <w:rPr>
                <w:sz w:val="16"/>
              </w:rPr>
              <w:t>Délais et couverture géographique</w:t>
            </w:r>
          </w:p>
        </w:tc>
        <w:tc>
          <w:tcPr>
            <w:tcW w:type="dxa" w:w="3408"/>
            <w:vAlign w:val="center"/>
          </w:tcPr>
          <w:p>
            <w:r>
              <w:rPr>
                <w:sz w:val="16"/>
              </w:rPr>
              <w:t>15 %</w:t>
            </w:r>
          </w:p>
        </w:tc>
        <w:tc>
          <w:tcPr>
            <w:tcW w:type="dxa" w:w="3408"/>
            <w:vAlign w:val="center"/>
          </w:tcPr>
          <w:p>
            <w:r>
              <w:rPr>
                <w:sz w:val="16"/>
              </w:rPr>
              <w:t>Calendrier réaliste, moyens de livraison et présence locale</w:t>
            </w:r>
          </w:p>
        </w:tc>
      </w:tr>
      <w:tr>
        <w:tc>
          <w:tcPr>
            <w:tcW w:type="dxa" w:w="3408"/>
            <w:vAlign w:val="center"/>
          </w:tcPr>
          <w:p>
            <w:r>
              <w:rPr>
                <w:sz w:val="16"/>
              </w:rPr>
              <w:t>Performance et service après-vente</w:t>
            </w:r>
          </w:p>
        </w:tc>
        <w:tc>
          <w:tcPr>
            <w:tcW w:type="dxa" w:w="3408"/>
            <w:vAlign w:val="center"/>
          </w:tcPr>
          <w:p>
            <w:r>
              <w:rPr>
                <w:sz w:val="16"/>
              </w:rPr>
              <w:t>10 %</w:t>
            </w:r>
          </w:p>
        </w:tc>
        <w:tc>
          <w:tcPr>
            <w:tcW w:type="dxa" w:w="3408"/>
            <w:vAlign w:val="center"/>
          </w:tcPr>
          <w:p>
            <w:r>
              <w:rPr>
                <w:sz w:val="16"/>
              </w:rPr>
              <w:t>Historique, garanties, réactivité et gestion des réclamations</w:t>
            </w:r>
          </w:p>
        </w:tc>
      </w:tr>
      <w:tr>
        <w:tc>
          <w:tcPr>
            <w:tcW w:type="dxa" w:w="3408"/>
            <w:vAlign w:val="center"/>
          </w:tcPr>
          <w:p>
            <w:r>
              <w:rPr>
                <w:sz w:val="16"/>
              </w:rPr>
              <w:t>Conformité / intégrité</w:t>
            </w:r>
          </w:p>
        </w:tc>
        <w:tc>
          <w:tcPr>
            <w:tcW w:type="dxa" w:w="3408"/>
            <w:vAlign w:val="center"/>
          </w:tcPr>
          <w:p>
            <w:r>
              <w:rPr>
                <w:sz w:val="16"/>
              </w:rPr>
              <w:t>5 %</w:t>
            </w:r>
          </w:p>
        </w:tc>
        <w:tc>
          <w:tcPr>
            <w:tcW w:type="dxa" w:w="3408"/>
            <w:vAlign w:val="center"/>
          </w:tcPr>
          <w:p>
            <w:r>
              <w:rPr>
                <w:sz w:val="16"/>
              </w:rPr>
              <w:t>Documents légaux, vérifications requises et déclaration de conflit d’intérêts</w:t>
            </w:r>
          </w:p>
        </w:tc>
      </w:tr>
    </w:tbl>
    <w:p/>
    <w:p>
      <w:r>
        <w:t>Les pondérations ci-dessus sont purement illustratives. Les critères et pondérations doivent être validés avant la sollicitation des offres et appliqués de façon cohérente.</w:t>
      </w:r>
    </w:p>
    <w:p>
      <w:pPr>
        <w:pStyle w:val="Heading1"/>
      </w:pPr>
      <w:r>
        <w:t>7. Principaux risques et mesures d’atténuation</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shd w:fill="1F4E79"/>
          </w:tcPr>
          <w:p>
            <w:r>
              <w:rPr>
                <w:b/>
                <w:color w:val="FFFFFF"/>
                <w:sz w:val="16"/>
              </w:rPr>
              <w:t>Risque</w:t>
            </w:r>
          </w:p>
        </w:tc>
        <w:tc>
          <w:tcPr>
            <w:tcW w:type="dxa" w:w="2045"/>
            <w:vAlign w:val="center"/>
            <w:shd w:fill="1F4E79"/>
          </w:tcPr>
          <w:p>
            <w:r>
              <w:rPr>
                <w:b/>
                <w:color w:val="FFFFFF"/>
                <w:sz w:val="16"/>
              </w:rPr>
              <w:t>Probabilité</w:t>
            </w:r>
          </w:p>
        </w:tc>
        <w:tc>
          <w:tcPr>
            <w:tcW w:type="dxa" w:w="2045"/>
            <w:vAlign w:val="center"/>
            <w:shd w:fill="1F4E79"/>
          </w:tcPr>
          <w:p>
            <w:r>
              <w:rPr>
                <w:b/>
                <w:color w:val="FFFFFF"/>
                <w:sz w:val="16"/>
              </w:rPr>
              <w:t>Impact</w:t>
            </w:r>
          </w:p>
        </w:tc>
        <w:tc>
          <w:tcPr>
            <w:tcW w:type="dxa" w:w="2045"/>
            <w:vAlign w:val="center"/>
            <w:shd w:fill="1F4E79"/>
          </w:tcPr>
          <w:p>
            <w:r>
              <w:rPr>
                <w:b/>
                <w:color w:val="FFFFFF"/>
                <w:sz w:val="16"/>
              </w:rPr>
              <w:t>Mesure d’atténuation</w:t>
            </w:r>
          </w:p>
        </w:tc>
        <w:tc>
          <w:tcPr>
            <w:tcW w:type="dxa" w:w="2045"/>
            <w:vAlign w:val="center"/>
            <w:shd w:fill="1F4E79"/>
          </w:tcPr>
          <w:p>
            <w:r>
              <w:rPr>
                <w:b/>
                <w:color w:val="FFFFFF"/>
                <w:sz w:val="16"/>
              </w:rPr>
              <w:t>Responsable</w:t>
            </w:r>
          </w:p>
        </w:tc>
      </w:tr>
      <w:tr>
        <w:tc>
          <w:tcPr>
            <w:tcW w:type="dxa" w:w="2045"/>
            <w:vAlign w:val="center"/>
          </w:tcPr>
          <w:p>
            <w:r>
              <w:rPr>
                <w:sz w:val="16"/>
              </w:rPr>
              <w:t>Rupture de stock / indisponibilité</w:t>
            </w:r>
          </w:p>
        </w:tc>
        <w:tc>
          <w:tcPr>
            <w:tcW w:type="dxa" w:w="2045"/>
            <w:vAlign w:val="center"/>
          </w:tcPr>
          <w:p>
            <w:r>
              <w:rPr>
                <w:sz w:val="16"/>
              </w:rPr>
              <w:t>[Faible/Moyenne/Élevée]</w:t>
            </w:r>
          </w:p>
        </w:tc>
        <w:tc>
          <w:tcPr>
            <w:tcW w:type="dxa" w:w="2045"/>
            <w:vAlign w:val="center"/>
          </w:tcPr>
          <w:p>
            <w:r>
              <w:rPr>
                <w:sz w:val="16"/>
              </w:rPr>
              <w:t>[Niveau]</w:t>
            </w:r>
          </w:p>
        </w:tc>
        <w:tc>
          <w:tcPr>
            <w:tcW w:type="dxa" w:w="2045"/>
            <w:vAlign w:val="center"/>
          </w:tcPr>
          <w:p>
            <w:r>
              <w:rPr>
                <w:sz w:val="16"/>
              </w:rPr>
              <w:t>Prévision glissante, fournisseurs alternatifs, seuil de réapprovisionnement</w:t>
            </w:r>
          </w:p>
        </w:tc>
        <w:tc>
          <w:tcPr>
            <w:tcW w:type="dxa" w:w="2045"/>
            <w:vAlign w:val="center"/>
          </w:tcPr>
          <w:p>
            <w:r>
              <w:rPr>
                <w:sz w:val="16"/>
              </w:rPr>
              <w:t>[Nom]</w:t>
            </w:r>
          </w:p>
        </w:tc>
      </w:tr>
      <w:tr>
        <w:tc>
          <w:tcPr>
            <w:tcW w:type="dxa" w:w="2045"/>
            <w:vAlign w:val="center"/>
          </w:tcPr>
          <w:p>
            <w:r>
              <w:rPr>
                <w:sz w:val="16"/>
              </w:rPr>
              <w:t>Qualité non conforme</w:t>
            </w:r>
          </w:p>
        </w:tc>
        <w:tc>
          <w:tcPr>
            <w:tcW w:type="dxa" w:w="2045"/>
            <w:vAlign w:val="center"/>
          </w:tcPr>
          <w:p>
            <w:r>
              <w:rPr>
                <w:sz w:val="16"/>
              </w:rPr>
              <w:t>[Niveau]</w:t>
            </w:r>
          </w:p>
        </w:tc>
        <w:tc>
          <w:tcPr>
            <w:tcW w:type="dxa" w:w="2045"/>
            <w:vAlign w:val="center"/>
          </w:tcPr>
          <w:p>
            <w:r>
              <w:rPr>
                <w:sz w:val="16"/>
              </w:rPr>
              <w:t>[Niveau]</w:t>
            </w:r>
          </w:p>
        </w:tc>
        <w:tc>
          <w:tcPr>
            <w:tcW w:type="dxa" w:w="2045"/>
            <w:vAlign w:val="center"/>
          </w:tcPr>
          <w:p>
            <w:r>
              <w:rPr>
                <w:sz w:val="16"/>
              </w:rPr>
              <w:t>Spécifications approuvées, échantillons, inspection et procédure de rejet</w:t>
            </w:r>
          </w:p>
        </w:tc>
        <w:tc>
          <w:tcPr>
            <w:tcW w:type="dxa" w:w="2045"/>
            <w:vAlign w:val="center"/>
          </w:tcPr>
          <w:p>
            <w:r>
              <w:rPr>
                <w:sz w:val="16"/>
              </w:rPr>
              <w:t>[Nom]</w:t>
            </w:r>
          </w:p>
        </w:tc>
      </w:tr>
      <w:tr>
        <w:tc>
          <w:tcPr>
            <w:tcW w:type="dxa" w:w="2045"/>
            <w:vAlign w:val="center"/>
          </w:tcPr>
          <w:p>
            <w:r>
              <w:rPr>
                <w:sz w:val="16"/>
              </w:rPr>
              <w:t>Hausse ou volatilité des prix</w:t>
            </w:r>
          </w:p>
        </w:tc>
        <w:tc>
          <w:tcPr>
            <w:tcW w:type="dxa" w:w="2045"/>
            <w:vAlign w:val="center"/>
          </w:tcPr>
          <w:p>
            <w:r>
              <w:rPr>
                <w:sz w:val="16"/>
              </w:rPr>
              <w:t>[Niveau]</w:t>
            </w:r>
          </w:p>
        </w:tc>
        <w:tc>
          <w:tcPr>
            <w:tcW w:type="dxa" w:w="2045"/>
            <w:vAlign w:val="center"/>
          </w:tcPr>
          <w:p>
            <w:r>
              <w:rPr>
                <w:sz w:val="16"/>
              </w:rPr>
              <w:t>[Niveau]</w:t>
            </w:r>
          </w:p>
        </w:tc>
        <w:tc>
          <w:tcPr>
            <w:tcW w:type="dxa" w:w="2045"/>
            <w:vAlign w:val="center"/>
          </w:tcPr>
          <w:p>
            <w:r>
              <w:rPr>
                <w:sz w:val="16"/>
              </w:rPr>
              <w:t>Veille marché, durée de validité des offres, analyse du coût total</w:t>
            </w:r>
          </w:p>
        </w:tc>
        <w:tc>
          <w:tcPr>
            <w:tcW w:type="dxa" w:w="2045"/>
            <w:vAlign w:val="center"/>
          </w:tcPr>
          <w:p>
            <w:r>
              <w:rPr>
                <w:sz w:val="16"/>
              </w:rPr>
              <w:t>[Nom]</w:t>
            </w:r>
          </w:p>
        </w:tc>
      </w:tr>
      <w:tr>
        <w:tc>
          <w:tcPr>
            <w:tcW w:type="dxa" w:w="2045"/>
            <w:vAlign w:val="center"/>
          </w:tcPr>
          <w:p>
            <w:r>
              <w:rPr>
                <w:sz w:val="16"/>
              </w:rPr>
              <w:t>Retard de livraison</w:t>
            </w:r>
          </w:p>
        </w:tc>
        <w:tc>
          <w:tcPr>
            <w:tcW w:type="dxa" w:w="2045"/>
            <w:vAlign w:val="center"/>
          </w:tcPr>
          <w:p>
            <w:r>
              <w:rPr>
                <w:sz w:val="16"/>
              </w:rPr>
              <w:t>[Niveau]</w:t>
            </w:r>
          </w:p>
        </w:tc>
        <w:tc>
          <w:tcPr>
            <w:tcW w:type="dxa" w:w="2045"/>
            <w:vAlign w:val="center"/>
          </w:tcPr>
          <w:p>
            <w:r>
              <w:rPr>
                <w:sz w:val="16"/>
              </w:rPr>
              <w:t>[Niveau]</w:t>
            </w:r>
          </w:p>
        </w:tc>
        <w:tc>
          <w:tcPr>
            <w:tcW w:type="dxa" w:w="2045"/>
            <w:vAlign w:val="center"/>
          </w:tcPr>
          <w:p>
            <w:r>
              <w:rPr>
                <w:sz w:val="16"/>
              </w:rPr>
              <w:t>Délais contractuels, suivi, pénalités si autorisées, plan de contingence</w:t>
            </w:r>
          </w:p>
        </w:tc>
        <w:tc>
          <w:tcPr>
            <w:tcW w:type="dxa" w:w="2045"/>
            <w:vAlign w:val="center"/>
          </w:tcPr>
          <w:p>
            <w:r>
              <w:rPr>
                <w:sz w:val="16"/>
              </w:rPr>
              <w:t>[Nom]</w:t>
            </w:r>
          </w:p>
        </w:tc>
      </w:tr>
      <w:tr>
        <w:tc>
          <w:tcPr>
            <w:tcW w:type="dxa" w:w="2045"/>
            <w:vAlign w:val="center"/>
          </w:tcPr>
          <w:p>
            <w:r>
              <w:rPr>
                <w:sz w:val="16"/>
              </w:rPr>
              <w:t>Risque de fraude / conflit d’intérêts</w:t>
            </w:r>
          </w:p>
        </w:tc>
        <w:tc>
          <w:tcPr>
            <w:tcW w:type="dxa" w:w="2045"/>
            <w:vAlign w:val="center"/>
          </w:tcPr>
          <w:p>
            <w:r>
              <w:rPr>
                <w:sz w:val="16"/>
              </w:rPr>
              <w:t>[Niveau]</w:t>
            </w:r>
          </w:p>
        </w:tc>
        <w:tc>
          <w:tcPr>
            <w:tcW w:type="dxa" w:w="2045"/>
            <w:vAlign w:val="center"/>
          </w:tcPr>
          <w:p>
            <w:r>
              <w:rPr>
                <w:sz w:val="16"/>
              </w:rPr>
              <w:t>[Niveau]</w:t>
            </w:r>
          </w:p>
        </w:tc>
        <w:tc>
          <w:tcPr>
            <w:tcW w:type="dxa" w:w="2045"/>
            <w:vAlign w:val="center"/>
          </w:tcPr>
          <w:p>
            <w:r>
              <w:rPr>
                <w:sz w:val="16"/>
              </w:rPr>
              <w:t>Séparation des tâches, déclaration, traçabilité et contrôles requis</w:t>
            </w:r>
          </w:p>
        </w:tc>
        <w:tc>
          <w:tcPr>
            <w:tcW w:type="dxa" w:w="2045"/>
            <w:vAlign w:val="center"/>
          </w:tcPr>
          <w:p>
            <w:r>
              <w:rPr>
                <w:sz w:val="16"/>
              </w:rPr>
              <w:t>[Nom]</w:t>
            </w:r>
          </w:p>
        </w:tc>
      </w:tr>
      <w:tr>
        <w:tc>
          <w:tcPr>
            <w:tcW w:type="dxa" w:w="2045"/>
            <w:vAlign w:val="center"/>
          </w:tcPr>
          <w:p>
            <w:r>
              <w:rPr>
                <w:sz w:val="16"/>
              </w:rPr>
              <w:t>Retards de paiement ou blocages administratifs</w:t>
            </w:r>
          </w:p>
        </w:tc>
        <w:tc>
          <w:tcPr>
            <w:tcW w:type="dxa" w:w="2045"/>
            <w:vAlign w:val="center"/>
          </w:tcPr>
          <w:p>
            <w:r>
              <w:rPr>
                <w:sz w:val="16"/>
              </w:rPr>
              <w:t>[Niveau]</w:t>
            </w:r>
          </w:p>
        </w:tc>
        <w:tc>
          <w:tcPr>
            <w:tcW w:type="dxa" w:w="2045"/>
            <w:vAlign w:val="center"/>
          </w:tcPr>
          <w:p>
            <w:r>
              <w:rPr>
                <w:sz w:val="16"/>
              </w:rPr>
              <w:t>[Niveau]</w:t>
            </w:r>
          </w:p>
        </w:tc>
        <w:tc>
          <w:tcPr>
            <w:tcW w:type="dxa" w:w="2045"/>
            <w:vAlign w:val="center"/>
          </w:tcPr>
          <w:p>
            <w:r>
              <w:rPr>
                <w:sz w:val="16"/>
              </w:rPr>
              <w:t>Planification budgétaire, dossier fournisseur complet, coordination Finance</w:t>
            </w:r>
          </w:p>
        </w:tc>
        <w:tc>
          <w:tcPr>
            <w:tcW w:type="dxa" w:w="2045"/>
            <w:vAlign w:val="center"/>
          </w:tcPr>
          <w:p>
            <w:r>
              <w:rPr>
                <w:sz w:val="16"/>
              </w:rPr>
              <w:t>[Nom]</w:t>
            </w:r>
          </w:p>
        </w:tc>
      </w:tr>
    </w:tbl>
    <w:p/>
    <w:p>
      <w:pPr>
        <w:pStyle w:val="Heading1"/>
      </w:pPr>
      <w:r>
        <w:t>8. Plan de mise en œuvre</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shd w:fill="1F4E79"/>
          </w:tcPr>
          <w:p>
            <w:r>
              <w:rPr>
                <w:b/>
                <w:color w:val="FFFFFF"/>
                <w:sz w:val="16"/>
              </w:rPr>
              <w:t>Action</w:t>
            </w:r>
          </w:p>
        </w:tc>
        <w:tc>
          <w:tcPr>
            <w:tcW w:type="dxa" w:w="2045"/>
            <w:vAlign w:val="center"/>
            <w:shd w:fill="1F4E79"/>
          </w:tcPr>
          <w:p>
            <w:r>
              <w:rPr>
                <w:b/>
                <w:color w:val="FFFFFF"/>
                <w:sz w:val="16"/>
              </w:rPr>
              <w:t>Responsable</w:t>
            </w:r>
          </w:p>
        </w:tc>
        <w:tc>
          <w:tcPr>
            <w:tcW w:type="dxa" w:w="2045"/>
            <w:vAlign w:val="center"/>
            <w:shd w:fill="1F4E79"/>
          </w:tcPr>
          <w:p>
            <w:r>
              <w:rPr>
                <w:b/>
                <w:color w:val="FFFFFF"/>
                <w:sz w:val="16"/>
              </w:rPr>
              <w:t>Échéance</w:t>
            </w:r>
          </w:p>
        </w:tc>
        <w:tc>
          <w:tcPr>
            <w:tcW w:type="dxa" w:w="2045"/>
            <w:vAlign w:val="center"/>
            <w:shd w:fill="1F4E79"/>
          </w:tcPr>
          <w:p>
            <w:r>
              <w:rPr>
                <w:b/>
                <w:color w:val="FFFFFF"/>
                <w:sz w:val="16"/>
              </w:rPr>
              <w:t>Statut</w:t>
            </w:r>
          </w:p>
        </w:tc>
        <w:tc>
          <w:tcPr>
            <w:tcW w:type="dxa" w:w="2045"/>
            <w:vAlign w:val="center"/>
            <w:shd w:fill="1F4E79"/>
          </w:tcPr>
          <w:p>
            <w:r>
              <w:rPr>
                <w:b/>
                <w:color w:val="FFFFFF"/>
                <w:sz w:val="16"/>
              </w:rPr>
              <w:t>Preuve / livrable</w:t>
            </w:r>
          </w:p>
        </w:tc>
      </w:tr>
      <w:tr>
        <w:tc>
          <w:tcPr>
            <w:tcW w:type="dxa" w:w="2045"/>
            <w:vAlign w:val="center"/>
          </w:tcPr>
          <w:p>
            <w:r>
              <w:rPr>
                <w:sz w:val="16"/>
              </w:rPr>
              <w:t>Valider les besoins et spécifications</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Spécifications approuvées</w:t>
            </w:r>
          </w:p>
        </w:tc>
      </w:tr>
      <w:tr>
        <w:tc>
          <w:tcPr>
            <w:tcW w:type="dxa" w:w="2045"/>
            <w:vAlign w:val="center"/>
          </w:tcPr>
          <w:p>
            <w:r>
              <w:rPr>
                <w:sz w:val="16"/>
              </w:rPr>
              <w:t>Analyser dépenses et prévisions</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Analyse de dépenses</w:t>
            </w:r>
          </w:p>
        </w:tc>
      </w:tr>
      <w:tr>
        <w:tc>
          <w:tcPr>
            <w:tcW w:type="dxa" w:w="2045"/>
            <w:vAlign w:val="center"/>
          </w:tcPr>
          <w:p>
            <w:r>
              <w:rPr>
                <w:sz w:val="16"/>
              </w:rPr>
              <w:t>Réaliser l’analyse de marché</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Rapport / grille de sourcing</w:t>
            </w:r>
          </w:p>
        </w:tc>
      </w:tr>
      <w:tr>
        <w:tc>
          <w:tcPr>
            <w:tcW w:type="dxa" w:w="2045"/>
            <w:vAlign w:val="center"/>
          </w:tcPr>
          <w:p>
            <w:r>
              <w:rPr>
                <w:sz w:val="16"/>
              </w:rPr>
              <w:t>Lancer la procédure de mise en concurrence</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Dossier de consultation</w:t>
            </w:r>
          </w:p>
        </w:tc>
      </w:tr>
      <w:tr>
        <w:tc>
          <w:tcPr>
            <w:tcW w:type="dxa" w:w="2045"/>
            <w:vAlign w:val="center"/>
          </w:tcPr>
          <w:p>
            <w:r>
              <w:rPr>
                <w:sz w:val="16"/>
              </w:rPr>
              <w:t>Évaluer et approuver les fournisseurs</w:t>
            </w:r>
          </w:p>
        </w:tc>
        <w:tc>
          <w:tcPr>
            <w:tcW w:type="dxa" w:w="2045"/>
            <w:vAlign w:val="center"/>
          </w:tcPr>
          <w:p>
            <w:r>
              <w:rPr>
                <w:sz w:val="16"/>
              </w:rPr>
              <w:t>[Comité / 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Grille d’évaluation et approbations</w:t>
            </w:r>
          </w:p>
        </w:tc>
      </w:tr>
      <w:tr>
        <w:tc>
          <w:tcPr>
            <w:tcW w:type="dxa" w:w="2045"/>
            <w:vAlign w:val="center"/>
          </w:tcPr>
          <w:p>
            <w:r>
              <w:rPr>
                <w:sz w:val="16"/>
              </w:rPr>
              <w:t>Négocier / contractualiser si applicable</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Contrat-cadre / accord approuvé</w:t>
            </w:r>
          </w:p>
        </w:tc>
      </w:tr>
      <w:tr>
        <w:tc>
          <w:tcPr>
            <w:tcW w:type="dxa" w:w="2045"/>
            <w:vAlign w:val="center"/>
          </w:tcPr>
          <w:p>
            <w:r>
              <w:rPr>
                <w:sz w:val="16"/>
              </w:rPr>
              <w:t>Mettre en place le suivi de performance</w:t>
            </w:r>
          </w:p>
        </w:tc>
        <w:tc>
          <w:tcPr>
            <w:tcW w:type="dxa" w:w="2045"/>
            <w:vAlign w:val="center"/>
          </w:tcPr>
          <w:p>
            <w:r>
              <w:rPr>
                <w:sz w:val="16"/>
              </w:rPr>
              <w:t>[Nom/service]</w:t>
            </w:r>
          </w:p>
        </w:tc>
        <w:tc>
          <w:tcPr>
            <w:tcW w:type="dxa" w:w="2045"/>
            <w:vAlign w:val="center"/>
          </w:tcPr>
          <w:p>
            <w:r>
              <w:rPr>
                <w:sz w:val="16"/>
              </w:rPr>
              <w:t>[Date]</w:t>
            </w:r>
          </w:p>
        </w:tc>
        <w:tc>
          <w:tcPr>
            <w:tcW w:type="dxa" w:w="2045"/>
            <w:vAlign w:val="center"/>
          </w:tcPr>
          <w:p>
            <w:r>
              <w:rPr>
                <w:sz w:val="16"/>
              </w:rPr>
              <w:t>À démarrer</w:t>
            </w:r>
          </w:p>
        </w:tc>
        <w:tc>
          <w:tcPr>
            <w:tcW w:type="dxa" w:w="2045"/>
            <w:vAlign w:val="center"/>
          </w:tcPr>
          <w:p>
            <w:r>
              <w:rPr>
                <w:sz w:val="16"/>
              </w:rPr>
              <w:t>Tableau de bord KPI</w:t>
            </w:r>
          </w:p>
        </w:tc>
      </w:tr>
    </w:tbl>
    <w:p/>
    <w:p>
      <w:pPr>
        <w:pStyle w:val="Heading1"/>
      </w:pPr>
      <w:r>
        <w:t>9. Indicateurs de performance (KPIs)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shd w:fill="1F4E79"/>
          </w:tcPr>
          <w:p>
            <w:r>
              <w:rPr>
                <w:b/>
                <w:color w:val="FFFFFF"/>
                <w:sz w:val="16"/>
              </w:rPr>
              <w:t>Indicateur</w:t>
            </w:r>
          </w:p>
        </w:tc>
        <w:tc>
          <w:tcPr>
            <w:tcW w:type="dxa" w:w="2045"/>
            <w:vAlign w:val="center"/>
            <w:shd w:fill="1F4E79"/>
          </w:tcPr>
          <w:p>
            <w:r>
              <w:rPr>
                <w:b/>
                <w:color w:val="FFFFFF"/>
                <w:sz w:val="16"/>
              </w:rPr>
              <w:t>Définition / mode de calcul</w:t>
            </w:r>
          </w:p>
        </w:tc>
        <w:tc>
          <w:tcPr>
            <w:tcW w:type="dxa" w:w="2045"/>
            <w:vAlign w:val="center"/>
            <w:shd w:fill="1F4E79"/>
          </w:tcPr>
          <w:p>
            <w:r>
              <w:rPr>
                <w:b/>
                <w:color w:val="FFFFFF"/>
                <w:sz w:val="16"/>
              </w:rPr>
              <w:t>Fréquence</w:t>
            </w:r>
          </w:p>
        </w:tc>
        <w:tc>
          <w:tcPr>
            <w:tcW w:type="dxa" w:w="2045"/>
            <w:vAlign w:val="center"/>
            <w:shd w:fill="1F4E79"/>
          </w:tcPr>
          <w:p>
            <w:r>
              <w:rPr>
                <w:b/>
                <w:color w:val="FFFFFF"/>
                <w:sz w:val="16"/>
              </w:rPr>
              <w:t>Cible</w:t>
            </w:r>
          </w:p>
        </w:tc>
        <w:tc>
          <w:tcPr>
            <w:tcW w:type="dxa" w:w="2045"/>
            <w:vAlign w:val="center"/>
            <w:shd w:fill="1F4E79"/>
          </w:tcPr>
          <w:p>
            <w:r>
              <w:rPr>
                <w:b/>
                <w:color w:val="FFFFFF"/>
                <w:sz w:val="16"/>
              </w:rPr>
              <w:t>Source de données</w:t>
            </w:r>
          </w:p>
        </w:tc>
      </w:tr>
      <w:tr>
        <w:tc>
          <w:tcPr>
            <w:tcW w:type="dxa" w:w="2045"/>
            <w:vAlign w:val="center"/>
          </w:tcPr>
          <w:p>
            <w:r>
              <w:rPr>
                <w:sz w:val="16"/>
              </w:rPr>
              <w:t>Écart de prix unitaire</w:t>
            </w:r>
          </w:p>
        </w:tc>
        <w:tc>
          <w:tcPr>
            <w:tcW w:type="dxa" w:w="2045"/>
            <w:vAlign w:val="center"/>
          </w:tcPr>
          <w:p>
            <w:r>
              <w:rPr>
                <w:sz w:val="16"/>
              </w:rPr>
              <w:t>(Prix de référence – prix obtenu) / prix de référence</w:t>
            </w:r>
          </w:p>
        </w:tc>
        <w:tc>
          <w:tcPr>
            <w:tcW w:type="dxa" w:w="2045"/>
            <w:vAlign w:val="center"/>
          </w:tcPr>
          <w:p>
            <w:r>
              <w:rPr>
                <w:sz w:val="16"/>
              </w:rPr>
              <w:t>Par achat / trimestriel</w:t>
            </w:r>
          </w:p>
        </w:tc>
        <w:tc>
          <w:tcPr>
            <w:tcW w:type="dxa" w:w="2045"/>
            <w:vAlign w:val="center"/>
          </w:tcPr>
          <w:p>
            <w:r>
              <w:rPr>
                <w:sz w:val="16"/>
              </w:rPr>
              <w:t>[À fixer]</w:t>
            </w:r>
          </w:p>
        </w:tc>
        <w:tc>
          <w:tcPr>
            <w:tcW w:type="dxa" w:w="2045"/>
            <w:vAlign w:val="center"/>
          </w:tcPr>
          <w:p>
            <w:r>
              <w:rPr>
                <w:sz w:val="16"/>
              </w:rPr>
              <w:t>Historique achats / offres</w:t>
            </w:r>
          </w:p>
        </w:tc>
      </w:tr>
      <w:tr>
        <w:tc>
          <w:tcPr>
            <w:tcW w:type="dxa" w:w="2045"/>
            <w:vAlign w:val="center"/>
          </w:tcPr>
          <w:p>
            <w:r>
              <w:rPr>
                <w:sz w:val="16"/>
              </w:rPr>
              <w:t>Taux de livraison à temps</w:t>
            </w:r>
          </w:p>
        </w:tc>
        <w:tc>
          <w:tcPr>
            <w:tcW w:type="dxa" w:w="2045"/>
            <w:vAlign w:val="center"/>
          </w:tcPr>
          <w:p>
            <w:r>
              <w:rPr>
                <w:sz w:val="16"/>
              </w:rPr>
              <w:t>Commandes livrées à la date convenue / commandes livrées × 100</w:t>
            </w:r>
          </w:p>
        </w:tc>
        <w:tc>
          <w:tcPr>
            <w:tcW w:type="dxa" w:w="2045"/>
            <w:vAlign w:val="center"/>
          </w:tcPr>
          <w:p>
            <w:r>
              <w:rPr>
                <w:sz w:val="16"/>
              </w:rPr>
              <w:t>Mensuel</w:t>
            </w:r>
          </w:p>
        </w:tc>
        <w:tc>
          <w:tcPr>
            <w:tcW w:type="dxa" w:w="2045"/>
            <w:vAlign w:val="center"/>
          </w:tcPr>
          <w:p>
            <w:r>
              <w:rPr>
                <w:sz w:val="16"/>
              </w:rPr>
              <w:t>[À fixer]</w:t>
            </w:r>
          </w:p>
        </w:tc>
        <w:tc>
          <w:tcPr>
            <w:tcW w:type="dxa" w:w="2045"/>
            <w:vAlign w:val="center"/>
          </w:tcPr>
          <w:p>
            <w:r>
              <w:rPr>
                <w:sz w:val="16"/>
              </w:rPr>
              <w:t>Bons de commande / réception</w:t>
            </w:r>
          </w:p>
        </w:tc>
      </w:tr>
      <w:tr>
        <w:tc>
          <w:tcPr>
            <w:tcW w:type="dxa" w:w="2045"/>
            <w:vAlign w:val="center"/>
          </w:tcPr>
          <w:p>
            <w:r>
              <w:rPr>
                <w:sz w:val="16"/>
              </w:rPr>
              <w:t>Taux de conformité qualité</w:t>
            </w:r>
          </w:p>
        </w:tc>
        <w:tc>
          <w:tcPr>
            <w:tcW w:type="dxa" w:w="2045"/>
            <w:vAlign w:val="center"/>
          </w:tcPr>
          <w:p>
            <w:r>
              <w:rPr>
                <w:sz w:val="16"/>
              </w:rPr>
              <w:t>Quantités acceptées / quantités reçues × 100</w:t>
            </w:r>
          </w:p>
        </w:tc>
        <w:tc>
          <w:tcPr>
            <w:tcW w:type="dxa" w:w="2045"/>
            <w:vAlign w:val="center"/>
          </w:tcPr>
          <w:p>
            <w:r>
              <w:rPr>
                <w:sz w:val="16"/>
              </w:rPr>
              <w:t>À chaque livraison</w:t>
            </w:r>
          </w:p>
        </w:tc>
        <w:tc>
          <w:tcPr>
            <w:tcW w:type="dxa" w:w="2045"/>
            <w:vAlign w:val="center"/>
          </w:tcPr>
          <w:p>
            <w:r>
              <w:rPr>
                <w:sz w:val="16"/>
              </w:rPr>
              <w:t>[À fixer]</w:t>
            </w:r>
          </w:p>
        </w:tc>
        <w:tc>
          <w:tcPr>
            <w:tcW w:type="dxa" w:w="2045"/>
            <w:vAlign w:val="center"/>
          </w:tcPr>
          <w:p>
            <w:r>
              <w:rPr>
                <w:sz w:val="16"/>
              </w:rPr>
              <w:t>PV de réception / inspection</w:t>
            </w:r>
          </w:p>
        </w:tc>
      </w:tr>
      <w:tr>
        <w:tc>
          <w:tcPr>
            <w:tcW w:type="dxa" w:w="2045"/>
            <w:vAlign w:val="center"/>
          </w:tcPr>
          <w:p>
            <w:r>
              <w:rPr>
                <w:sz w:val="16"/>
              </w:rPr>
              <w:t>Délai moyen d’approvisionnement</w:t>
            </w:r>
          </w:p>
        </w:tc>
        <w:tc>
          <w:tcPr>
            <w:tcW w:type="dxa" w:w="2045"/>
            <w:vAlign w:val="center"/>
          </w:tcPr>
          <w:p>
            <w:r>
              <w:rPr>
                <w:sz w:val="16"/>
              </w:rPr>
              <w:t>Jours entre demande approuvée et réception</w:t>
            </w:r>
          </w:p>
        </w:tc>
        <w:tc>
          <w:tcPr>
            <w:tcW w:type="dxa" w:w="2045"/>
            <w:vAlign w:val="center"/>
          </w:tcPr>
          <w:p>
            <w:r>
              <w:rPr>
                <w:sz w:val="16"/>
              </w:rPr>
              <w:t>Mensuel</w:t>
            </w:r>
          </w:p>
        </w:tc>
        <w:tc>
          <w:tcPr>
            <w:tcW w:type="dxa" w:w="2045"/>
            <w:vAlign w:val="center"/>
          </w:tcPr>
          <w:p>
            <w:r>
              <w:rPr>
                <w:sz w:val="16"/>
              </w:rPr>
              <w:t>[À fixer]</w:t>
            </w:r>
          </w:p>
        </w:tc>
        <w:tc>
          <w:tcPr>
            <w:tcW w:type="dxa" w:w="2045"/>
            <w:vAlign w:val="center"/>
          </w:tcPr>
          <w:p>
            <w:r>
              <w:rPr>
                <w:sz w:val="16"/>
              </w:rPr>
              <w:t>Système achats</w:t>
            </w:r>
          </w:p>
        </w:tc>
      </w:tr>
      <w:tr>
        <w:tc>
          <w:tcPr>
            <w:tcW w:type="dxa" w:w="2045"/>
            <w:vAlign w:val="center"/>
          </w:tcPr>
          <w:p>
            <w:r>
              <w:rPr>
                <w:sz w:val="16"/>
              </w:rPr>
              <w:t>Part des achats couverts par accord-cadre</w:t>
            </w:r>
          </w:p>
        </w:tc>
        <w:tc>
          <w:tcPr>
            <w:tcW w:type="dxa" w:w="2045"/>
            <w:vAlign w:val="center"/>
          </w:tcPr>
          <w:p>
            <w:r>
              <w:rPr>
                <w:sz w:val="16"/>
              </w:rPr>
              <w:t>Dépenses éligibles via accords-cadres / dépenses totales de la catégorie × 100</w:t>
            </w:r>
          </w:p>
        </w:tc>
        <w:tc>
          <w:tcPr>
            <w:tcW w:type="dxa" w:w="2045"/>
            <w:vAlign w:val="center"/>
          </w:tcPr>
          <w:p>
            <w:r>
              <w:rPr>
                <w:sz w:val="16"/>
              </w:rPr>
              <w:t>Trimestriel</w:t>
            </w:r>
          </w:p>
        </w:tc>
        <w:tc>
          <w:tcPr>
            <w:tcW w:type="dxa" w:w="2045"/>
            <w:vAlign w:val="center"/>
          </w:tcPr>
          <w:p>
            <w:r>
              <w:rPr>
                <w:sz w:val="16"/>
              </w:rPr>
              <w:t>[À fixer]</w:t>
            </w:r>
          </w:p>
        </w:tc>
        <w:tc>
          <w:tcPr>
            <w:tcW w:type="dxa" w:w="2045"/>
            <w:vAlign w:val="center"/>
          </w:tcPr>
          <w:p>
            <w:r>
              <w:rPr>
                <w:sz w:val="16"/>
              </w:rPr>
              <w:t>Commandes / contrats</w:t>
            </w:r>
          </w:p>
        </w:tc>
      </w:tr>
      <w:tr>
        <w:tc>
          <w:tcPr>
            <w:tcW w:type="dxa" w:w="2045"/>
            <w:vAlign w:val="center"/>
          </w:tcPr>
          <w:p>
            <w:r>
              <w:rPr>
                <w:sz w:val="16"/>
              </w:rPr>
              <w:t>Taux de dossiers complets</w:t>
            </w:r>
          </w:p>
        </w:tc>
        <w:tc>
          <w:tcPr>
            <w:tcW w:type="dxa" w:w="2045"/>
            <w:vAlign w:val="center"/>
          </w:tcPr>
          <w:p>
            <w:r>
              <w:rPr>
                <w:sz w:val="16"/>
              </w:rPr>
              <w:t>Dossiers conformes / dossiers contrôlés × 100</w:t>
            </w:r>
          </w:p>
        </w:tc>
        <w:tc>
          <w:tcPr>
            <w:tcW w:type="dxa" w:w="2045"/>
            <w:vAlign w:val="center"/>
          </w:tcPr>
          <w:p>
            <w:r>
              <w:rPr>
                <w:sz w:val="16"/>
              </w:rPr>
              <w:t>Trimestriel</w:t>
            </w:r>
          </w:p>
        </w:tc>
        <w:tc>
          <w:tcPr>
            <w:tcW w:type="dxa" w:w="2045"/>
            <w:vAlign w:val="center"/>
          </w:tcPr>
          <w:p>
            <w:r>
              <w:rPr>
                <w:sz w:val="16"/>
              </w:rPr>
              <w:t>[À fixer]</w:t>
            </w:r>
          </w:p>
        </w:tc>
        <w:tc>
          <w:tcPr>
            <w:tcW w:type="dxa" w:w="2045"/>
            <w:vAlign w:val="center"/>
          </w:tcPr>
          <w:p>
            <w:r>
              <w:rPr>
                <w:sz w:val="16"/>
              </w:rPr>
              <w:t>Contrôle procurement / audit</w:t>
            </w:r>
          </w:p>
        </w:tc>
      </w:tr>
    </w:tbl>
    <w:p/>
    <w:p>
      <w:pPr>
        <w:pStyle w:val="Heading1"/>
      </w:pPr>
      <w:r>
        <w:t>10. Gouvernance, validation et révision</w:t>
      </w:r>
    </w:p>
    <w:p>
      <w:r>
        <w:t>La stratégie est revue au minimum une fois par an, ou plus tôt en cas de changement majeur du contexte, de l’offre de marché, des exigences bailleurs ou des besoins opérationnels. Les dérogations, urgences et décisions de sélection doivent être justifiées et documentées selon les procédures applicables.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shd w:fill="1F4E79"/>
          </w:tcPr>
          <w:p>
            <w:r>
              <w:rPr>
                <w:b/>
                <w:color w:val="FFFFFF"/>
                <w:sz w:val="16"/>
              </w:rPr>
              <w:t>Préparé par</w:t>
            </w:r>
          </w:p>
        </w:tc>
        <w:tc>
          <w:tcPr>
            <w:tcW w:type="dxa" w:w="2556"/>
            <w:vAlign w:val="center"/>
            <w:shd w:fill="1F4E79"/>
          </w:tcPr>
          <w:p>
            <w:r>
              <w:rPr>
                <w:b/>
                <w:color w:val="FFFFFF"/>
                <w:sz w:val="16"/>
              </w:rPr>
              <w:t>Revu par</w:t>
            </w:r>
          </w:p>
        </w:tc>
        <w:tc>
          <w:tcPr>
            <w:tcW w:type="dxa" w:w="2556"/>
            <w:vAlign w:val="center"/>
            <w:shd w:fill="1F4E79"/>
          </w:tcPr>
          <w:p>
            <w:r>
              <w:rPr>
                <w:b/>
                <w:color w:val="FFFFFF"/>
                <w:sz w:val="16"/>
              </w:rPr>
              <w:t>Approuvé par</w:t>
            </w:r>
          </w:p>
        </w:tc>
        <w:tc>
          <w:tcPr>
            <w:tcW w:type="dxa" w:w="2556"/>
            <w:vAlign w:val="center"/>
            <w:shd w:fill="1F4E79"/>
          </w:tcPr>
          <w:p>
            <w:r>
              <w:rPr>
                <w:b/>
                <w:color w:val="FFFFFF"/>
                <w:sz w:val="16"/>
              </w:rPr>
              <w:t>Date / signature</w:t>
            </w:r>
          </w:p>
        </w:tc>
      </w:tr>
      <w:tr>
        <w:tc>
          <w:tcPr>
            <w:tcW w:type="dxa" w:w="2556"/>
            <w:vAlign w:val="center"/>
          </w:tcPr>
          <w:p>
            <w:r>
              <w:rPr>
                <w:sz w:val="16"/>
              </w:rPr>
              <w:t>[Nom / fonction]</w:t>
            </w:r>
          </w:p>
        </w:tc>
        <w:tc>
          <w:tcPr>
            <w:tcW w:type="dxa" w:w="2556"/>
            <w:vAlign w:val="center"/>
          </w:tcPr>
          <w:p>
            <w:r>
              <w:rPr>
                <w:sz w:val="16"/>
              </w:rPr>
              <w:t>[Nom / fonction]</w:t>
            </w:r>
          </w:p>
        </w:tc>
        <w:tc>
          <w:tcPr>
            <w:tcW w:type="dxa" w:w="2556"/>
            <w:vAlign w:val="center"/>
          </w:tcPr>
          <w:p>
            <w:r>
              <w:rPr>
                <w:sz w:val="16"/>
              </w:rPr>
              <w:t>[Nom / fonction habilitée]</w:t>
            </w:r>
          </w:p>
        </w:tc>
        <w:tc>
          <w:tcPr>
            <w:tcW w:type="dxa" w:w="2556"/>
            <w:vAlign w:val="center"/>
          </w:tcPr>
          <w:p>
            <w:r>
              <w:rPr>
                <w:sz w:val="16"/>
              </w:rPr>
              <w:t>[Date]</w:t>
            </w:r>
          </w:p>
        </w:tc>
      </w:tr>
    </w:tbl>
    <w:p/>
    <w:p>
      <w:pPr>
        <w:pStyle w:val="Heading1"/>
      </w:pPr>
      <w:r>
        <w:t>Annexe – Points de contrôle avant lancement</w:t>
      </w:r>
    </w:p>
    <w:p>
      <w:r>
        <w:t>☐ Les besoins sont consolidés et approuvés par les équipes utilisatrices.</w:t>
      </w:r>
    </w:p>
    <w:p>
      <w:r>
        <w:t>☐ Les spécifications sont neutres, mesurables et validées techniquement.</w:t>
      </w:r>
    </w:p>
    <w:p>
      <w:r>
        <w:t>☐ Le budget et la source de financement sont confirmés.</w:t>
      </w:r>
    </w:p>
    <w:p>
      <w:r>
        <w:t>☐ Les règles internes et les exigences du bailleur ont été vérifiées.</w:t>
      </w:r>
    </w:p>
    <w:p>
      <w:r>
        <w:t>☐ La méthode d’achat est justifiée au regard des seuils et du contexte.</w:t>
      </w:r>
    </w:p>
    <w:p>
      <w:r>
        <w:t>☐ Les critères d’évaluation sont définis avant réception des offres.</w:t>
      </w:r>
    </w:p>
    <w:p>
      <w:r>
        <w:t>☐ Les risques de marché, de qualité, de délai et de conformité sont documentés.</w:t>
      </w:r>
    </w:p>
    <w:p>
      <w:r>
        <w:t>☐ Les responsabilités de réception, inspection et validation des factures sont établies.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E74B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