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6E" w:rsidRPr="0009036E" w:rsidRDefault="0009036E" w:rsidP="0009036E">
      <w:pPr>
        <w:shd w:val="clear" w:color="auto" w:fill="FFFFFF"/>
        <w:spacing w:after="0" w:line="240" w:lineRule="auto"/>
        <w:rPr>
          <w:rFonts w:ascii="Arial" w:eastAsia="Times New Roman" w:hAnsi="Arial" w:cs="Times New Roman"/>
          <w:sz w:val="30"/>
          <w:szCs w:val="30"/>
        </w:rPr>
      </w:pPr>
      <w:proofErr w:type="spellStart"/>
      <w:r w:rsidRPr="0009036E">
        <w:rPr>
          <w:rFonts w:ascii="Helvetica" w:eastAsia="Times New Roman" w:hAnsi="Helvetica" w:cs="Helvetica"/>
          <w:b/>
          <w:spacing w:val="2"/>
          <w:sz w:val="30"/>
          <w:szCs w:val="30"/>
        </w:rPr>
        <w:t>Guwar</w:t>
      </w:r>
      <w:proofErr w:type="spellEnd"/>
      <w:r w:rsidRPr="0009036E">
        <w:rPr>
          <w:rFonts w:ascii="Helvetica" w:eastAsia="Times New Roman" w:hAnsi="Helvetica" w:cs="Helvetica"/>
          <w:b/>
          <w:spacing w:val="2"/>
          <w:sz w:val="30"/>
          <w:szCs w:val="30"/>
        </w:rPr>
        <w:t>, the language of Moreton Island</w:t>
      </w:r>
      <w:r w:rsidRPr="0009036E">
        <w:rPr>
          <w:rFonts w:ascii="Helvetica" w:eastAsia="Times New Roman" w:hAnsi="Helvetica" w:cs="Helvetica"/>
          <w:spacing w:val="2"/>
          <w:sz w:val="30"/>
          <w:szCs w:val="30"/>
        </w:rPr>
        <w:t xml:space="preserve">, and its relationship to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and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subgroups: a case for phylogenetic migratory expansion?</w:t>
      </w:r>
    </w:p>
    <w:p w:rsidR="0009036E" w:rsidRPr="0009036E" w:rsidRDefault="0009036E" w:rsidP="0009036E">
      <w:pPr>
        <w:shd w:val="clear" w:color="auto" w:fill="FFFFFF"/>
        <w:spacing w:after="0" w:line="240" w:lineRule="auto"/>
        <w:rPr>
          <w:rFonts w:ascii="Helvetica" w:eastAsia="Times New Roman" w:hAnsi="Helvetica" w:cs="Helvetica"/>
          <w:spacing w:val="2"/>
          <w:sz w:val="30"/>
          <w:szCs w:val="30"/>
        </w:rPr>
      </w:pPr>
    </w:p>
    <w:p w:rsidR="0009036E" w:rsidRPr="0009036E" w:rsidRDefault="0009036E" w:rsidP="0009036E">
      <w:pPr>
        <w:shd w:val="clear" w:color="auto" w:fill="FFFFFF"/>
        <w:spacing w:after="0" w:line="240" w:lineRule="auto"/>
        <w:rPr>
          <w:rFonts w:ascii="Arial" w:eastAsia="Times New Roman" w:hAnsi="Arial" w:cs="Times New Roman"/>
          <w:b/>
          <w:i/>
          <w:sz w:val="30"/>
          <w:szCs w:val="30"/>
        </w:rPr>
      </w:pPr>
      <w:r w:rsidRPr="0009036E">
        <w:rPr>
          <w:rFonts w:ascii="Helvetica" w:eastAsia="Times New Roman" w:hAnsi="Helvetica" w:cs="Helvetica"/>
          <w:b/>
          <w:i/>
          <w:spacing w:val="2"/>
          <w:sz w:val="30"/>
          <w:szCs w:val="30"/>
        </w:rPr>
        <w:t>Abstract</w:t>
      </w:r>
    </w:p>
    <w:p w:rsidR="0009036E" w:rsidRPr="0009036E" w:rsidRDefault="0009036E" w:rsidP="0009036E">
      <w:pPr>
        <w:shd w:val="clear" w:color="auto" w:fill="FFFFFF"/>
        <w:spacing w:after="0" w:line="240" w:lineRule="auto"/>
        <w:rPr>
          <w:rFonts w:ascii="Helvetica" w:eastAsia="Times New Roman" w:hAnsi="Helvetica" w:cs="Helvetica"/>
          <w:spacing w:val="2"/>
          <w:sz w:val="30"/>
          <w:szCs w:val="30"/>
        </w:rPr>
      </w:pPr>
      <w:r w:rsidRPr="0009036E">
        <w:rPr>
          <w:rFonts w:ascii="Helvetica" w:eastAsia="Times New Roman" w:hAnsi="Helvetica" w:cs="Helvetica"/>
          <w:spacing w:val="2"/>
          <w:sz w:val="30"/>
          <w:szCs w:val="30"/>
        </w:rPr>
        <w:t>This thesis presents an anthropological explanation for the distribution of Aboriginal languages in sub-tropical eastern Australia. This is achieved through positing a phylogenetic migratory expansion hypothesis. The hypothesis maintains that Aboriginal languages reached the extent of their distribution by the migration of ethnicities, speakers of the same language, and that this co-extensive with the expansion of languages and was the primary dynamic of Aboriginal societies in the classical era.</w:t>
      </w:r>
    </w:p>
    <w:p w:rsidR="0009036E" w:rsidRPr="0009036E" w:rsidRDefault="0009036E" w:rsidP="0009036E">
      <w:pPr>
        <w:shd w:val="clear" w:color="auto" w:fill="FFFFFF"/>
        <w:spacing w:after="0" w:line="240" w:lineRule="auto"/>
        <w:rPr>
          <w:rFonts w:ascii="Helvetica" w:eastAsia="Times New Roman" w:hAnsi="Helvetica" w:cs="Helvetica"/>
          <w:spacing w:val="2"/>
          <w:sz w:val="30"/>
          <w:szCs w:val="30"/>
        </w:rPr>
      </w:pP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 xml:space="preserve">, a detached language of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sub-group confined to Moreton Island off the coast of southern Queensland, is employed as a test case to examine the feasibility of the hypothesis. Consistent with the location of </w:t>
      </w: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 xml:space="preserve"> on Moreton Island and the phylogenetic migratory expansion hypothesis it is maintained that </w:t>
      </w:r>
      <w:proofErr w:type="spellStart"/>
      <w:r w:rsidRPr="0009036E">
        <w:rPr>
          <w:rFonts w:ascii="Helvetica" w:eastAsia="Times New Roman" w:hAnsi="Helvetica" w:cs="Helvetica"/>
          <w:spacing w:val="2"/>
          <w:sz w:val="30"/>
          <w:szCs w:val="30"/>
        </w:rPr>
        <w:t>Bandjalang’s</w:t>
      </w:r>
      <w:proofErr w:type="spellEnd"/>
      <w:r w:rsidRPr="0009036E">
        <w:rPr>
          <w:rFonts w:ascii="Helvetica" w:eastAsia="Times New Roman" w:hAnsi="Helvetica" w:cs="Helvetica"/>
          <w:spacing w:val="2"/>
          <w:sz w:val="30"/>
          <w:szCs w:val="30"/>
        </w:rPr>
        <w:t xml:space="preserve"> distribution once exceeded the limits found at the inception of European settlement. </w:t>
      </w:r>
      <w:proofErr w:type="spellStart"/>
      <w:r w:rsidRPr="0009036E">
        <w:rPr>
          <w:rFonts w:ascii="Helvetica" w:eastAsia="Times New Roman" w:hAnsi="Helvetica" w:cs="Helvetica"/>
          <w:spacing w:val="2"/>
          <w:sz w:val="30"/>
          <w:szCs w:val="30"/>
        </w:rPr>
        <w:t>Bandjalang’s</w:t>
      </w:r>
      <w:proofErr w:type="spellEnd"/>
      <w:r w:rsidRPr="0009036E">
        <w:rPr>
          <w:rFonts w:ascii="Helvetica" w:eastAsia="Times New Roman" w:hAnsi="Helvetica" w:cs="Helvetica"/>
          <w:spacing w:val="2"/>
          <w:sz w:val="30"/>
          <w:szCs w:val="30"/>
        </w:rPr>
        <w:t xml:space="preserve"> expansion once extended to include the Brisbane River Valley and Moreton Bay. The subsequent migratory expansion of another language-speaking population,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into this area, forced the retreat of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speakers south of the Logan River and onto Moreton Island.</w:t>
      </w:r>
      <w:r w:rsidRPr="0009036E">
        <w:rPr>
          <w:rFonts w:ascii="Helvetica" w:eastAsia="Times New Roman" w:hAnsi="Helvetica" w:cs="Helvetica"/>
          <w:spacing w:val="2"/>
          <w:sz w:val="30"/>
          <w:szCs w:val="30"/>
        </w:rPr>
        <w:br/>
      </w:r>
      <w:r w:rsidRPr="0009036E">
        <w:rPr>
          <w:rFonts w:ascii="Helvetica" w:eastAsia="Times New Roman" w:hAnsi="Helvetica" w:cs="Helvetica"/>
          <w:spacing w:val="2"/>
          <w:sz w:val="30"/>
          <w:szCs w:val="30"/>
        </w:rPr>
        <w:br/>
        <w:t xml:space="preserve">The thesis investigates the hypothesis through the following procedure. The phylogenetic integrity of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is examined. This establishes that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was a language sub-group. Next follows the case for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having attained the limits of its distribution through migratory expansion. The relationship of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dialects, the </w:t>
      </w:r>
      <w:proofErr w:type="spellStart"/>
      <w:r w:rsidRPr="0009036E">
        <w:rPr>
          <w:rFonts w:ascii="Helvetica" w:eastAsia="Times New Roman" w:hAnsi="Helvetica" w:cs="Helvetica"/>
          <w:spacing w:val="2"/>
          <w:sz w:val="30"/>
          <w:szCs w:val="30"/>
        </w:rPr>
        <w:t>subsumption</w:t>
      </w:r>
      <w:proofErr w:type="spellEnd"/>
      <w:r w:rsidRPr="0009036E">
        <w:rPr>
          <w:rFonts w:ascii="Helvetica" w:eastAsia="Times New Roman" w:hAnsi="Helvetica" w:cs="Helvetica"/>
          <w:spacing w:val="2"/>
          <w:sz w:val="30"/>
          <w:szCs w:val="30"/>
        </w:rPr>
        <w:t xml:space="preserve"> of pre-existing populations, and mythological reference demonstrate this probability. The case for </w:t>
      </w:r>
      <w:proofErr w:type="spellStart"/>
      <w:r w:rsidRPr="0009036E">
        <w:rPr>
          <w:rFonts w:ascii="Helvetica" w:eastAsia="Times New Roman" w:hAnsi="Helvetica" w:cs="Helvetica"/>
          <w:spacing w:val="2"/>
          <w:sz w:val="30"/>
          <w:szCs w:val="30"/>
        </w:rPr>
        <w:t>Bandjalang’s</w:t>
      </w:r>
      <w:proofErr w:type="spellEnd"/>
      <w:r w:rsidRPr="0009036E">
        <w:rPr>
          <w:rFonts w:ascii="Helvetica" w:eastAsia="Times New Roman" w:hAnsi="Helvetica" w:cs="Helvetica"/>
          <w:spacing w:val="2"/>
          <w:sz w:val="30"/>
          <w:szCs w:val="30"/>
        </w:rPr>
        <w:t xml:space="preserve"> migratory expansion once having extended into country immediately afterwards occupied by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speakers is explored. Crowley (1978) first called attention to the atypical concentration of diverse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dialects on its northern boundary with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This diversity is consistent with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having followed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speakers into the Brisbane River Valley, in the process dispossessing them. This forced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speakers of the area south of the Logan River. Their accommodation in a more restricted area accounts for the diversity noted by Crowley. Following Bannister (1982) the dialects contiguous to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are called the </w:t>
      </w:r>
      <w:proofErr w:type="spellStart"/>
      <w:r w:rsidRPr="0009036E">
        <w:rPr>
          <w:rFonts w:ascii="Helvetica" w:eastAsia="Times New Roman" w:hAnsi="Helvetica" w:cs="Helvetica"/>
          <w:spacing w:val="2"/>
          <w:sz w:val="30"/>
          <w:szCs w:val="30"/>
        </w:rPr>
        <w:t>Mibiny</w:t>
      </w:r>
      <w:proofErr w:type="spellEnd"/>
      <w:r w:rsidRPr="0009036E">
        <w:rPr>
          <w:rFonts w:ascii="Helvetica" w:eastAsia="Times New Roman" w:hAnsi="Helvetica" w:cs="Helvetica"/>
          <w:spacing w:val="2"/>
          <w:sz w:val="30"/>
          <w:szCs w:val="30"/>
        </w:rPr>
        <w:t xml:space="preserve"> dialects. These represent a discrete dialectal group within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one of their distinctive features being a disproportionate percentage of lexicon in common with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This indicates the historical contact </w:t>
      </w:r>
      <w:proofErr w:type="spellStart"/>
      <w:r w:rsidRPr="0009036E">
        <w:rPr>
          <w:rFonts w:ascii="Helvetica" w:eastAsia="Times New Roman" w:hAnsi="Helvetica" w:cs="Helvetica"/>
          <w:spacing w:val="2"/>
          <w:sz w:val="30"/>
          <w:szCs w:val="30"/>
        </w:rPr>
        <w:t>hypothesised</w:t>
      </w:r>
      <w:proofErr w:type="spellEnd"/>
      <w:r w:rsidRPr="0009036E">
        <w:rPr>
          <w:rFonts w:ascii="Helvetica" w:eastAsia="Times New Roman" w:hAnsi="Helvetica" w:cs="Helvetica"/>
          <w:spacing w:val="2"/>
          <w:sz w:val="30"/>
          <w:szCs w:val="30"/>
        </w:rPr>
        <w:t xml:space="preserve">. </w:t>
      </w: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 xml:space="preserve"> is shown to be a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w:t>
      </w:r>
      <w:r w:rsidRPr="0009036E">
        <w:rPr>
          <w:rFonts w:ascii="Helvetica" w:eastAsia="Times New Roman" w:hAnsi="Helvetica" w:cs="Helvetica"/>
          <w:spacing w:val="2"/>
          <w:sz w:val="30"/>
          <w:szCs w:val="30"/>
        </w:rPr>
        <w:lastRenderedPageBreak/>
        <w:t xml:space="preserve">language. Moreton Island, where it is spoken, is some fifty </w:t>
      </w:r>
      <w:proofErr w:type="spellStart"/>
      <w:r w:rsidRPr="0009036E">
        <w:rPr>
          <w:rFonts w:ascii="Helvetica" w:eastAsia="Times New Roman" w:hAnsi="Helvetica" w:cs="Helvetica"/>
          <w:spacing w:val="2"/>
          <w:sz w:val="30"/>
          <w:szCs w:val="30"/>
        </w:rPr>
        <w:t>kilometres</w:t>
      </w:r>
      <w:proofErr w:type="spellEnd"/>
      <w:r w:rsidRPr="0009036E">
        <w:rPr>
          <w:rFonts w:ascii="Helvetica" w:eastAsia="Times New Roman" w:hAnsi="Helvetica" w:cs="Helvetica"/>
          <w:spacing w:val="2"/>
          <w:sz w:val="30"/>
          <w:szCs w:val="30"/>
        </w:rPr>
        <w:t xml:space="preserve"> from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main and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was spoken in the intervening country. This circumstance is adduced as evidence to indicate that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once occupied all this intervening country, and that the Ngugi, the speakers of </w:t>
      </w: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 xml:space="preserve">, are a remnant of this population that was forced onto Moreton Island as a result of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expansion. Evidence for this assertion is found in the high percentage of borrowed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lexicon and grammar in </w:t>
      </w: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w:t>
      </w:r>
    </w:p>
    <w:p w:rsidR="0009036E" w:rsidRPr="0009036E" w:rsidRDefault="0009036E" w:rsidP="0009036E">
      <w:pPr>
        <w:shd w:val="clear" w:color="auto" w:fill="FFFFFF"/>
        <w:spacing w:after="0" w:line="240" w:lineRule="auto"/>
        <w:rPr>
          <w:rFonts w:ascii="Arial" w:eastAsia="Times New Roman" w:hAnsi="Arial" w:cs="Times New Roman"/>
          <w:sz w:val="30"/>
          <w:szCs w:val="30"/>
        </w:rPr>
      </w:pPr>
      <w:r w:rsidRPr="0009036E">
        <w:rPr>
          <w:rFonts w:ascii="Helvetica" w:eastAsia="Times New Roman" w:hAnsi="Helvetica" w:cs="Helvetica"/>
          <w:spacing w:val="2"/>
          <w:sz w:val="30"/>
          <w:szCs w:val="30"/>
        </w:rPr>
        <w:br/>
      </w:r>
      <w:r w:rsidRPr="0009036E">
        <w:rPr>
          <w:rFonts w:ascii="Helvetica" w:eastAsia="Times New Roman" w:hAnsi="Helvetica" w:cs="Helvetica"/>
          <w:spacing w:val="2"/>
          <w:sz w:val="30"/>
          <w:szCs w:val="30"/>
        </w:rPr>
        <w:br/>
        <w:t xml:space="preserve">The phylogenetic origin of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is examined.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is shown to be related to the East Queensland Border (EQB) language group. These languages are located immediately to the west of the Great Dividing Range. It is </w:t>
      </w:r>
      <w:proofErr w:type="spellStart"/>
      <w:r w:rsidRPr="0009036E">
        <w:rPr>
          <w:rFonts w:ascii="Helvetica" w:eastAsia="Times New Roman" w:hAnsi="Helvetica" w:cs="Helvetica"/>
          <w:spacing w:val="2"/>
          <w:sz w:val="30"/>
          <w:szCs w:val="30"/>
        </w:rPr>
        <w:t>hypothesised</w:t>
      </w:r>
      <w:proofErr w:type="spellEnd"/>
      <w:r w:rsidRPr="0009036E">
        <w:rPr>
          <w:rFonts w:ascii="Helvetica" w:eastAsia="Times New Roman" w:hAnsi="Helvetica" w:cs="Helvetica"/>
          <w:spacing w:val="2"/>
          <w:sz w:val="30"/>
          <w:szCs w:val="30"/>
        </w:rPr>
        <w:t xml:space="preserve">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migrated east across the range into the Brisbane River Valley. Evidence for a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substrate is found in toponymy. Contact between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and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dialects </w:t>
      </w:r>
      <w:proofErr w:type="spellStart"/>
      <w:r w:rsidRPr="0009036E">
        <w:rPr>
          <w:rFonts w:ascii="Helvetica" w:eastAsia="Times New Roman" w:hAnsi="Helvetica" w:cs="Helvetica"/>
          <w:spacing w:val="2"/>
          <w:sz w:val="30"/>
          <w:szCs w:val="30"/>
        </w:rPr>
        <w:t>Mibiny</w:t>
      </w:r>
      <w:proofErr w:type="spellEnd"/>
      <w:r w:rsidRPr="0009036E">
        <w:rPr>
          <w:rFonts w:ascii="Helvetica" w:eastAsia="Times New Roman" w:hAnsi="Helvetica" w:cs="Helvetica"/>
          <w:spacing w:val="2"/>
          <w:sz w:val="30"/>
          <w:szCs w:val="30"/>
        </w:rPr>
        <w:t xml:space="preserve"> and </w:t>
      </w:r>
      <w:proofErr w:type="spellStart"/>
      <w:r w:rsidRPr="0009036E">
        <w:rPr>
          <w:rFonts w:ascii="Helvetica" w:eastAsia="Times New Roman" w:hAnsi="Helvetica" w:cs="Helvetica"/>
          <w:spacing w:val="2"/>
          <w:sz w:val="30"/>
          <w:szCs w:val="30"/>
        </w:rPr>
        <w:t>Guwar</w:t>
      </w:r>
      <w:proofErr w:type="spellEnd"/>
      <w:r w:rsidRPr="0009036E">
        <w:rPr>
          <w:rFonts w:ascii="Helvetica" w:eastAsia="Times New Roman" w:hAnsi="Helvetica" w:cs="Helvetica"/>
          <w:spacing w:val="2"/>
          <w:sz w:val="30"/>
          <w:szCs w:val="30"/>
        </w:rPr>
        <w:t xml:space="preserve"> is indicated by deep and pervasive language borrowing, in mythology and in the adoption by the latter of forms of </w:t>
      </w:r>
      <w:proofErr w:type="spellStart"/>
      <w:r w:rsidRPr="0009036E">
        <w:rPr>
          <w:rFonts w:ascii="Helvetica" w:eastAsia="Times New Roman" w:hAnsi="Helvetica" w:cs="Helvetica"/>
          <w:spacing w:val="2"/>
          <w:sz w:val="30"/>
          <w:szCs w:val="30"/>
        </w:rPr>
        <w:t>Yagara’s</w:t>
      </w:r>
      <w:proofErr w:type="spellEnd"/>
      <w:r w:rsidRPr="0009036E">
        <w:rPr>
          <w:rFonts w:ascii="Helvetica" w:eastAsia="Times New Roman" w:hAnsi="Helvetica" w:cs="Helvetica"/>
          <w:spacing w:val="2"/>
          <w:sz w:val="30"/>
          <w:szCs w:val="30"/>
        </w:rPr>
        <w:t xml:space="preserve"> distinctive kinship system. Various ethnographic commonalities suggestive of a close and common history between </w:t>
      </w:r>
      <w:proofErr w:type="spellStart"/>
      <w:r w:rsidRPr="0009036E">
        <w:rPr>
          <w:rFonts w:ascii="Helvetica" w:eastAsia="Times New Roman" w:hAnsi="Helvetica" w:cs="Helvetica"/>
          <w:spacing w:val="2"/>
          <w:sz w:val="30"/>
          <w:szCs w:val="30"/>
        </w:rPr>
        <w:t>Yagara</w:t>
      </w:r>
      <w:proofErr w:type="spellEnd"/>
      <w:r w:rsidRPr="0009036E">
        <w:rPr>
          <w:rFonts w:ascii="Helvetica" w:eastAsia="Times New Roman" w:hAnsi="Helvetica" w:cs="Helvetica"/>
          <w:spacing w:val="2"/>
          <w:sz w:val="30"/>
          <w:szCs w:val="30"/>
        </w:rPr>
        <w:t xml:space="preserve"> and the </w:t>
      </w:r>
      <w:proofErr w:type="spellStart"/>
      <w:r w:rsidRPr="0009036E">
        <w:rPr>
          <w:rFonts w:ascii="Helvetica" w:eastAsia="Times New Roman" w:hAnsi="Helvetica" w:cs="Helvetica"/>
          <w:spacing w:val="2"/>
          <w:sz w:val="30"/>
          <w:szCs w:val="30"/>
        </w:rPr>
        <w:t>Bandjalang</w:t>
      </w:r>
      <w:proofErr w:type="spellEnd"/>
      <w:r w:rsidRPr="0009036E">
        <w:rPr>
          <w:rFonts w:ascii="Helvetica" w:eastAsia="Times New Roman" w:hAnsi="Helvetica" w:cs="Helvetica"/>
          <w:spacing w:val="2"/>
          <w:sz w:val="30"/>
          <w:szCs w:val="30"/>
        </w:rPr>
        <w:t xml:space="preserve"> dialects are examined. The ethno-historic record of colonial Moreton Bay discloses a continuation of </w:t>
      </w:r>
      <w:proofErr w:type="spellStart"/>
      <w:r w:rsidRPr="0009036E">
        <w:rPr>
          <w:rFonts w:ascii="Helvetica" w:eastAsia="Times New Roman" w:hAnsi="Helvetica" w:cs="Helvetica"/>
          <w:spacing w:val="2"/>
          <w:sz w:val="30"/>
          <w:szCs w:val="30"/>
        </w:rPr>
        <w:t>behaviours</w:t>
      </w:r>
      <w:proofErr w:type="spellEnd"/>
      <w:r w:rsidRPr="0009036E">
        <w:rPr>
          <w:rFonts w:ascii="Helvetica" w:eastAsia="Times New Roman" w:hAnsi="Helvetica" w:cs="Helvetica"/>
          <w:spacing w:val="2"/>
          <w:sz w:val="30"/>
          <w:szCs w:val="30"/>
        </w:rPr>
        <w:t xml:space="preserve"> consistent with migratory expansion into the colonial era. Regional ‘higher order’ social relationships are also regarded as evidence for deep-seated extra-linguistic contact. The conclusion is made that the migratory expansion hypothesis best explains the language distribution of the region, and the social interaction of ethnicities recorded in the ethnography. The thesis concludes by noting the wide, probably universal, application of the migratory language hypothesis to classical era Aboriginal Australia. Some of the general features implied in migratory expansion are enumerated. The conclusion is drawn that, unlike previous anthropological and linguistic theories that have </w:t>
      </w:r>
      <w:proofErr w:type="spellStart"/>
      <w:r w:rsidRPr="0009036E">
        <w:rPr>
          <w:rFonts w:ascii="Helvetica" w:eastAsia="Times New Roman" w:hAnsi="Helvetica" w:cs="Helvetica"/>
          <w:spacing w:val="2"/>
          <w:sz w:val="30"/>
          <w:szCs w:val="30"/>
        </w:rPr>
        <w:t>emphasised</w:t>
      </w:r>
      <w:proofErr w:type="spellEnd"/>
      <w:r w:rsidRPr="0009036E">
        <w:rPr>
          <w:rFonts w:ascii="Helvetica" w:eastAsia="Times New Roman" w:hAnsi="Helvetica" w:cs="Helvetica"/>
          <w:spacing w:val="2"/>
          <w:sz w:val="30"/>
          <w:szCs w:val="30"/>
        </w:rPr>
        <w:t xml:space="preserve"> the profound time depth and relative inertia of classical era Aboriginal societies, the truth is more likely to lie closer to the expectations of European history, that is, vigorous and contested growth in a relatively shallow timeframe.</w:t>
      </w:r>
    </w:p>
    <w:p w:rsidR="0009036E" w:rsidRPr="0009036E" w:rsidRDefault="0009036E" w:rsidP="0009036E">
      <w:pPr>
        <w:shd w:val="clear" w:color="auto" w:fill="FFFFFF"/>
        <w:spacing w:after="0" w:line="240" w:lineRule="auto"/>
        <w:rPr>
          <w:rFonts w:ascii="Helvetica" w:eastAsia="Times New Roman" w:hAnsi="Helvetica" w:cs="Helvetica"/>
          <w:spacing w:val="2"/>
          <w:sz w:val="30"/>
          <w:szCs w:val="30"/>
        </w:rPr>
      </w:pPr>
    </w:p>
    <w:p w:rsidR="0009036E" w:rsidRPr="0009036E" w:rsidRDefault="0009036E" w:rsidP="0009036E">
      <w:pPr>
        <w:shd w:val="clear" w:color="auto" w:fill="FFFFFF"/>
        <w:spacing w:after="0" w:line="240" w:lineRule="auto"/>
        <w:rPr>
          <w:rFonts w:ascii="Arial" w:eastAsia="Times New Roman" w:hAnsi="Arial" w:cs="Times New Roman"/>
          <w:sz w:val="30"/>
          <w:szCs w:val="30"/>
        </w:rPr>
      </w:pPr>
      <w:hyperlink r:id="rId7" w:history="1">
        <w:r w:rsidRPr="0009036E">
          <w:rPr>
            <w:rFonts w:ascii="Helvetica" w:eastAsia="Times New Roman" w:hAnsi="Helvetica" w:cs="Helvetica"/>
            <w:color w:val="3872A8"/>
            <w:spacing w:val="2"/>
            <w:sz w:val="30"/>
            <w:szCs w:val="30"/>
            <w:u w:val="single"/>
          </w:rPr>
          <w:t>School of Social Science</w:t>
        </w:r>
      </w:hyperlink>
    </w:p>
    <w:p w:rsidR="0009036E" w:rsidRPr="0009036E" w:rsidRDefault="0009036E" w:rsidP="0009036E">
      <w:pPr>
        <w:shd w:val="clear" w:color="auto" w:fill="FFFFFF"/>
        <w:spacing w:after="0" w:line="240" w:lineRule="auto"/>
        <w:rPr>
          <w:rFonts w:ascii="Arial" w:eastAsia="Times New Roman" w:hAnsi="Arial" w:cs="Times New Roman"/>
          <w:sz w:val="30"/>
          <w:szCs w:val="30"/>
        </w:rPr>
      </w:pPr>
      <w:r w:rsidRPr="0009036E">
        <w:rPr>
          <w:rFonts w:ascii="Helvetica" w:eastAsia="Times New Roman" w:hAnsi="Helvetica" w:cs="Helvetica"/>
          <w:spacing w:val="2"/>
          <w:sz w:val="30"/>
          <w:szCs w:val="30"/>
        </w:rPr>
        <w:t>The University of Queensland</w:t>
      </w:r>
    </w:p>
    <w:p w:rsidR="0009036E" w:rsidRPr="0009036E" w:rsidRDefault="0009036E" w:rsidP="0009036E">
      <w:pPr>
        <w:shd w:val="clear" w:color="auto" w:fill="FFFFFF"/>
        <w:spacing w:after="0" w:line="240" w:lineRule="auto"/>
        <w:rPr>
          <w:rFonts w:ascii="Arial" w:eastAsia="Times New Roman" w:hAnsi="Arial" w:cs="Times New Roman"/>
          <w:sz w:val="30"/>
          <w:szCs w:val="30"/>
        </w:rPr>
      </w:pPr>
      <w:r w:rsidRPr="0009036E">
        <w:rPr>
          <w:rFonts w:ascii="Helvetica" w:eastAsia="Times New Roman" w:hAnsi="Helvetica" w:cs="Helvetica"/>
          <w:spacing w:val="2"/>
          <w:sz w:val="30"/>
          <w:szCs w:val="30"/>
        </w:rPr>
        <w:t>Publication/Start date</w:t>
      </w:r>
      <w:r w:rsidRPr="0009036E">
        <w:rPr>
          <w:rFonts w:ascii="Arial" w:eastAsia="Times New Roman" w:hAnsi="Arial" w:cs="Times New Roman"/>
          <w:sz w:val="30"/>
          <w:szCs w:val="30"/>
        </w:rPr>
        <w:t xml:space="preserve"> </w:t>
      </w:r>
      <w:r w:rsidRPr="0009036E">
        <w:rPr>
          <w:rFonts w:ascii="Helvetica" w:eastAsia="Times New Roman" w:hAnsi="Helvetica" w:cs="Helvetica"/>
          <w:spacing w:val="2"/>
          <w:sz w:val="30"/>
          <w:szCs w:val="30"/>
        </w:rPr>
        <w:t>2011-09-01</w:t>
      </w:r>
    </w:p>
    <w:p w:rsidR="0009036E" w:rsidRPr="0009036E" w:rsidRDefault="0009036E" w:rsidP="0009036E">
      <w:pPr>
        <w:shd w:val="clear" w:color="auto" w:fill="FFFFFF"/>
        <w:spacing w:after="0" w:line="240" w:lineRule="auto"/>
        <w:rPr>
          <w:rFonts w:ascii="Helvetica" w:eastAsia="Times New Roman" w:hAnsi="Helvetica" w:cs="Helvetica"/>
          <w:spacing w:val="2"/>
          <w:sz w:val="30"/>
          <w:szCs w:val="30"/>
        </w:rPr>
      </w:pPr>
      <w:r w:rsidRPr="0009036E">
        <w:rPr>
          <w:rFonts w:ascii="Helvetica" w:eastAsia="Times New Roman" w:hAnsi="Helvetica" w:cs="Helvetica"/>
          <w:spacing w:val="2"/>
          <w:sz w:val="30"/>
          <w:szCs w:val="30"/>
        </w:rPr>
        <w:t>MPhil Thesis</w:t>
      </w:r>
    </w:p>
    <w:p w:rsidR="0009036E" w:rsidRPr="0009036E" w:rsidRDefault="0009036E" w:rsidP="0009036E">
      <w:pPr>
        <w:shd w:val="clear" w:color="auto" w:fill="FFFFFF"/>
        <w:spacing w:after="0" w:line="240" w:lineRule="auto"/>
        <w:rPr>
          <w:rFonts w:ascii="Arial" w:eastAsia="Times New Roman" w:hAnsi="Arial" w:cs="Times New Roman"/>
          <w:sz w:val="30"/>
          <w:szCs w:val="30"/>
        </w:rPr>
      </w:pPr>
      <w:r w:rsidRPr="0009036E">
        <w:rPr>
          <w:rFonts w:ascii="Helvetica" w:eastAsia="Times New Roman" w:hAnsi="Helvetica" w:cs="Helvetica"/>
          <w:spacing w:val="2"/>
          <w:sz w:val="30"/>
          <w:szCs w:val="30"/>
        </w:rPr>
        <w:t xml:space="preserve">Author </w:t>
      </w:r>
      <w:hyperlink r:id="rId8" w:history="1">
        <w:r w:rsidRPr="0009036E">
          <w:rPr>
            <w:rFonts w:ascii="Helvetica" w:eastAsia="Times New Roman" w:hAnsi="Helvetica" w:cs="Helvetica"/>
            <w:color w:val="007200"/>
            <w:spacing w:val="2"/>
            <w:sz w:val="30"/>
            <w:szCs w:val="30"/>
          </w:rPr>
          <w:t>Jefferies, Anthony</w:t>
        </w:r>
      </w:hyperlink>
    </w:p>
    <w:p w:rsidR="0009036E" w:rsidRDefault="0009036E" w:rsidP="0009036E">
      <w:pPr>
        <w:shd w:val="clear" w:color="auto" w:fill="FFFFFF"/>
        <w:spacing w:after="0" w:line="240" w:lineRule="auto"/>
        <w:rPr>
          <w:rFonts w:ascii="Helvetica" w:eastAsia="Times New Roman" w:hAnsi="Helvetica" w:cs="Helvetica"/>
          <w:spacing w:val="2"/>
          <w:sz w:val="30"/>
          <w:szCs w:val="30"/>
        </w:rPr>
      </w:pPr>
      <w:r w:rsidRPr="0009036E">
        <w:rPr>
          <w:rFonts w:ascii="Helvetica" w:eastAsia="Times New Roman" w:hAnsi="Helvetica" w:cs="Helvetica"/>
          <w:spacing w:val="2"/>
          <w:sz w:val="30"/>
          <w:szCs w:val="30"/>
        </w:rPr>
        <w:t>Open access statu</w:t>
      </w:r>
      <w:r>
        <w:rPr>
          <w:rFonts w:ascii="Helvetica" w:eastAsia="Times New Roman" w:hAnsi="Helvetica" w:cs="Helvetica"/>
          <w:spacing w:val="2"/>
          <w:sz w:val="30"/>
          <w:szCs w:val="30"/>
        </w:rPr>
        <w:t>s</w:t>
      </w:r>
    </w:p>
    <w:p w:rsidR="0009036E" w:rsidRPr="00511C37" w:rsidRDefault="0009036E" w:rsidP="00511C37">
      <w:pPr>
        <w:shd w:val="clear" w:color="auto" w:fill="FFFFFF"/>
        <w:spacing w:after="0" w:line="240" w:lineRule="auto"/>
        <w:rPr>
          <w:rFonts w:ascii="Helvetica" w:eastAsia="Times New Roman" w:hAnsi="Helvetica" w:cs="Helvetica"/>
          <w:spacing w:val="2"/>
          <w:sz w:val="30"/>
          <w:szCs w:val="30"/>
        </w:rPr>
      </w:pPr>
      <w:r w:rsidRPr="0009036E">
        <w:rPr>
          <w:rFonts w:ascii="Helvetica" w:eastAsia="Times New Roman" w:hAnsi="Helvetica" w:cs="Helvetica"/>
          <w:spacing w:val="2"/>
          <w:sz w:val="30"/>
          <w:szCs w:val="30"/>
        </w:rPr>
        <w:t xml:space="preserve">Supervisor(s) David Trigger and Patrick </w:t>
      </w:r>
      <w:proofErr w:type="spellStart"/>
      <w:r w:rsidRPr="0009036E">
        <w:rPr>
          <w:rFonts w:ascii="Helvetica" w:eastAsia="Times New Roman" w:hAnsi="Helvetica" w:cs="Helvetica"/>
          <w:spacing w:val="2"/>
          <w:sz w:val="30"/>
          <w:szCs w:val="30"/>
        </w:rPr>
        <w:t>McConvell</w:t>
      </w:r>
      <w:bookmarkStart w:id="0" w:name="_GoBack"/>
      <w:bookmarkEnd w:id="0"/>
      <w:proofErr w:type="spellEnd"/>
    </w:p>
    <w:sectPr w:rsidR="0009036E" w:rsidRPr="00511C37" w:rsidSect="000903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B0" w:rsidRDefault="001E79B0" w:rsidP="0009036E">
      <w:pPr>
        <w:spacing w:after="0" w:line="240" w:lineRule="auto"/>
      </w:pPr>
      <w:r>
        <w:separator/>
      </w:r>
    </w:p>
  </w:endnote>
  <w:endnote w:type="continuationSeparator" w:id="0">
    <w:p w:rsidR="001E79B0" w:rsidRDefault="001E79B0" w:rsidP="0009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B0" w:rsidRDefault="001E79B0" w:rsidP="0009036E">
      <w:pPr>
        <w:spacing w:after="0" w:line="240" w:lineRule="auto"/>
      </w:pPr>
      <w:r>
        <w:separator/>
      </w:r>
    </w:p>
  </w:footnote>
  <w:footnote w:type="continuationSeparator" w:id="0">
    <w:p w:rsidR="001E79B0" w:rsidRDefault="001E79B0" w:rsidP="0009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6E" w:rsidRDefault="0009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427E3"/>
    <w:multiLevelType w:val="multilevel"/>
    <w:tmpl w:val="D392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6E"/>
    <w:rsid w:val="0009036E"/>
    <w:rsid w:val="001E79B0"/>
    <w:rsid w:val="0051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3920"/>
  <w15:chartTrackingRefBased/>
  <w15:docId w15:val="{55993122-F71A-4321-AB56-0ADEA2B7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itypography-root-127">
    <w:name w:val="muitypography-root-127"/>
    <w:basedOn w:val="DefaultParagraphFont"/>
    <w:rsid w:val="0009036E"/>
  </w:style>
  <w:style w:type="character" w:customStyle="1" w:styleId="citationauthors">
    <w:name w:val="citationauthors"/>
    <w:basedOn w:val="DefaultParagraphFont"/>
    <w:rsid w:val="0009036E"/>
  </w:style>
  <w:style w:type="character" w:styleId="Hyperlink">
    <w:name w:val="Hyperlink"/>
    <w:basedOn w:val="DefaultParagraphFont"/>
    <w:uiPriority w:val="99"/>
    <w:semiHidden/>
    <w:unhideWhenUsed/>
    <w:rsid w:val="0009036E"/>
    <w:rPr>
      <w:color w:val="0000FF"/>
      <w:u w:val="single"/>
    </w:rPr>
  </w:style>
  <w:style w:type="character" w:customStyle="1" w:styleId="citationauthor">
    <w:name w:val="citationauthor"/>
    <w:basedOn w:val="DefaultParagraphFont"/>
    <w:rsid w:val="0009036E"/>
  </w:style>
  <w:style w:type="character" w:customStyle="1" w:styleId="citationdate">
    <w:name w:val="citationdate"/>
    <w:basedOn w:val="DefaultParagraphFont"/>
    <w:rsid w:val="0009036E"/>
  </w:style>
  <w:style w:type="paragraph" w:styleId="Header">
    <w:name w:val="header"/>
    <w:basedOn w:val="Normal"/>
    <w:link w:val="HeaderChar"/>
    <w:uiPriority w:val="99"/>
    <w:unhideWhenUsed/>
    <w:rsid w:val="00090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36E"/>
  </w:style>
  <w:style w:type="paragraph" w:styleId="Footer">
    <w:name w:val="footer"/>
    <w:basedOn w:val="Normal"/>
    <w:link w:val="FooterChar"/>
    <w:uiPriority w:val="99"/>
    <w:unhideWhenUsed/>
    <w:rsid w:val="00090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31591">
      <w:bodyDiv w:val="1"/>
      <w:marLeft w:val="0"/>
      <w:marRight w:val="0"/>
      <w:marTop w:val="0"/>
      <w:marBottom w:val="0"/>
      <w:divBdr>
        <w:top w:val="none" w:sz="0" w:space="0" w:color="auto"/>
        <w:left w:val="none" w:sz="0" w:space="0" w:color="auto"/>
        <w:bottom w:val="none" w:sz="0" w:space="0" w:color="auto"/>
        <w:right w:val="none" w:sz="0" w:space="0" w:color="auto"/>
      </w:divBdr>
      <w:divsChild>
        <w:div w:id="87704280">
          <w:marLeft w:val="0"/>
          <w:marRight w:val="0"/>
          <w:marTop w:val="0"/>
          <w:marBottom w:val="0"/>
          <w:divBdr>
            <w:top w:val="none" w:sz="0" w:space="0" w:color="auto"/>
            <w:left w:val="none" w:sz="0" w:space="0" w:color="auto"/>
            <w:bottom w:val="none" w:sz="0" w:space="0" w:color="auto"/>
            <w:right w:val="none" w:sz="0" w:space="0" w:color="auto"/>
          </w:divBdr>
          <w:divsChild>
            <w:div w:id="811795336">
              <w:marLeft w:val="-120"/>
              <w:marRight w:val="-120"/>
              <w:marTop w:val="0"/>
              <w:marBottom w:val="0"/>
              <w:divBdr>
                <w:top w:val="none" w:sz="0" w:space="0" w:color="auto"/>
                <w:left w:val="none" w:sz="0" w:space="0" w:color="auto"/>
                <w:bottom w:val="single" w:sz="6" w:space="0" w:color="F2F2F2"/>
                <w:right w:val="none" w:sz="0" w:space="0" w:color="auto"/>
              </w:divBdr>
              <w:divsChild>
                <w:div w:id="15790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492">
          <w:marLeft w:val="0"/>
          <w:marRight w:val="0"/>
          <w:marTop w:val="0"/>
          <w:marBottom w:val="0"/>
          <w:divBdr>
            <w:top w:val="none" w:sz="0" w:space="0" w:color="auto"/>
            <w:left w:val="none" w:sz="0" w:space="0" w:color="auto"/>
            <w:bottom w:val="none" w:sz="0" w:space="0" w:color="auto"/>
            <w:right w:val="none" w:sz="0" w:space="0" w:color="auto"/>
          </w:divBdr>
          <w:divsChild>
            <w:div w:id="1356614222">
              <w:marLeft w:val="-120"/>
              <w:marRight w:val="-120"/>
              <w:marTop w:val="0"/>
              <w:marBottom w:val="0"/>
              <w:divBdr>
                <w:top w:val="none" w:sz="0" w:space="0" w:color="auto"/>
                <w:left w:val="none" w:sz="0" w:space="0" w:color="auto"/>
                <w:bottom w:val="single" w:sz="6" w:space="0" w:color="F2F2F2"/>
                <w:right w:val="none" w:sz="0" w:space="0" w:color="auto"/>
              </w:divBdr>
              <w:divsChild>
                <w:div w:id="90930778">
                  <w:marLeft w:val="0"/>
                  <w:marRight w:val="0"/>
                  <w:marTop w:val="0"/>
                  <w:marBottom w:val="0"/>
                  <w:divBdr>
                    <w:top w:val="none" w:sz="0" w:space="0" w:color="auto"/>
                    <w:left w:val="none" w:sz="0" w:space="0" w:color="auto"/>
                    <w:bottom w:val="none" w:sz="0" w:space="0" w:color="auto"/>
                    <w:right w:val="none" w:sz="0" w:space="0" w:color="auto"/>
                  </w:divBdr>
                </w:div>
                <w:div w:id="16873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5905">
          <w:marLeft w:val="0"/>
          <w:marRight w:val="0"/>
          <w:marTop w:val="0"/>
          <w:marBottom w:val="0"/>
          <w:divBdr>
            <w:top w:val="none" w:sz="0" w:space="0" w:color="auto"/>
            <w:left w:val="none" w:sz="0" w:space="0" w:color="auto"/>
            <w:bottom w:val="none" w:sz="0" w:space="0" w:color="auto"/>
            <w:right w:val="none" w:sz="0" w:space="0" w:color="auto"/>
          </w:divBdr>
          <w:divsChild>
            <w:div w:id="665397220">
              <w:marLeft w:val="-120"/>
              <w:marRight w:val="-120"/>
              <w:marTop w:val="0"/>
              <w:marBottom w:val="0"/>
              <w:divBdr>
                <w:top w:val="none" w:sz="0" w:space="0" w:color="auto"/>
                <w:left w:val="none" w:sz="0" w:space="0" w:color="auto"/>
                <w:bottom w:val="single" w:sz="6" w:space="0" w:color="F2F2F2"/>
                <w:right w:val="none" w:sz="0" w:space="0" w:color="auto"/>
              </w:divBdr>
              <w:divsChild>
                <w:div w:id="1581060897">
                  <w:marLeft w:val="0"/>
                  <w:marRight w:val="0"/>
                  <w:marTop w:val="0"/>
                  <w:marBottom w:val="0"/>
                  <w:divBdr>
                    <w:top w:val="none" w:sz="0" w:space="0" w:color="auto"/>
                    <w:left w:val="none" w:sz="0" w:space="0" w:color="auto"/>
                    <w:bottom w:val="none" w:sz="0" w:space="0" w:color="auto"/>
                    <w:right w:val="none" w:sz="0" w:space="0" w:color="auto"/>
                  </w:divBdr>
                </w:div>
                <w:div w:id="179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451">
          <w:marLeft w:val="0"/>
          <w:marRight w:val="0"/>
          <w:marTop w:val="0"/>
          <w:marBottom w:val="0"/>
          <w:divBdr>
            <w:top w:val="none" w:sz="0" w:space="0" w:color="auto"/>
            <w:left w:val="none" w:sz="0" w:space="0" w:color="auto"/>
            <w:bottom w:val="none" w:sz="0" w:space="0" w:color="auto"/>
            <w:right w:val="none" w:sz="0" w:space="0" w:color="auto"/>
          </w:divBdr>
          <w:divsChild>
            <w:div w:id="1064527345">
              <w:marLeft w:val="-120"/>
              <w:marRight w:val="-120"/>
              <w:marTop w:val="0"/>
              <w:marBottom w:val="0"/>
              <w:divBdr>
                <w:top w:val="none" w:sz="0" w:space="0" w:color="auto"/>
                <w:left w:val="none" w:sz="0" w:space="0" w:color="auto"/>
                <w:bottom w:val="single" w:sz="6" w:space="0" w:color="F2F2F2"/>
                <w:right w:val="none" w:sz="0" w:space="0" w:color="auto"/>
              </w:divBdr>
              <w:divsChild>
                <w:div w:id="1784029938">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163">
          <w:marLeft w:val="0"/>
          <w:marRight w:val="0"/>
          <w:marTop w:val="0"/>
          <w:marBottom w:val="0"/>
          <w:divBdr>
            <w:top w:val="none" w:sz="0" w:space="0" w:color="auto"/>
            <w:left w:val="none" w:sz="0" w:space="0" w:color="auto"/>
            <w:bottom w:val="none" w:sz="0" w:space="0" w:color="auto"/>
            <w:right w:val="none" w:sz="0" w:space="0" w:color="auto"/>
          </w:divBdr>
          <w:divsChild>
            <w:div w:id="912666917">
              <w:marLeft w:val="-120"/>
              <w:marRight w:val="-120"/>
              <w:marTop w:val="0"/>
              <w:marBottom w:val="0"/>
              <w:divBdr>
                <w:top w:val="none" w:sz="0" w:space="0" w:color="auto"/>
                <w:left w:val="none" w:sz="0" w:space="0" w:color="auto"/>
                <w:bottom w:val="single" w:sz="6" w:space="0" w:color="F2F2F2"/>
                <w:right w:val="none" w:sz="0" w:space="0" w:color="auto"/>
              </w:divBdr>
              <w:divsChild>
                <w:div w:id="1303536507">
                  <w:marLeft w:val="0"/>
                  <w:marRight w:val="0"/>
                  <w:marTop w:val="0"/>
                  <w:marBottom w:val="0"/>
                  <w:divBdr>
                    <w:top w:val="none" w:sz="0" w:space="0" w:color="auto"/>
                    <w:left w:val="none" w:sz="0" w:space="0" w:color="auto"/>
                    <w:bottom w:val="none" w:sz="0" w:space="0" w:color="auto"/>
                    <w:right w:val="none" w:sz="0" w:space="0" w:color="auto"/>
                  </w:divBdr>
                </w:div>
                <w:div w:id="500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4876">
          <w:marLeft w:val="0"/>
          <w:marRight w:val="0"/>
          <w:marTop w:val="0"/>
          <w:marBottom w:val="0"/>
          <w:divBdr>
            <w:top w:val="none" w:sz="0" w:space="0" w:color="auto"/>
            <w:left w:val="none" w:sz="0" w:space="0" w:color="auto"/>
            <w:bottom w:val="none" w:sz="0" w:space="0" w:color="auto"/>
            <w:right w:val="none" w:sz="0" w:space="0" w:color="auto"/>
          </w:divBdr>
          <w:divsChild>
            <w:div w:id="1918125148">
              <w:marLeft w:val="-120"/>
              <w:marRight w:val="-120"/>
              <w:marTop w:val="0"/>
              <w:marBottom w:val="0"/>
              <w:divBdr>
                <w:top w:val="none" w:sz="0" w:space="0" w:color="auto"/>
                <w:left w:val="none" w:sz="0" w:space="0" w:color="auto"/>
                <w:bottom w:val="single" w:sz="6" w:space="0" w:color="F2F2F2"/>
                <w:right w:val="none" w:sz="0" w:space="0" w:color="auto"/>
              </w:divBdr>
              <w:divsChild>
                <w:div w:id="958414740">
                  <w:marLeft w:val="0"/>
                  <w:marRight w:val="0"/>
                  <w:marTop w:val="0"/>
                  <w:marBottom w:val="0"/>
                  <w:divBdr>
                    <w:top w:val="none" w:sz="0" w:space="0" w:color="auto"/>
                    <w:left w:val="none" w:sz="0" w:space="0" w:color="auto"/>
                    <w:bottom w:val="none" w:sz="0" w:space="0" w:color="auto"/>
                    <w:right w:val="none" w:sz="0" w:space="0" w:color="auto"/>
                  </w:divBdr>
                </w:div>
                <w:div w:id="1034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7044">
          <w:marLeft w:val="0"/>
          <w:marRight w:val="0"/>
          <w:marTop w:val="0"/>
          <w:marBottom w:val="0"/>
          <w:divBdr>
            <w:top w:val="none" w:sz="0" w:space="0" w:color="auto"/>
            <w:left w:val="none" w:sz="0" w:space="0" w:color="auto"/>
            <w:bottom w:val="none" w:sz="0" w:space="0" w:color="auto"/>
            <w:right w:val="none" w:sz="0" w:space="0" w:color="auto"/>
          </w:divBdr>
          <w:divsChild>
            <w:div w:id="2088841263">
              <w:marLeft w:val="-120"/>
              <w:marRight w:val="-120"/>
              <w:marTop w:val="0"/>
              <w:marBottom w:val="0"/>
              <w:divBdr>
                <w:top w:val="none" w:sz="0" w:space="0" w:color="auto"/>
                <w:left w:val="none" w:sz="0" w:space="0" w:color="auto"/>
                <w:bottom w:val="single" w:sz="6" w:space="0" w:color="F2F2F2"/>
                <w:right w:val="none" w:sz="0" w:space="0" w:color="auto"/>
              </w:divBdr>
              <w:divsChild>
                <w:div w:id="1425030508">
                  <w:marLeft w:val="0"/>
                  <w:marRight w:val="0"/>
                  <w:marTop w:val="0"/>
                  <w:marBottom w:val="0"/>
                  <w:divBdr>
                    <w:top w:val="none" w:sz="0" w:space="0" w:color="auto"/>
                    <w:left w:val="none" w:sz="0" w:space="0" w:color="auto"/>
                    <w:bottom w:val="none" w:sz="0" w:space="0" w:color="auto"/>
                    <w:right w:val="none" w:sz="0" w:space="0" w:color="auto"/>
                  </w:divBdr>
                </w:div>
                <w:div w:id="20739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4259">
          <w:marLeft w:val="0"/>
          <w:marRight w:val="0"/>
          <w:marTop w:val="0"/>
          <w:marBottom w:val="0"/>
          <w:divBdr>
            <w:top w:val="none" w:sz="0" w:space="0" w:color="auto"/>
            <w:left w:val="none" w:sz="0" w:space="0" w:color="auto"/>
            <w:bottom w:val="none" w:sz="0" w:space="0" w:color="auto"/>
            <w:right w:val="none" w:sz="0" w:space="0" w:color="auto"/>
          </w:divBdr>
          <w:divsChild>
            <w:div w:id="705327577">
              <w:marLeft w:val="-120"/>
              <w:marRight w:val="-120"/>
              <w:marTop w:val="0"/>
              <w:marBottom w:val="0"/>
              <w:divBdr>
                <w:top w:val="none" w:sz="0" w:space="0" w:color="auto"/>
                <w:left w:val="none" w:sz="0" w:space="0" w:color="auto"/>
                <w:bottom w:val="single" w:sz="6" w:space="0" w:color="F2F2F2"/>
                <w:right w:val="none" w:sz="0" w:space="0" w:color="auto"/>
              </w:divBdr>
              <w:divsChild>
                <w:div w:id="981036805">
                  <w:marLeft w:val="0"/>
                  <w:marRight w:val="0"/>
                  <w:marTop w:val="0"/>
                  <w:marBottom w:val="0"/>
                  <w:divBdr>
                    <w:top w:val="none" w:sz="0" w:space="0" w:color="auto"/>
                    <w:left w:val="none" w:sz="0" w:space="0" w:color="auto"/>
                    <w:bottom w:val="none" w:sz="0" w:space="0" w:color="auto"/>
                    <w:right w:val="none" w:sz="0" w:space="0" w:color="auto"/>
                  </w:divBdr>
                </w:div>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3035">
          <w:marLeft w:val="0"/>
          <w:marRight w:val="0"/>
          <w:marTop w:val="0"/>
          <w:marBottom w:val="0"/>
          <w:divBdr>
            <w:top w:val="none" w:sz="0" w:space="0" w:color="auto"/>
            <w:left w:val="none" w:sz="0" w:space="0" w:color="auto"/>
            <w:bottom w:val="none" w:sz="0" w:space="0" w:color="auto"/>
            <w:right w:val="none" w:sz="0" w:space="0" w:color="auto"/>
          </w:divBdr>
          <w:divsChild>
            <w:div w:id="1193762992">
              <w:marLeft w:val="-120"/>
              <w:marRight w:val="-120"/>
              <w:marTop w:val="0"/>
              <w:marBottom w:val="0"/>
              <w:divBdr>
                <w:top w:val="none" w:sz="0" w:space="0" w:color="auto"/>
                <w:left w:val="none" w:sz="0" w:space="0" w:color="auto"/>
                <w:bottom w:val="single" w:sz="6" w:space="0" w:color="F2F2F2"/>
                <w:right w:val="none" w:sz="0" w:space="0" w:color="auto"/>
              </w:divBdr>
              <w:divsChild>
                <w:div w:id="903680017">
                  <w:marLeft w:val="0"/>
                  <w:marRight w:val="0"/>
                  <w:marTop w:val="0"/>
                  <w:marBottom w:val="0"/>
                  <w:divBdr>
                    <w:top w:val="none" w:sz="0" w:space="0" w:color="auto"/>
                    <w:left w:val="none" w:sz="0" w:space="0" w:color="auto"/>
                    <w:bottom w:val="none" w:sz="0" w:space="0" w:color="auto"/>
                    <w:right w:val="none" w:sz="0" w:space="0" w:color="auto"/>
                  </w:divBdr>
                </w:div>
                <w:div w:id="1736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ace.library.uq.edu.au/records/search?page=1&amp;pageSize=20&amp;sortBy=score&amp;sortDirection=Desc&amp;searchQueryParams%5Brek_author_id%5D%5Bvalue%5D=84454&amp;searchQueryParams%5Brek_author_id%5D%5Blabel%5D=84454+(Jefferies%2C+Anthony)&amp;searchMode=advanc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pace.library.uq.edu.au/records/search?page=1&amp;pageSize=20&amp;sortBy=score&amp;sortDirection=Desc&amp;searchQueryParams%5Brek_org_unit_name%5D%5Bvalue%5D=School+of+Social+Science&amp;searchMode=advanc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PublicPC</dc:creator>
  <cp:keywords/>
  <dc:description/>
  <cp:lastModifiedBy>PublicPC</cp:lastModifiedBy>
  <cp:revision>1</cp:revision>
  <cp:lastPrinted>2022-02-09T06:33:00Z</cp:lastPrinted>
  <dcterms:created xsi:type="dcterms:W3CDTF">2022-02-09T06:22:00Z</dcterms:created>
  <dcterms:modified xsi:type="dcterms:W3CDTF">2022-02-09T06:35:00Z</dcterms:modified>
</cp:coreProperties>
</file>