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8ECBF" w14:textId="77777777" w:rsidR="00D55A8F" w:rsidRPr="002852A9" w:rsidRDefault="00D55A8F" w:rsidP="00D55A8F">
      <w:pPr>
        <w:jc w:val="center"/>
        <w:rPr>
          <w:rFonts w:eastAsia="Calibri"/>
          <w:szCs w:val="24"/>
        </w:rPr>
      </w:pPr>
      <w:r w:rsidRPr="002852A9">
        <w:rPr>
          <w:rFonts w:eastAsia="Calibri"/>
          <w:szCs w:val="24"/>
        </w:rPr>
        <w:t>Miklós Tamás</w:t>
      </w:r>
    </w:p>
    <w:p w14:paraId="3EDF35E7" w14:textId="77777777" w:rsidR="00D55A8F" w:rsidRPr="002852A9" w:rsidRDefault="00D55A8F" w:rsidP="00D55A8F">
      <w:pPr>
        <w:pStyle w:val="Cmsor1"/>
        <w:rPr>
          <w:rFonts w:eastAsia="Calibri"/>
        </w:rPr>
      </w:pPr>
      <w:r w:rsidRPr="002852A9">
        <w:rPr>
          <w:rFonts w:eastAsia="Calibri"/>
        </w:rPr>
        <w:t>Régi olvasmányok</w:t>
      </w:r>
    </w:p>
    <w:p w14:paraId="1423A295" w14:textId="77777777" w:rsidR="00D55A8F" w:rsidRPr="002852A9" w:rsidRDefault="00D55A8F" w:rsidP="00D55A8F">
      <w:pPr>
        <w:spacing w:line="360" w:lineRule="auto"/>
        <w:jc w:val="center"/>
        <w:rPr>
          <w:rFonts w:eastAsia="Calibri"/>
          <w:szCs w:val="24"/>
        </w:rPr>
      </w:pPr>
      <w:r w:rsidRPr="002852A9">
        <w:rPr>
          <w:rFonts w:eastAsia="Calibri"/>
          <w:szCs w:val="24"/>
        </w:rPr>
        <w:t>Koselleck és Plessner az értelmiség politikai ambícióiról és ambíciótlanságáról</w:t>
      </w:r>
    </w:p>
    <w:p w14:paraId="3620E26E" w14:textId="77777777" w:rsidR="00D55A8F" w:rsidRPr="002852A9" w:rsidRDefault="00D55A8F" w:rsidP="00D55A8F">
      <w:pPr>
        <w:spacing w:line="360" w:lineRule="auto"/>
        <w:rPr>
          <w:rFonts w:eastAsia="Calibri"/>
          <w:szCs w:val="24"/>
        </w:rPr>
      </w:pPr>
    </w:p>
    <w:p w14:paraId="269B678F" w14:textId="77777777" w:rsidR="00D55A8F" w:rsidRPr="002852A9" w:rsidRDefault="00D55A8F" w:rsidP="00D55A8F">
      <w:pPr>
        <w:spacing w:line="360" w:lineRule="auto"/>
        <w:jc w:val="both"/>
        <w:rPr>
          <w:rFonts w:eastAsia="Calibri"/>
          <w:szCs w:val="24"/>
        </w:rPr>
      </w:pPr>
      <w:r w:rsidRPr="002852A9">
        <w:rPr>
          <w:rFonts w:eastAsia="Calibri"/>
          <w:szCs w:val="24"/>
        </w:rPr>
        <w:t xml:space="preserve">1959-ben két olyan könyv jelent meg Németországban, amelyek az európai totalitárius rendszerekhez vezető újkori társadalmi, s különösen az eszmetörténeti folyamatokat próbálták feltárni. Igaz, Helmuth Plessner </w:t>
      </w:r>
      <w:r w:rsidRPr="002852A9">
        <w:rPr>
          <w:rFonts w:eastAsia="Calibri"/>
          <w:i/>
          <w:iCs/>
          <w:szCs w:val="24"/>
        </w:rPr>
        <w:t xml:space="preserve">Die verspätete Nation – über die politische Verführbarkeit bürgerlichen Geistes </w:t>
      </w:r>
      <w:r w:rsidRPr="002852A9">
        <w:rPr>
          <w:rFonts w:eastAsia="Calibri"/>
          <w:szCs w:val="24"/>
        </w:rPr>
        <w:t>címmel kiadott kötetét</w:t>
      </w:r>
      <w:r w:rsidRPr="002852A9">
        <w:rPr>
          <w:rFonts w:eastAsia="Calibri"/>
          <w:szCs w:val="24"/>
          <w:vertAlign w:val="superscript"/>
        </w:rPr>
        <w:footnoteReference w:id="1"/>
      </w:r>
      <w:r w:rsidRPr="002852A9">
        <w:rPr>
          <w:rFonts w:eastAsia="Calibri"/>
          <w:szCs w:val="24"/>
        </w:rPr>
        <w:t xml:space="preserve"> még Hollandiában írta 1934-ben, s első – forgalomból hamar kivont – kiadását egy évvel később Svájcban publikálta (eredeti címe: </w:t>
      </w:r>
      <w:r w:rsidRPr="002852A9">
        <w:rPr>
          <w:rFonts w:eastAsia="Calibri"/>
          <w:i/>
          <w:iCs/>
          <w:szCs w:val="24"/>
        </w:rPr>
        <w:t>Das Schicksal des deutschen Geistes im Ausgang seiner bürgerlichen Epoche</w:t>
      </w:r>
      <w:r w:rsidRPr="002852A9">
        <w:rPr>
          <w:rFonts w:eastAsia="Calibri"/>
          <w:szCs w:val="24"/>
        </w:rPr>
        <w:t xml:space="preserve">), de a német közönséghez csak a nyugat-németországi kiadás jutott el Reinhart Kosellek disszertációjának </w:t>
      </w:r>
      <w:r w:rsidRPr="002852A9">
        <w:rPr>
          <w:rFonts w:eastAsia="Calibri"/>
          <w:i/>
          <w:iCs/>
          <w:szCs w:val="24"/>
        </w:rPr>
        <w:t>(Kritik und Krise. Ein Beitrag zur Pathogenese der bürgerlichen Welt)</w:t>
      </w:r>
      <w:r w:rsidRPr="002852A9">
        <w:rPr>
          <w:rFonts w:eastAsia="Calibri"/>
          <w:szCs w:val="24"/>
          <w:vertAlign w:val="superscript"/>
        </w:rPr>
        <w:footnoteReference w:id="2"/>
      </w:r>
      <w:r w:rsidRPr="002852A9">
        <w:rPr>
          <w:rFonts w:eastAsia="Calibri"/>
          <w:szCs w:val="24"/>
        </w:rPr>
        <w:t xml:space="preserve"> megjelenése évében.</w:t>
      </w:r>
    </w:p>
    <w:p w14:paraId="32E0AB5F" w14:textId="315D892C" w:rsidR="00D55A8F" w:rsidRPr="002852A9" w:rsidRDefault="00D55A8F" w:rsidP="00D55A8F">
      <w:pPr>
        <w:spacing w:line="360" w:lineRule="auto"/>
        <w:ind w:firstLine="255"/>
        <w:jc w:val="both"/>
        <w:rPr>
          <w:rFonts w:eastAsia="Calibri"/>
          <w:szCs w:val="24"/>
        </w:rPr>
      </w:pPr>
      <w:r w:rsidRPr="002852A9">
        <w:rPr>
          <w:rFonts w:eastAsia="Calibri"/>
          <w:szCs w:val="24"/>
        </w:rPr>
        <w:t xml:space="preserve">Természetesen komoly irodalom foglalkozott addig is a témával, talán elég itt csak Karl Löwith könyvére </w:t>
      </w:r>
      <w:r w:rsidRPr="002852A9">
        <w:rPr>
          <w:rFonts w:eastAsia="Calibri"/>
          <w:i/>
          <w:iCs/>
          <w:szCs w:val="24"/>
        </w:rPr>
        <w:t>Az európai nihilizmus</w:t>
      </w:r>
      <w:r w:rsidRPr="002852A9">
        <w:rPr>
          <w:rFonts w:eastAsia="Calibri"/>
          <w:szCs w:val="24"/>
        </w:rPr>
        <w:t xml:space="preserve">ra vagy Lukács György művére </w:t>
      </w:r>
      <w:r w:rsidRPr="002852A9">
        <w:rPr>
          <w:rFonts w:eastAsia="Calibri"/>
          <w:i/>
          <w:iCs/>
          <w:szCs w:val="24"/>
        </w:rPr>
        <w:t>Az ész trónfosztásá</w:t>
      </w:r>
      <w:r w:rsidRPr="002852A9">
        <w:rPr>
          <w:rFonts w:eastAsia="Calibri"/>
          <w:szCs w:val="24"/>
        </w:rPr>
        <w:t xml:space="preserve">ra utalni. Plessner és Koselleck írásait azonban nemcsak az köti össze, hogy a németországi megjelenés után négy évtizeddel Koselleck egy újabb nevezetes tanulmányában közvetlenül is foglalkozik Plessner könyvével </w:t>
      </w:r>
      <w:r w:rsidRPr="002852A9">
        <w:rPr>
          <w:rFonts w:eastAsia="Calibri"/>
          <w:i/>
          <w:iCs/>
          <w:szCs w:val="24"/>
        </w:rPr>
        <w:t>(Deutschland – eine verspätete Nation?),</w:t>
      </w:r>
      <w:r w:rsidR="00236ABF" w:rsidRPr="003F26BD">
        <w:rPr>
          <w:rStyle w:val="Lbjegyzet-hivatkozs"/>
          <w:rFonts w:eastAsia="Calibri"/>
          <w:szCs w:val="24"/>
        </w:rPr>
        <w:footnoteReference w:id="3"/>
      </w:r>
      <w:r w:rsidRPr="002852A9">
        <w:rPr>
          <w:rFonts w:eastAsia="Calibri"/>
          <w:i/>
          <w:iCs/>
          <w:szCs w:val="24"/>
        </w:rPr>
        <w:t xml:space="preserve"> </w:t>
      </w:r>
      <w:r w:rsidRPr="002852A9">
        <w:rPr>
          <w:rFonts w:eastAsia="Calibri"/>
          <w:szCs w:val="24"/>
        </w:rPr>
        <w:t xml:space="preserve">hanem elsősorban az, hogy mindketten </w:t>
      </w:r>
      <w:r w:rsidRPr="002852A9">
        <w:rPr>
          <w:rFonts w:eastAsia="Calibri"/>
          <w:i/>
          <w:iCs/>
          <w:szCs w:val="24"/>
        </w:rPr>
        <w:t xml:space="preserve">a vizsgált újkori társadalmon belüli politikai és kulturális szféra merev szétválásában valamint a múlt, jelen és jövő közötti kontinuitás megrendülésében vélik megtalálni a kizárólagos eszmék iránti kiszolgáltatottság döntő okait. </w:t>
      </w:r>
      <w:r w:rsidRPr="002852A9">
        <w:rPr>
          <w:rFonts w:eastAsia="Calibri"/>
          <w:szCs w:val="24"/>
        </w:rPr>
        <w:t>(Megjegyzendő: a kiszolgáltatottság, s nem a diktatúrák tényleges hatalomra jutása okait, amiért a felelős</w:t>
      </w:r>
      <w:r>
        <w:rPr>
          <w:rFonts w:eastAsia="Calibri"/>
          <w:szCs w:val="24"/>
        </w:rPr>
        <w:t>s</w:t>
      </w:r>
      <w:r w:rsidRPr="002852A9">
        <w:rPr>
          <w:rFonts w:eastAsia="Calibri"/>
          <w:szCs w:val="24"/>
        </w:rPr>
        <w:t xml:space="preserve">éget, a szereplők morális terhét egyikük sem hárítja az elemzett történelmi folyamatokra.) Ez az egybecsengés azonban még szembeötlőbbé teszi a két gondolatmenet egy lényeges különbségét: amit egyikük az egész újkori társadalomfejlődés jellegzetességének tart, azt a másik mű szerzője speciálisan a német viszonyokra jellemzőnek, s éppen a többi európai országtól megkülönböztető vonásnak. </w:t>
      </w:r>
    </w:p>
    <w:p w14:paraId="701B2DDB" w14:textId="77777777" w:rsidR="00D55A8F" w:rsidRPr="002852A9" w:rsidRDefault="00D55A8F" w:rsidP="00D55A8F">
      <w:pPr>
        <w:spacing w:line="360" w:lineRule="auto"/>
        <w:ind w:firstLine="255"/>
        <w:jc w:val="both"/>
        <w:rPr>
          <w:rFonts w:eastAsia="Calibri"/>
          <w:szCs w:val="24"/>
        </w:rPr>
      </w:pPr>
      <w:r w:rsidRPr="002852A9">
        <w:rPr>
          <w:rFonts w:eastAsia="Calibri"/>
          <w:szCs w:val="24"/>
        </w:rPr>
        <w:t xml:space="preserve">Erről szól ez a vázlat, melynek, keretében nincs mód e két nagy mű elemzésére vagy akár csak rövid bemutatására. Mindössze a szövegek említett, kézenfekvő kapcsolódási és izgalmas szembenállási pontjaira szeretnék utalni, amelyek azt a benyomást keltik az olvasóban, mintha a két konzervatív gondolkodó beszélgetésébe hallgathatna bele – eltekintve most attól, hogy a </w:t>
      </w:r>
      <w:r w:rsidRPr="002852A9">
        <w:rPr>
          <w:rFonts w:eastAsia="Calibri"/>
          <w:szCs w:val="24"/>
        </w:rPr>
        <w:lastRenderedPageBreak/>
        <w:t>német „megkésettség” kérdésében utólag ténylegesen sor is került az ekkor már egyoldalú reflexióra.</w:t>
      </w:r>
    </w:p>
    <w:p w14:paraId="5DBB1C4C" w14:textId="77777777" w:rsidR="00D55A8F" w:rsidRPr="002852A9" w:rsidRDefault="00D55A8F" w:rsidP="00D55A8F">
      <w:pPr>
        <w:spacing w:line="360" w:lineRule="auto"/>
        <w:ind w:firstLine="255"/>
        <w:jc w:val="both"/>
        <w:rPr>
          <w:rFonts w:eastAsia="Calibri"/>
          <w:szCs w:val="24"/>
        </w:rPr>
      </w:pPr>
      <w:r w:rsidRPr="002852A9">
        <w:rPr>
          <w:rFonts w:eastAsia="Calibri"/>
          <w:szCs w:val="24"/>
        </w:rPr>
        <w:t xml:space="preserve">Koselleck 1989-es írása egyszerre elismerő és polemikus Plessner művét illetően: elismerő a szöveg meghatározó gondolatai és a szerző intellektuális teljesítménye tekintetében, akinek e munkáját Husserl </w:t>
      </w:r>
      <w:r w:rsidRPr="002852A9">
        <w:rPr>
          <w:rFonts w:eastAsia="Calibri"/>
          <w:i/>
          <w:iCs/>
          <w:szCs w:val="24"/>
        </w:rPr>
        <w:t>Krízis</w:t>
      </w:r>
      <w:r w:rsidRPr="002852A9">
        <w:rPr>
          <w:rFonts w:eastAsia="Calibri"/>
          <w:szCs w:val="24"/>
        </w:rPr>
        <w:t xml:space="preserve">-könyvével és Löwith </w:t>
      </w:r>
      <w:r w:rsidRPr="002852A9">
        <w:rPr>
          <w:rFonts w:eastAsia="Calibri"/>
          <w:i/>
          <w:iCs/>
          <w:szCs w:val="24"/>
        </w:rPr>
        <w:t>Von Hegel zu Nietzsche</w:t>
      </w:r>
      <w:r w:rsidRPr="002852A9">
        <w:rPr>
          <w:rFonts w:eastAsia="Calibri"/>
          <w:szCs w:val="24"/>
        </w:rPr>
        <w:t xml:space="preserve"> című kötetével állítja párhuzamba. Ugyanakkor polemikus a második, a németországi kiadás megváltoztatott címe sugallta gondolattal szemben, s meggyőző érvekkel vitatja a német nemzet „megkésettségének” gondolatát (ahogyan az írás végén a nyolcvanas években előtérbe került „német különút” tételét is). Miközben legfőbb érve, hogy az európai történelem nem tekinthető valamiféle népek közötti versenyfutásnak egy előre definiált cél felé, ahol elsőkről és lemaradókról beszélhetnénk, s a történelem ilyesfajta teleologikus-ideologikus felfogása helyett a konkrét társadalomfejlődés minden esetben sajátos, másokétól eltérő jellegzetességei feltárását tekinti a történész feladatának, nyomban elismeri, hogy Plessner könyve épp ezt teszi, esetében szó sincs teleologikus szemléletről vagy ideológiai elfogultságról, pusztán a mű új </w:t>
      </w:r>
      <w:r w:rsidRPr="002852A9">
        <w:rPr>
          <w:rFonts w:eastAsia="Calibri"/>
          <w:i/>
          <w:iCs/>
          <w:szCs w:val="24"/>
        </w:rPr>
        <w:t>címe</w:t>
      </w:r>
      <w:r w:rsidRPr="002852A9">
        <w:rPr>
          <w:rFonts w:eastAsia="Calibri"/>
          <w:szCs w:val="24"/>
        </w:rPr>
        <w:t xml:space="preserve"> kelthet ilyen asszociációkat. Így hát az első pillanatban adódó látszat ellenére késői kritikája valójában nem is Plessner művének szól, hanem azon kortárs hárítási kísérletekkel polemizál, amelyek a megkésettség vagy éppen a speciális német történelemfejlődés téziseire hivatkozva próbálják elfedni a konkrét szereplők konkrét felelősségét. (Winfried Schulze egy 2000-ben tartott előadásában utalt arra, hogy a második világháború utáni Nyugat-Németország újrapozicionálásában, a nyugati modellhez igazodó történelmi újrakezdésben milyen pragmatikus funkciója volt a „deutscher Sonderweg” elméletének. Lehetővé tette a német történelmi előzmények radikális megtagadását, a múlttal való szakítás megalapozását, ami az NSZK gyors konszolidálásának eszköze volt – függetlenül a tézist alátámasztó történészi argumentáció gyengeségétől.)</w:t>
      </w:r>
      <w:r w:rsidRPr="002852A9">
        <w:rPr>
          <w:rFonts w:eastAsia="Calibri"/>
          <w:szCs w:val="24"/>
          <w:vertAlign w:val="superscript"/>
        </w:rPr>
        <w:footnoteReference w:id="4"/>
      </w:r>
      <w:r w:rsidRPr="002852A9">
        <w:rPr>
          <w:rFonts w:eastAsia="Calibri"/>
          <w:szCs w:val="24"/>
        </w:rPr>
        <w:t xml:space="preserve"> Koselleck udvarias bírálatával szemben Plessner könyvének nem csupán a</w:t>
      </w:r>
      <w:r>
        <w:rPr>
          <w:rFonts w:eastAsia="Calibri"/>
          <w:szCs w:val="24"/>
        </w:rPr>
        <w:t>z</w:t>
      </w:r>
      <w:r w:rsidRPr="002852A9">
        <w:rPr>
          <w:rFonts w:eastAsia="Calibri"/>
          <w:szCs w:val="24"/>
        </w:rPr>
        <w:t xml:space="preserve"> új kiadás fölé írt címe szól a német megkésettségről – az egész mű e gondolat jegyében született. Csakhogy valóban nem valamiféle cél felé tartó, versenyfutásbeli lemaradásként felfogott megkésettségről ír, hanem arról, hogy az egységes német állam (persze annak a nem minden németséget átfogó, „kisnémet” változata) akkor – </w:t>
      </w:r>
      <w:r w:rsidRPr="002852A9">
        <w:rPr>
          <w:rFonts w:eastAsia="Calibri"/>
          <w:i/>
          <w:iCs/>
          <w:szCs w:val="24"/>
        </w:rPr>
        <w:t>oly későn,</w:t>
      </w:r>
      <w:r w:rsidRPr="002852A9">
        <w:rPr>
          <w:rFonts w:eastAsia="Calibri"/>
          <w:szCs w:val="24"/>
        </w:rPr>
        <w:t xml:space="preserve"> a 19. század második felében – jött létre, amikor a felvilágosodásnak a Nyugatot egyébként formáló humanista politikai ideái már nem tudták elevenen befolyásolni a születő állam identitását, s </w:t>
      </w:r>
      <w:r w:rsidRPr="002852A9">
        <w:rPr>
          <w:rFonts w:eastAsia="Calibri"/>
          <w:szCs w:val="24"/>
        </w:rPr>
        <w:lastRenderedPageBreak/>
        <w:t>amely így, klasszikus, egyesítő, közös állameszme híján tisztán instrumentális bürokrataállammá lett. A felvilágosodás nagy német humanista filozófusainak gondolatai immár csak a városi polgárság kulturális emlékezetében voltak jelen, de nem állam- és társadalomformáló erőként. Szó sincs itt teleologikus történelemfelfogásról, Plessner pusztán a polgári szabadságeszmék gyengeségére keres magyarázatot a modern német államra ható szellemi erők politikai szerepét és lehetőségeit elemezve. Összevetése az angol, a holland vagy a francia társadalomfejlődéssel éppen nem a „német különút” felértékelése, s nem a megkésettséggel mentegetőző magyarázkodás, hanem az eltérő történelmi előzmények és feltételek között bejárható eltérő lehetőségek finom leírása. Ezek alapvetően egy világos problémából, a birodalmi és nemzetállami eszmék összeférhetetlenségéből származnak. Utóbbi nem épülhetett az előbbi önlegitimációjára, s mire mégis létrejött, már „lekéste” a felvilágosodás állameszméket ihlető múzsájának csókját. Plessner ragyogóan írja le</w:t>
      </w:r>
      <w:r w:rsidR="00236ABF">
        <w:rPr>
          <w:rFonts w:eastAsia="Calibri"/>
          <w:szCs w:val="24"/>
        </w:rPr>
        <w:t>,</w:t>
      </w:r>
      <w:r w:rsidRPr="002852A9">
        <w:rPr>
          <w:rFonts w:eastAsia="Calibri"/>
          <w:szCs w:val="24"/>
        </w:rPr>
        <w:t xml:space="preserve"> hogyan vesztette el Németország előbb a vallási, majd a filozófiai, végül a történelmi autoritásba vetett minden hitét, s vált nyitottá bámiféle új autoritást kínáló erővel szemben. Ez a kollektív szellemi identitás kiüresedéséről szóló nagy esszé nem válaszol a vezérre épülő államhoz vezető egyéni döntések, megalkuvások, árulások dilemmáira, nem teszi át terhüket a közös történelmi-szellemi folyamatokra. De megpróbálja feltárni a polgári szabadság eszméjével összefonódó politikai identitás hiányának veszélyeit. Koselleck ezért okkal nem neki címezi a „megkésettséggel” magyarázkodó történészekhez írt bírálatát, de ettől még e fogalom – a fenti értelemben – áthatja Plessner könyvét.</w:t>
      </w:r>
    </w:p>
    <w:p w14:paraId="6E39859E" w14:textId="5B4D51AF" w:rsidR="00D55A8F" w:rsidRPr="002852A9" w:rsidRDefault="00D55A8F" w:rsidP="00D55A8F">
      <w:pPr>
        <w:spacing w:line="360" w:lineRule="auto"/>
        <w:ind w:firstLine="255"/>
        <w:jc w:val="both"/>
        <w:rPr>
          <w:rFonts w:eastAsia="Calibri"/>
          <w:szCs w:val="24"/>
        </w:rPr>
      </w:pPr>
      <w:r w:rsidRPr="002852A9">
        <w:rPr>
          <w:rFonts w:eastAsia="Calibri"/>
          <w:szCs w:val="24"/>
        </w:rPr>
        <w:t>Azáltal, hogy Koselleck magával a Plessner-szöveggel egyáltalán nem vitázik, pusztán méltató szavakkal illeti azt – elsősorban</w:t>
      </w:r>
      <w:r w:rsidR="002E5B13">
        <w:rPr>
          <w:rFonts w:eastAsia="Calibri"/>
          <w:szCs w:val="24"/>
        </w:rPr>
        <w:t xml:space="preserve"> </w:t>
      </w:r>
      <w:r w:rsidRPr="002852A9">
        <w:rPr>
          <w:rFonts w:eastAsia="Calibri"/>
          <w:szCs w:val="24"/>
        </w:rPr>
        <w:t>a német föderalizmus hagyományát értékelő, jelentőségét megvilágító gondolataiért –, reflektálatlanul hagyja Plessner fő gondolatmenetét, amely éppen azon a ponton tér el igazán radikálisan Koselleckétől, ahol a legközelebb áll egymáshoz egykori fejtegetésük. A Plessner-könyvről szóló írás olvasója itt hiába várja e fontos szembenállásukra vonatkozó reflexiót.</w:t>
      </w:r>
    </w:p>
    <w:p w14:paraId="2FC801D3" w14:textId="40439E63" w:rsidR="00D55A8F" w:rsidRPr="002852A9" w:rsidRDefault="00D55A8F" w:rsidP="00D55A8F">
      <w:pPr>
        <w:spacing w:line="360" w:lineRule="auto"/>
        <w:ind w:firstLine="255"/>
        <w:jc w:val="both"/>
        <w:rPr>
          <w:rFonts w:eastAsia="Calibri"/>
          <w:szCs w:val="24"/>
        </w:rPr>
      </w:pPr>
      <w:r w:rsidRPr="002852A9">
        <w:rPr>
          <w:rFonts w:eastAsia="Calibri"/>
          <w:szCs w:val="24"/>
        </w:rPr>
        <w:t xml:space="preserve">A </w:t>
      </w:r>
      <w:r w:rsidRPr="002852A9">
        <w:rPr>
          <w:rFonts w:eastAsia="Calibri"/>
          <w:i/>
          <w:iCs/>
          <w:szCs w:val="24"/>
        </w:rPr>
        <w:t>Kritik und Krise</w:t>
      </w:r>
      <w:r w:rsidRPr="002852A9">
        <w:rPr>
          <w:rFonts w:eastAsia="Calibri"/>
          <w:szCs w:val="24"/>
        </w:rPr>
        <w:t xml:space="preserve"> a harmincéves háborútól a francia forradalomig tartó nagy korszak európai eszmetörténetének természetesen sokfelől értelmezhető nagyszerű panorámája. A totalitárius rendszerek tombolása, s a második világháború után, az atompusztítással fenyegető hidegháború idején Koselleck a kizárólagos ideológiák veszélyére figyelmeztet, amelyek a társadalom túlélését biztosítani törekvő, pragmatikus, alapvetően kompromisszumra épülő államrezon helyére léptek. Történelmi tanulmánya azt kísérli meg bemutatni, hogyan vezettek el a vallási polgárháborúk pusztítása által végül kikényszerített józan konszolidáció kompromisszumát felmondó, radikális eszmék új európai polgárháborúkhoz, a „régi Európa” </w:t>
      </w:r>
      <w:r w:rsidRPr="002852A9">
        <w:rPr>
          <w:rFonts w:eastAsia="Calibri"/>
          <w:szCs w:val="24"/>
        </w:rPr>
        <w:lastRenderedPageBreak/>
        <w:t xml:space="preserve">lerombolódásához. Azt hiszem, egész további szemléletét meghatározta a </w:t>
      </w:r>
      <w:r w:rsidRPr="002852A9">
        <w:rPr>
          <w:rFonts w:eastAsia="Calibri"/>
          <w:i/>
          <w:iCs/>
          <w:szCs w:val="24"/>
        </w:rPr>
        <w:t>Kritika és válság</w:t>
      </w:r>
      <w:r w:rsidRPr="002852A9">
        <w:rPr>
          <w:rFonts w:eastAsia="Calibri"/>
          <w:szCs w:val="24"/>
        </w:rPr>
        <w:t xml:space="preserve"> elemzése. A most csak utalásszerűen említhető, fő gondolatmenet abból indul ki, hogy a harmincéves háború minden addigi tapasztalatot felülmúló rombolásai után a szembenálló, magukat vallási irányzatokkal meghatározó táborok kivéreztek anélkül, hogy bármelyikük döntő győzelemre lett volna képes. Az Európa jelentős területeit elpusztító hosszú öldöklés után a túlélők legfőbb célja immár az élet-</w:t>
      </w:r>
      <w:r>
        <w:rPr>
          <w:rFonts w:eastAsia="Calibri"/>
          <w:szCs w:val="24"/>
        </w:rPr>
        <w:t xml:space="preserve"> </w:t>
      </w:r>
      <w:r w:rsidRPr="002852A9">
        <w:rPr>
          <w:rFonts w:eastAsia="Calibri"/>
          <w:szCs w:val="24"/>
        </w:rPr>
        <w:t>és vagyonbiztonság helyreállítás</w:t>
      </w:r>
      <w:r>
        <w:rPr>
          <w:rFonts w:eastAsia="Calibri"/>
          <w:szCs w:val="24"/>
        </w:rPr>
        <w:t>ának</w:t>
      </w:r>
      <w:r w:rsidRPr="002852A9">
        <w:rPr>
          <w:rFonts w:eastAsia="Calibri"/>
          <w:szCs w:val="24"/>
        </w:rPr>
        <w:t xml:space="preserve"> kellett le</w:t>
      </w:r>
      <w:r>
        <w:rPr>
          <w:rFonts w:eastAsia="Calibri"/>
          <w:szCs w:val="24"/>
        </w:rPr>
        <w:t>nnie</w:t>
      </w:r>
      <w:r w:rsidRPr="002852A9">
        <w:rPr>
          <w:rFonts w:eastAsia="Calibri"/>
          <w:szCs w:val="24"/>
        </w:rPr>
        <w:t>, amire csak a felek kizárólagos igazsághitének mindenáron való érvényre juttatásáról lemondó kiegyezéssel volt esély. A Vesztfáliai Béke nemcsak a fejedelmek alkuja volt, hanem egy új társadalmi berendezkedés kezdete is. A létrejövő abszolút monarchiák olyan pragmatikus államalakulatok voltak, amelyek legfőbb célja Koselleck szerint a polgárháborúk megakadályozása volt. A társadalom életét azonban csak úgy lehetett tartósan pacifikálni, hogy a politikai hatalom lemondott a hitbéli, erkölcsi, kulturális kérdésekbeli állásfoglalásról, ezekből visszavonulva, magát lényegében semlegesnek nyilvánította. Saját szerepét az igazgatásra korlátozta, abban viszont kizárólagos, abszolút hatalomra tett szert. Felszámolta a rendi társadalomra jellemző helyi politikai, jogi, fiskális, katonai szabadságok egész sorát: a bárói magánhadseregek helyére központi, királyi haderő lépett, a sokféle helyi szabályozás helyére pedig az igazgatás egész területére kiterjedő, egységes és kiszámítható logikájú állami törvénykezés, aminek a bárói, földesúri igazságszolgáltatásnak véget vető királyi bíróságok szereztek érvényt, a helyi adó- és vámszedőjogokat királyi adótörvények és adóbehajtás váltotta fel. Mindehhez hatalmas, szakszerű királyi bürokráciára és professzionális hadseregre volt szükség, ami viszont az egész államra kiterjedő állami iskolarendszert igényelt. Megszületett a modern racionális állam. Minthogy ez az állam – éppen feladata teljesítésének előfeltételeként – radikálisan elválasztva magát az egyházaktól, kivonult a vallás, az erkölcs és a kultúra területéről, e szférát teljesen átengedte alattvalóinak, akik mindinkább az állam – leg</w:t>
      </w:r>
      <w:r w:rsidR="002E5B13">
        <w:rPr>
          <w:rFonts w:eastAsia="Calibri"/>
          <w:szCs w:val="24"/>
        </w:rPr>
        <w:t>al</w:t>
      </w:r>
      <w:r w:rsidRPr="002852A9">
        <w:rPr>
          <w:rFonts w:eastAsia="Calibri"/>
          <w:szCs w:val="24"/>
        </w:rPr>
        <w:t xml:space="preserve">ábbis újonnan létrejött magánszférájukban – szabad polgáraiként tekintettek magukra. A vallási, kulturális tevékenységek, intézmények „privatizálódása” folytán egyfajta kettős hatalom bontakozott ki. Az állam abszolút hatalommal bírt az igazgatási, politikai szférában, a polgárok pedig szabad urai lettek vallási, erkölcsi, kulturális életüknek. A mindinkább terjedő felvilágosodás értelmisége kezdetben lelkesen támogatta az abszolút monarchia kialakulását, mert a rendi társadalom helyére lépő racionális berendezkedést látta benne. Az állam pedig csak ott korlátozta a kulturális szervezkedéseket, ahol azok direkt politikai ambíciókkal léptek föl (így az illuminátusok esetében – míg pl. az ettől tartózkodó szabadkőműves páholyok nyugodtan működhettek, sőt magánemberként az állam fontos képviselői is tagjai lehettek). Csakhogy – írja Koselleck – e kettős hatalom mindinkább valódi riválisokká tette a politika és </w:t>
      </w:r>
      <w:r w:rsidRPr="002852A9">
        <w:rPr>
          <w:rFonts w:eastAsia="Calibri"/>
          <w:szCs w:val="24"/>
        </w:rPr>
        <w:lastRenderedPageBreak/>
        <w:t xml:space="preserve">a kultúra reprezentánsait. Legalábbis attól kezdve, hogy az írók és filozófusok köre, a felvilágosult értelmiség egyre inkább a történelmi és tudományos haladást, az „igazságot” – az udvarral szemben a társadalmat – képviselő, a hatalmat morálisan megítélni hivatott erőnek tekintette önmagát. Éppen azt kérte számon az államon – a morál értékeinek képviseletét –, amitől való elválasztása a vallásháborúk utáni modern abszolút monarchia lényege volt. A rendi társadalom helyét lassan átvevő racionális hivatalnokállamban a politikai és kulturális szféra merev elválasztása egy ideig kioltotta ugyan a polgárháborús veszélyt, és konszolidálta a társadalmat, de épp e szétválasztás (s az ennek táborain belüli belső mozgás) alapozta meg az elkülönített szférák szembenállását, s végül ez vezetett a kulturális szférában mind korlátlanabb szabadságot élvező, mind öntudatosabb, felvilágosult polgárság politikai ambícióihoz, </w:t>
      </w:r>
      <w:r w:rsidR="002E5B13">
        <w:rPr>
          <w:rFonts w:eastAsia="Calibri"/>
          <w:szCs w:val="24"/>
        </w:rPr>
        <w:t>majd</w:t>
      </w:r>
      <w:r w:rsidR="002E5B13" w:rsidRPr="002852A9">
        <w:rPr>
          <w:rFonts w:eastAsia="Calibri"/>
          <w:szCs w:val="24"/>
        </w:rPr>
        <w:t xml:space="preserve"> </w:t>
      </w:r>
      <w:r w:rsidRPr="002852A9">
        <w:rPr>
          <w:rFonts w:eastAsia="Calibri"/>
          <w:szCs w:val="24"/>
        </w:rPr>
        <w:t xml:space="preserve">pedig az abszolút monarchia elleni lázadásához. Amivel újra előállt az a – kizárólagos igazságot maguknak igénylő eszmék gerjesztette – polgárháborús helyzet, írja, amelyből Európa máig nem tudott kilábalni. Ennek dinamikája pedig az abszolút monarchiát lerombolva nem a szabadság, hanem a totális diktatúrák térnyeréséhez, illetve e diktatúrák közötti tartós európai hánykolódáshoz vezetett. Azt hiszem, e nagy </w:t>
      </w:r>
      <w:r w:rsidRPr="002852A9">
        <w:rPr>
          <w:rFonts w:eastAsia="Calibri"/>
          <w:i/>
          <w:iCs/>
          <w:szCs w:val="24"/>
        </w:rPr>
        <w:t>történelemfilozófiai</w:t>
      </w:r>
      <w:r w:rsidRPr="002852A9">
        <w:rPr>
          <w:rFonts w:eastAsia="Calibri"/>
          <w:szCs w:val="24"/>
        </w:rPr>
        <w:t xml:space="preserve"> ívet felrajzoló társadalomdinamikai-politikai újkormagyarázat szerzője, Koselleck, a felvilágosult haladásfilozófiákban a régi Európát tönkretevő folyamat eszmei katalizátorait – tulajdonképpen bűnrészeseit – látta, s egész életében elhatárolta magát a veszedelmesnek tekintett történelemfilozófiai gondolkodástól. Miközben a 20. századi szerzők közül kevesen írták le értőbben és izgalmasabban az újkor meghatározó folyamatait, radikális újdonságának jellegzetességeit (amivel kulcsszerepet játszott a német újkor-vitákban), minden jel szerint egyben nyilvánvaló ellenszenvvel is tekintett e gyökeres változások eszmei aspektusaira. E könyve az abszolút monarchia és a „régi Európa” minden bizonnyal legokosabb modern gyászbeszéde. Éppen az újkor újdonságának mibenlétét, a múlt drámai leértékelődését elemezve alakította ki később az egyes korszakokra jellemző időfelfogások összehasonlítására szolgáló, nevezetes kategóriáit, a „tapasztalati tér” és a „várakozási horizont” fogalmait. Azt emelte ki, hogy a 18. század dereka óta mindinkább meglazult, már-már megszakadt a múlt és jövő közötti kapcsolat, hiszen a nagy és roppant gyors társadalmi, gazdasági, szellemi változások nyomán a modern ember egyre kevésbé tudott mit kezdeni a korábbi nemzedékek tapasztalataival. S amikor a felvilágosult abszolutizmus – mint egykori életmentő kompromisszum – létrejöttének kiváltó okai (s a polgárháborútól való félelem) maguk is mindinkább társadalmi feledésbe merültek, immár semmi sem állta biztosan útját a radikális eszmék hatalomra kerülésének. Bár Koselleck elemzésében nem állítja, hogy e folyamat bármiféle módon determinált lett volna, könyvében kétségkívül épp a nemes szándékú, ám </w:t>
      </w:r>
      <w:r w:rsidRPr="002852A9">
        <w:rPr>
          <w:rFonts w:eastAsia="Calibri"/>
          <w:szCs w:val="24"/>
        </w:rPr>
        <w:lastRenderedPageBreak/>
        <w:t xml:space="preserve">tendenciájukban egymás ellen ható eszmék ütközésének egyfajta tragikus </w:t>
      </w:r>
      <w:r w:rsidRPr="002852A9">
        <w:rPr>
          <w:rFonts w:eastAsia="Calibri"/>
          <w:i/>
          <w:iCs/>
          <w:szCs w:val="24"/>
        </w:rPr>
        <w:t>belső dinamikája</w:t>
      </w:r>
      <w:r w:rsidRPr="002852A9">
        <w:rPr>
          <w:rFonts w:eastAsia="Calibri"/>
          <w:szCs w:val="24"/>
        </w:rPr>
        <w:t xml:space="preserve"> bontakozik ki.</w:t>
      </w:r>
    </w:p>
    <w:p w14:paraId="26FAC635" w14:textId="4A6CDEDA" w:rsidR="000471E8" w:rsidRPr="002852A9" w:rsidRDefault="00D55A8F" w:rsidP="000471E8">
      <w:pPr>
        <w:spacing w:line="360" w:lineRule="auto"/>
        <w:ind w:firstLine="255"/>
        <w:jc w:val="both"/>
        <w:rPr>
          <w:rFonts w:eastAsia="Calibri"/>
          <w:szCs w:val="24"/>
        </w:rPr>
      </w:pPr>
      <w:r w:rsidRPr="002852A9">
        <w:rPr>
          <w:rFonts w:eastAsia="Calibri"/>
          <w:szCs w:val="24"/>
        </w:rPr>
        <w:t>S éppen ezzel a gondolattal, egy Thomas Mann idézettel kezdődik Plessner elemzése is: „Amit Önöknek szaggatott rövidséggel elbeszélek [</w:t>
      </w:r>
      <w:r>
        <w:rPr>
          <w:rFonts w:eastAsia="Calibri"/>
          <w:szCs w:val="24"/>
        </w:rPr>
        <w:t>…</w:t>
      </w:r>
      <w:r w:rsidRPr="002852A9">
        <w:rPr>
          <w:rFonts w:eastAsia="Calibri"/>
          <w:szCs w:val="24"/>
        </w:rPr>
        <w:t>] az a német bensőség története. Egyvalamit a lelkünkre köt e történet: azt, hogy nincs két Németország, egy gonosz és egy jó, hanem csak egy, melynek legjobb vonásai ördögi csel folytán gonoszba csapnak át [</w:t>
      </w:r>
      <w:r>
        <w:rPr>
          <w:rFonts w:eastAsia="Calibri"/>
          <w:szCs w:val="24"/>
        </w:rPr>
        <w:t>…</w:t>
      </w:r>
      <w:r w:rsidRPr="002852A9">
        <w:rPr>
          <w:rFonts w:eastAsia="Calibri"/>
          <w:szCs w:val="24"/>
        </w:rPr>
        <w:t>]</w:t>
      </w:r>
      <w:r w:rsidR="000471E8">
        <w:rPr>
          <w:rFonts w:eastAsia="Calibri"/>
          <w:szCs w:val="24"/>
        </w:rPr>
        <w:t>”</w:t>
      </w:r>
      <w:r w:rsidR="000471E8">
        <w:rPr>
          <w:rStyle w:val="Lbjegyzet-hivatkozs"/>
          <w:rFonts w:eastAsia="Calibri"/>
          <w:szCs w:val="24"/>
        </w:rPr>
        <w:footnoteReference w:id="5"/>
      </w:r>
      <w:r w:rsidRPr="002852A9">
        <w:rPr>
          <w:rFonts w:eastAsia="Calibri"/>
          <w:szCs w:val="24"/>
        </w:rPr>
        <w:t xml:space="preserve"> </w:t>
      </w:r>
    </w:p>
    <w:p w14:paraId="7D92AED3" w14:textId="77777777" w:rsidR="00D55A8F" w:rsidRPr="002852A9" w:rsidRDefault="00D55A8F" w:rsidP="00D55A8F">
      <w:pPr>
        <w:spacing w:line="360" w:lineRule="auto"/>
        <w:ind w:firstLine="255"/>
        <w:jc w:val="both"/>
        <w:rPr>
          <w:rFonts w:eastAsia="Calibri"/>
          <w:szCs w:val="24"/>
        </w:rPr>
      </w:pPr>
      <w:r w:rsidRPr="002852A9">
        <w:rPr>
          <w:rFonts w:eastAsia="Calibri"/>
          <w:szCs w:val="24"/>
        </w:rPr>
        <w:t xml:space="preserve">Csakhogy ezek a mondatok </w:t>
      </w:r>
      <w:r w:rsidRPr="002852A9">
        <w:rPr>
          <w:rFonts w:eastAsia="Calibri"/>
          <w:i/>
          <w:iCs/>
          <w:szCs w:val="24"/>
        </w:rPr>
        <w:t>kizárólag Németországra</w:t>
      </w:r>
      <w:r w:rsidRPr="002852A9">
        <w:rPr>
          <w:rFonts w:eastAsia="Calibri"/>
          <w:szCs w:val="24"/>
        </w:rPr>
        <w:t xml:space="preserve"> vonatkoznak, ahogyan Plessner egész elemzése is éppen Németországnak, „a német szellemnek” a többi vezető európai társadalom fejlődésétől eltérő „sorsában” keresi a totalitarizmussal szembeni védtelenség intellektuális előzményeit. A védtelenség és az ördögi csel persze nem elég a lélek elvesztéséhez, szükség van az ördöggel </w:t>
      </w:r>
      <w:r w:rsidRPr="002852A9">
        <w:rPr>
          <w:rFonts w:eastAsia="Calibri"/>
          <w:i/>
          <w:iCs/>
          <w:szCs w:val="24"/>
        </w:rPr>
        <w:t>lepaktálni kész</w:t>
      </w:r>
      <w:r w:rsidRPr="002852A9">
        <w:rPr>
          <w:rFonts w:eastAsia="Calibri"/>
          <w:szCs w:val="24"/>
        </w:rPr>
        <w:t xml:space="preserve"> polgárra, értelmiségre is. Plessner azt vizsgálja, milyen folyamatok készítették elő a paktumot. </w:t>
      </w:r>
    </w:p>
    <w:p w14:paraId="7F49D11B" w14:textId="77777777" w:rsidR="00D55A8F" w:rsidRPr="002852A9" w:rsidRDefault="00D55A8F" w:rsidP="00D55A8F">
      <w:pPr>
        <w:spacing w:line="360" w:lineRule="auto"/>
        <w:ind w:firstLine="255"/>
        <w:jc w:val="both"/>
        <w:rPr>
          <w:rFonts w:eastAsia="Calibri"/>
          <w:szCs w:val="24"/>
        </w:rPr>
      </w:pPr>
      <w:r w:rsidRPr="002852A9">
        <w:rPr>
          <w:rFonts w:eastAsia="Calibri"/>
          <w:szCs w:val="24"/>
        </w:rPr>
        <w:t>Úgy véli, a 19. században felemás módon létrejött német nemzetállam szellemi üressége, tradíciótlansága, a katolicizmus és a felvilágosodás politikai humanizmusa egyetemességeszméjétől – a Nyugattól – való idegensége okait kell feltárni.</w:t>
      </w:r>
    </w:p>
    <w:p w14:paraId="4DE7EDC5" w14:textId="77777777" w:rsidR="00D55A8F" w:rsidRPr="002852A9" w:rsidRDefault="00D55A8F" w:rsidP="00D55A8F">
      <w:pPr>
        <w:spacing w:line="360" w:lineRule="auto"/>
        <w:ind w:firstLine="255"/>
        <w:jc w:val="both"/>
        <w:rPr>
          <w:rFonts w:eastAsia="Calibri"/>
          <w:szCs w:val="24"/>
        </w:rPr>
      </w:pPr>
      <w:r w:rsidRPr="002852A9">
        <w:rPr>
          <w:rFonts w:eastAsia="Calibri"/>
          <w:szCs w:val="24"/>
        </w:rPr>
        <w:t xml:space="preserve">Két – egymással összefüggő – alapvető állítása közül az első, mint utaltam rá, így foglalható össze: Míg a Nyugat többi népénél (a spanyolok és itáliaiak kivételével) a nemzetté válás, a nemzeti identitás kialakulásának folyamata egybeesett és belsőleg összefonódott a humanizmus és a felvilágosodás eszméinek térnyerésével, és a 16–17. század e népek fejlődésének „aranykorává” lett, addig a németeknél e két folyamat nem talált egymásra. A Német-Római Birodalom fejedelemségek sokaságára tagolt struktúrája a társadalmi, politikai modernizáció útjában állt. Bár nagyszerű humanisták és felvilágosult értelmiségiek születtek a német területeken, de hiányzott az az egységes politikai erő, az a nyilvános hatalom, amely e számtalan önálló politikai alakulatból képződő, bonyolult szövetségi rendszer alapvető szellemi-politikai megújítását keresztülvihette volna. A felvilágosodás megmaradt irodalmi felvilágosodásnak, nem párosult saját politikai intézményeinek létrehozásával: a művelt polgári bensőség lett a filozófia és a zene nagyszerű teljesítményeinek forrása, s a megszülető alkotások sora a szellem belső ügye maradt. A politikai intézményrendszer a szellem embereinek </w:t>
      </w:r>
      <w:r w:rsidRPr="002852A9">
        <w:rPr>
          <w:rFonts w:eastAsia="Calibri"/>
          <w:szCs w:val="24"/>
        </w:rPr>
        <w:lastRenderedPageBreak/>
        <w:t xml:space="preserve">erőfeszítéseitől mintegy függetlenül alakult – a Birodalom területe folyton változott az egyes fejedelmek szövetségeinek alakulása, illetve a különböző háborúk következtében. Ameddig a Birodalom igazi birodalom volt – „szent német-római” identitással –, természetesen nem válhatott nemzetállammá. Amikorra a 19. század második felében Németország – korántsem egységes – politikai államként is megszületett, már lecsengett a humanizmus és felvilágosodás nagy európai hulláma, így az nem vált állam- és nemzeti önképformáló erővé, a német identitás lényegi komponensévé. Az új állam sem a régi birodalmi – nem nemzeti – identitással, sem a Nyugat felvilágosult állameszméivel nem volt folytonos. Pusztán bürokratikus, funkcionális, hatalmi értelemben volt állam, írja Plessner – állameszme nélkül. Ennek azonban korántsem a „megkésettség” az egyedüli oka. </w:t>
      </w:r>
    </w:p>
    <w:p w14:paraId="55998D3C" w14:textId="4DAE2EB5" w:rsidR="00D55A8F" w:rsidRPr="002852A9" w:rsidRDefault="00D55A8F" w:rsidP="00D55A8F">
      <w:pPr>
        <w:spacing w:line="360" w:lineRule="auto"/>
        <w:ind w:firstLine="255"/>
        <w:jc w:val="both"/>
        <w:rPr>
          <w:rFonts w:eastAsia="Calibri"/>
          <w:szCs w:val="24"/>
        </w:rPr>
      </w:pPr>
      <w:r w:rsidRPr="002852A9">
        <w:rPr>
          <w:rFonts w:eastAsia="Calibri"/>
          <w:szCs w:val="24"/>
        </w:rPr>
        <w:t>A másik fontos jellegzetesség, hogy a vallási identitás illetve megújulás sem lehetett az állam kohézióját képező közös társadalmi tradíciók forrásává. Nem csak azért, mert a reformáció nyomán az e téren sem egységes, de lényegét tekintve katolikus birodalom eltérő vallású területek szövetsége lett. A protestantizmus regionális maradt, nem válhatott általános átalakulás erejévé. Igaz, megjelenése eleve a vallásos hit magától értetődőség</w:t>
      </w:r>
      <w:r w:rsidR="00157128">
        <w:rPr>
          <w:rFonts w:eastAsia="Calibri"/>
          <w:szCs w:val="24"/>
        </w:rPr>
        <w:t>é</w:t>
      </w:r>
      <w:r w:rsidRPr="002852A9">
        <w:rPr>
          <w:rFonts w:eastAsia="Calibri"/>
          <w:szCs w:val="24"/>
        </w:rPr>
        <w:t>nek végét jelentette, mégis Anglia vagy Hollandia identitásának fontos elemévé válhatott az új vallás. De a reformáció a németek esetében azért sem szolgálhatott közös eszmét kínáló identitással, mert – szemben a puritánokkal vagy a kálvinistákkal – az egyes fejedelmekkel szövetségre lépő (s ezzel a „Zwangsstaatskirche” intézményévé váló) lutheri változatot eredetileg is politikai közömbösség jellemezte.</w:t>
      </w:r>
    </w:p>
    <w:p w14:paraId="7ECC1B7F" w14:textId="77777777" w:rsidR="00D55A8F" w:rsidRPr="002852A9" w:rsidRDefault="00D55A8F" w:rsidP="00D55A8F">
      <w:pPr>
        <w:spacing w:line="360" w:lineRule="auto"/>
        <w:ind w:firstLine="255"/>
        <w:jc w:val="both"/>
        <w:rPr>
          <w:rFonts w:eastAsia="Calibri"/>
          <w:szCs w:val="24"/>
        </w:rPr>
      </w:pPr>
      <w:r w:rsidRPr="002852A9">
        <w:rPr>
          <w:rFonts w:eastAsia="Calibri"/>
          <w:szCs w:val="24"/>
        </w:rPr>
        <w:t>A végül nem a szent birodalmi szellem jegyében álló Bécs, hanem a protestáns német Berlin vezetésével létrejött nemzetállamban – amelyben a katolicizmus izolálódott – az evangélikus vallás maga teljesen elvilágiasodott, polgári kultúrává vált, a vallási értékek körül szerveződő egyházközösségi hitélet helyett egyfelől a család, a világi hivatás, a munka, s másfelől az állam kapott patetikus – de vallási tartalmában kiürült – átszellemítést. A hit nem konfrontálódott a világi értékekkel (mint pl. Franciaországban), nem is igényelt magának szerepet a társadalom szervező eszméjének formálásában (mint pl</w:t>
      </w:r>
      <w:r>
        <w:rPr>
          <w:rFonts w:eastAsia="Calibri"/>
          <w:szCs w:val="24"/>
        </w:rPr>
        <w:t>.</w:t>
      </w:r>
      <w:r w:rsidRPr="002852A9">
        <w:rPr>
          <w:rFonts w:eastAsia="Calibri"/>
          <w:szCs w:val="24"/>
        </w:rPr>
        <w:t xml:space="preserve"> Angliában), hanem éppenséggel kielégült a mindennapi polgári lét felstilizálásában, s a kultúra – a filozófia, az irodalom, a művészet – máshol merőben szokatlan, áhitatos glorifikálásában. A német kultúra – szól Plessner nevezetes mondata – nem szekularizált kereszténységnek, hanem szekularizált lutherizmusnak tekinthető. </w:t>
      </w:r>
    </w:p>
    <w:p w14:paraId="7747DC22" w14:textId="77777777" w:rsidR="00D55A8F" w:rsidRPr="002852A9" w:rsidRDefault="00D55A8F" w:rsidP="00D55A8F">
      <w:pPr>
        <w:spacing w:line="360" w:lineRule="auto"/>
        <w:ind w:firstLine="255"/>
        <w:jc w:val="both"/>
        <w:rPr>
          <w:rFonts w:eastAsia="Calibri"/>
          <w:szCs w:val="24"/>
        </w:rPr>
      </w:pPr>
      <w:r w:rsidRPr="002852A9">
        <w:rPr>
          <w:rFonts w:eastAsia="Calibri"/>
          <w:szCs w:val="24"/>
        </w:rPr>
        <w:t xml:space="preserve">Minthogy sem a felvilágosult politikai humanizmus egyetemes polgári szabadságideálja, sem a reformáció nem képezte a katonai-bürokratikus porosz államfelfogásból létrejött Németország közös ethoszát, az nem tudta magába építeni a 1848-as romantikus-forradalmi eszméket, melyek politikai funkció nélküli poétikus gondolatokká húzódtak vissza, </w:t>
      </w:r>
      <w:r w:rsidRPr="002852A9">
        <w:rPr>
          <w:rFonts w:eastAsia="Calibri"/>
          <w:szCs w:val="24"/>
        </w:rPr>
        <w:lastRenderedPageBreak/>
        <w:t>műveltséggé, értelmiségi rezervátumlakókká. Pusztán kulturális túlélésük, csak eltakarta, hogy az államnak nincs közös eszmei bázisa.</w:t>
      </w:r>
    </w:p>
    <w:p w14:paraId="1AD4EE14" w14:textId="77777777" w:rsidR="00D55A8F" w:rsidRPr="002852A9" w:rsidRDefault="00D55A8F" w:rsidP="00D55A8F">
      <w:pPr>
        <w:spacing w:line="360" w:lineRule="auto"/>
        <w:ind w:firstLine="255"/>
        <w:jc w:val="both"/>
        <w:rPr>
          <w:rFonts w:eastAsia="Calibri"/>
          <w:szCs w:val="24"/>
        </w:rPr>
      </w:pPr>
      <w:r w:rsidRPr="002852A9">
        <w:rPr>
          <w:rFonts w:eastAsia="Calibri"/>
          <w:szCs w:val="24"/>
        </w:rPr>
        <w:t xml:space="preserve">A hegeli történelemfilozófia ugyan megkísérelte a porosz államban az egyetemes történelem racionális diadalútjának végállomását üdvözölni – talán az utolsó igyekezet volt ez a felvilágosult ész egyetemességigényének és a porosz állam eszmétlen valóságának összebékítésére –, de sem az állam nem igényelte különösebben ezt a legitimációt, sem polgárai nem tartottak igényt az üdvtörténetnek még e szekularizált, racionalizált változatára sem, s inkább a magát értéksemleges szaktudománynak tekintő historizmus, majd a még inkább tudományosnak tartott társadalombiológia s antropológia felé fordultak. Mind a historizmus, mind a szociáldarwinizmus a helyét, identitását nem találó német állam lakóinak nyugtalan önkeresése, s bár úgy tűnt, a modern tudományok, ipar és gazdaság humanizmust már nem igénylő kora, a 19. század végre a németség évszázada lesz, az ebbe vetett új hit 20. század eleji összeroppanásakor végképp nyilvánvalóvá vált, hogy az államot megtartó közös eszme helyén tátongó űrt immár </w:t>
      </w:r>
      <w:r w:rsidRPr="003F26BD">
        <w:rPr>
          <w:rFonts w:eastAsia="Calibri"/>
          <w:i/>
          <w:iCs/>
          <w:szCs w:val="24"/>
        </w:rPr>
        <w:t>bármi</w:t>
      </w:r>
      <w:r w:rsidRPr="002852A9">
        <w:rPr>
          <w:rFonts w:eastAsia="Calibri"/>
          <w:szCs w:val="24"/>
        </w:rPr>
        <w:t xml:space="preserve"> betöltheti. Legalábbis nincs semmi, ami magában a társadalom szervezetében eleve </w:t>
      </w:r>
      <w:r w:rsidRPr="002852A9">
        <w:rPr>
          <w:rFonts w:eastAsia="Calibri"/>
          <w:i/>
          <w:iCs/>
          <w:szCs w:val="24"/>
        </w:rPr>
        <w:t>közös</w:t>
      </w:r>
      <w:r w:rsidRPr="002852A9">
        <w:rPr>
          <w:rFonts w:eastAsia="Calibri"/>
          <w:szCs w:val="24"/>
        </w:rPr>
        <w:t xml:space="preserve"> ellenállást tanúsíthatna a humanista-felvilágosult szabadságeszmét nyíltan idegennek minősítő új mítoszok radikalizmusával szemben.</w:t>
      </w:r>
    </w:p>
    <w:p w14:paraId="75BE3421" w14:textId="77777777" w:rsidR="00D55A8F" w:rsidRPr="002852A9" w:rsidRDefault="00D55A8F" w:rsidP="00D55A8F">
      <w:pPr>
        <w:spacing w:line="360" w:lineRule="auto"/>
        <w:ind w:firstLine="255"/>
        <w:jc w:val="both"/>
        <w:rPr>
          <w:rFonts w:eastAsia="Calibri"/>
          <w:szCs w:val="24"/>
        </w:rPr>
      </w:pPr>
      <w:r w:rsidRPr="002852A9">
        <w:rPr>
          <w:rFonts w:eastAsia="Calibri"/>
          <w:szCs w:val="24"/>
        </w:rPr>
        <w:t xml:space="preserve">Említettem, hogy Plessner és Koselleck elemzésének közös gondolata, hogy a politikai és a kulturális szféra merev elkülönülése, valamint a múlt és a jelen, a múlt és </w:t>
      </w:r>
      <w:r w:rsidR="00372500">
        <w:rPr>
          <w:rFonts w:eastAsia="Calibri"/>
          <w:szCs w:val="24"/>
        </w:rPr>
        <w:t xml:space="preserve">a </w:t>
      </w:r>
      <w:r w:rsidRPr="002852A9">
        <w:rPr>
          <w:rFonts w:eastAsia="Calibri"/>
          <w:szCs w:val="24"/>
        </w:rPr>
        <w:t xml:space="preserve">jövő közötti kontinuitás hiánya nyit teret a radikális ideológiák számára. Ez teszi védtelenné a társadalmat egy totális evilági fordulat ígéretével szemben. Csakhogy ami az első gondolatot illeti, (1) az, amit Koselleck általános európai jelenségnek tekint, Plessner szerint speciálisan a német nemzetállami fejlődés sajátossága. (2) Míg Koselleck a felvilágosult értelmiség, a kulturális elit politikai ambícióiban, hatalomra törésében látja a radikalizmusnak megágyazó előzményt, addig Plessner éppen a német felvilágosult értelmiség politikai hatástalanságában, s mindinkább ambíciótlanságában. (3) A morális, kulturális, vallási értékekkel szemben közömbös, elidegenült bürokrata államapparátust Koselleck a társadalmi kompromisszum biztosítékának látta, Plessner szerint viszont épp a puszta államrezon üressége, a felvilágosodás ideáljai iránti teljes közömbössége tette nyíltan irracionális, titanista eszmék szabad prédájává az államot. A múlt és a jelen közötti kontinuitás eltűnésének veszélye is mindkét konzervatív szerző elemzésének kulcseleme. Bár Koselleck ezt későbbi műveiben is az újkori társadalmi, gazdasági, tudományos, vallási stb. változásoknak a korábbi évszázadok tapasztalatait leértékelő, elavulttá süllyesztő, roppant felgyorsult általános folyamatával magyarázza, Plessner pedig a „kisnémet” nemzetállam és Szent Német-Római Birodalom közötti politikai, </w:t>
      </w:r>
      <w:r w:rsidRPr="002852A9">
        <w:rPr>
          <w:rFonts w:eastAsia="Calibri"/>
          <w:szCs w:val="24"/>
        </w:rPr>
        <w:lastRenderedPageBreak/>
        <w:t>szellemi – identitásbeli – diszkontinuitással, a múltját integrálni nem tudó, múltnélkülivé vált társadalom radikális fordulatra nyitottságában egyetértenek.</w:t>
      </w:r>
    </w:p>
    <w:sectPr w:rsidR="00D55A8F" w:rsidRPr="002852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D712" w14:textId="77777777" w:rsidR="00E55B71" w:rsidRDefault="00E55B71" w:rsidP="00D55A8F">
      <w:r>
        <w:separator/>
      </w:r>
    </w:p>
  </w:endnote>
  <w:endnote w:type="continuationSeparator" w:id="0">
    <w:p w14:paraId="182D6850" w14:textId="77777777" w:rsidR="00E55B71" w:rsidRDefault="00E55B71" w:rsidP="00D5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chneidlerOS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9560" w14:textId="77777777" w:rsidR="00E55B71" w:rsidRDefault="00E55B71" w:rsidP="00D55A8F">
      <w:r>
        <w:separator/>
      </w:r>
    </w:p>
  </w:footnote>
  <w:footnote w:type="continuationSeparator" w:id="0">
    <w:p w14:paraId="03EBD35F" w14:textId="77777777" w:rsidR="00E55B71" w:rsidRDefault="00E55B71" w:rsidP="00D55A8F">
      <w:r>
        <w:continuationSeparator/>
      </w:r>
    </w:p>
  </w:footnote>
  <w:footnote w:id="1">
    <w:p w14:paraId="25A14F80" w14:textId="77777777" w:rsidR="00D55A8F" w:rsidRPr="00C37866" w:rsidRDefault="00D55A8F" w:rsidP="00D55A8F">
      <w:pPr>
        <w:pStyle w:val="Lbjegyzetszveg"/>
        <w:spacing w:line="240" w:lineRule="auto"/>
      </w:pPr>
      <w:r w:rsidRPr="00786513">
        <w:rPr>
          <w:rStyle w:val="Lbjegyzet-hivatkozs"/>
        </w:rPr>
        <w:footnoteRef/>
      </w:r>
      <w:r w:rsidRPr="00C37866">
        <w:t xml:space="preserve"> W. Kohlhammer Verlag, Stuttgart</w:t>
      </w:r>
    </w:p>
  </w:footnote>
  <w:footnote w:id="2">
    <w:p w14:paraId="3873A95B" w14:textId="77777777" w:rsidR="00D55A8F" w:rsidRPr="00C37866" w:rsidRDefault="00D55A8F" w:rsidP="00D55A8F">
      <w:pPr>
        <w:pStyle w:val="Lbjegyzetszveg"/>
        <w:spacing w:line="240" w:lineRule="auto"/>
      </w:pPr>
      <w:r w:rsidRPr="00786513">
        <w:rPr>
          <w:rStyle w:val="Lbjegyzet-hivatkozs"/>
        </w:rPr>
        <w:footnoteRef/>
      </w:r>
      <w:r w:rsidRPr="00C37866">
        <w:t xml:space="preserve"> Verlag Karl Alber, Freiburg im Breisgau</w:t>
      </w:r>
    </w:p>
  </w:footnote>
  <w:footnote w:id="3">
    <w:p w14:paraId="4834E951" w14:textId="77777777" w:rsidR="00236ABF" w:rsidRPr="003F26BD" w:rsidRDefault="00236ABF">
      <w:pPr>
        <w:pStyle w:val="Lbjegyzetszveg"/>
        <w:rPr>
          <w:lang w:val="hu-HU"/>
        </w:rPr>
      </w:pPr>
      <w:r>
        <w:rPr>
          <w:rStyle w:val="Lbjegyzet-hivatkozs"/>
        </w:rPr>
        <w:footnoteRef/>
      </w:r>
      <w:r>
        <w:t xml:space="preserve"> </w:t>
      </w:r>
      <w:r w:rsidRPr="002852A9">
        <w:rPr>
          <w:rFonts w:eastAsia="Calibri"/>
        </w:rPr>
        <w:t>Reinhart Kosellek</w:t>
      </w:r>
      <w:r>
        <w:rPr>
          <w:rFonts w:eastAsia="Calibri"/>
        </w:rPr>
        <w:t>:</w:t>
      </w:r>
      <w:r w:rsidRPr="00236ABF">
        <w:rPr>
          <w:rFonts w:eastAsia="Calibri"/>
          <w:i/>
          <w:iCs/>
        </w:rPr>
        <w:t xml:space="preserve"> </w:t>
      </w:r>
      <w:r w:rsidRPr="002852A9">
        <w:rPr>
          <w:rFonts w:eastAsia="Calibri"/>
        </w:rPr>
        <w:t>„</w:t>
      </w:r>
      <w:r w:rsidRPr="003F26BD">
        <w:rPr>
          <w:rFonts w:eastAsia="Calibri"/>
        </w:rPr>
        <w:t>Deutschland – eine verspätete Nation?</w:t>
      </w:r>
      <w:r w:rsidRPr="002852A9">
        <w:rPr>
          <w:rFonts w:eastAsia="Calibri"/>
        </w:rPr>
        <w:t>”</w:t>
      </w:r>
      <w:r>
        <w:rPr>
          <w:rFonts w:eastAsia="Calibri"/>
        </w:rPr>
        <w:t xml:space="preserve">, in: uő: </w:t>
      </w:r>
      <w:r w:rsidRPr="003F26BD">
        <w:rPr>
          <w:rFonts w:eastAsia="Calibri"/>
          <w:i/>
          <w:iCs/>
        </w:rPr>
        <w:t xml:space="preserve">Zeitschichten. Studien zur Historik, </w:t>
      </w:r>
      <w:r>
        <w:rPr>
          <w:rFonts w:eastAsia="Calibri"/>
        </w:rPr>
        <w:t xml:space="preserve">Suhrkamp Verlag, Frankfurt am Main, 2000. 359–380. o.  </w:t>
      </w:r>
    </w:p>
  </w:footnote>
  <w:footnote w:id="4">
    <w:p w14:paraId="30E7996D" w14:textId="77777777" w:rsidR="00D55A8F" w:rsidRPr="00C37866" w:rsidRDefault="00D55A8F" w:rsidP="00D55A8F">
      <w:pPr>
        <w:pStyle w:val="Lbjegyzetszveg"/>
        <w:spacing w:line="240" w:lineRule="auto"/>
      </w:pPr>
      <w:r w:rsidRPr="00786513">
        <w:rPr>
          <w:rStyle w:val="Lbjegyzet-hivatkozs"/>
        </w:rPr>
        <w:footnoteRef/>
      </w:r>
      <w:r w:rsidRPr="00C37866">
        <w:t xml:space="preserve"> Winfried Schulze: </w:t>
      </w:r>
      <w:r w:rsidRPr="00C37866">
        <w:rPr>
          <w:rFonts w:cs="Arial"/>
          <w:i/>
          <w:iCs/>
        </w:rPr>
        <w:t xml:space="preserve">Vom „Sonderweg" bis zur „Ankunft im Westen". </w:t>
      </w:r>
      <w:r w:rsidRPr="00C37866">
        <w:rPr>
          <w:i/>
          <w:iCs/>
        </w:rPr>
        <w:t>Deutschlands Stellung in Europa</w:t>
      </w:r>
      <w:r>
        <w:rPr>
          <w:i/>
          <w:iCs/>
        </w:rPr>
        <w:t>,</w:t>
      </w:r>
      <w:r w:rsidRPr="00C37866">
        <w:t xml:space="preserve"> Vortrag auf der Jahressitzung der Bayerischen Akademie der Wissenschaften am 2. 12. 2000.</w:t>
      </w:r>
    </w:p>
    <w:p w14:paraId="3FF5ABA3" w14:textId="77777777" w:rsidR="00D55A8F" w:rsidRPr="00C37866" w:rsidRDefault="00D55A8F" w:rsidP="00D55A8F">
      <w:pPr>
        <w:pStyle w:val="Lbjegyzetszveg"/>
        <w:spacing w:line="240" w:lineRule="auto"/>
      </w:pPr>
    </w:p>
  </w:footnote>
  <w:footnote w:id="5">
    <w:p w14:paraId="4EC6592A" w14:textId="77777777" w:rsidR="000471E8" w:rsidRPr="000471E8" w:rsidRDefault="000471E8" w:rsidP="000471E8">
      <w:pPr>
        <w:pStyle w:val="NormlWeb"/>
      </w:pPr>
      <w:r w:rsidRPr="003F26BD">
        <w:rPr>
          <w:rStyle w:val="Lbjegyzet-hivatkozs"/>
          <w:sz w:val="24"/>
        </w:rPr>
        <w:footnoteRef/>
      </w:r>
      <w:r w:rsidRPr="000471E8">
        <w:t xml:space="preserve"> Thomas Mann:</w:t>
      </w:r>
      <w:r w:rsidRPr="000471E8">
        <w:rPr>
          <w:rFonts w:eastAsia="Calibri"/>
        </w:rPr>
        <w:t xml:space="preserve"> </w:t>
      </w:r>
      <w:r w:rsidRPr="000471E8">
        <w:rPr>
          <w:rFonts w:eastAsia="Calibri"/>
          <w:i/>
          <w:iCs/>
        </w:rPr>
        <w:t>Deutschland und die Deutschen,</w:t>
      </w:r>
      <w:r w:rsidRPr="000471E8">
        <w:rPr>
          <w:rFonts w:eastAsia="Calibri"/>
        </w:rPr>
        <w:t xml:space="preserve"> Beszéd a 70. születésnapja alkalmából </w:t>
      </w:r>
      <w:r w:rsidRPr="00157128">
        <w:rPr>
          <w:rFonts w:eastAsia="Calibri"/>
        </w:rPr>
        <w:t>1945. május 29</w:t>
      </w:r>
      <w:r w:rsidRPr="000471E8">
        <w:rPr>
          <w:rFonts w:eastAsia="Calibri"/>
        </w:rPr>
        <w:t>-én</w:t>
      </w:r>
      <w:r w:rsidRPr="003F26BD">
        <w:rPr>
          <w:rFonts w:ascii="SchneidlerOSF" w:hAnsi="SchneidlerOSF"/>
        </w:rPr>
        <w:t xml:space="preserve"> a washingtoni Kongresszusi K</w:t>
      </w:r>
      <w:r w:rsidRPr="003F26BD">
        <w:rPr>
          <w:rFonts w:ascii="SchneidlerOSF" w:hAnsi="SchneidlerOSF" w:hint="eastAsia"/>
        </w:rPr>
        <w:t>ö</w:t>
      </w:r>
      <w:r w:rsidRPr="003F26BD">
        <w:rPr>
          <w:rFonts w:ascii="SchneidlerOSF" w:hAnsi="SchneidlerOSF"/>
        </w:rPr>
        <w:t>nyvt</w:t>
      </w:r>
      <w:r w:rsidRPr="003F26BD">
        <w:rPr>
          <w:rFonts w:ascii="SchneidlerOSF" w:hAnsi="SchneidlerOSF" w:hint="eastAsia"/>
        </w:rPr>
        <w:t>á</w:t>
      </w:r>
      <w:r w:rsidRPr="003F26BD">
        <w:rPr>
          <w:rFonts w:ascii="SchneidlerOSF" w:hAnsi="SchneidlerOSF"/>
        </w:rPr>
        <w:t xml:space="preserve">rban </w:t>
      </w:r>
      <w:r w:rsidRPr="000471E8">
        <w:rPr>
          <w:rFonts w:eastAsia="Calibri"/>
        </w:rPr>
        <w:t>tartott ünnepségen. A német szöveg 1945 októbrében jelent meg</w:t>
      </w:r>
      <w:r w:rsidRPr="003F26BD">
        <w:rPr>
          <w:rFonts w:ascii="SchneidlerOSF" w:hAnsi="SchneidlerOSF"/>
        </w:rPr>
        <w:t xml:space="preserve"> a </w:t>
      </w:r>
      <w:r w:rsidRPr="003F26BD">
        <w:rPr>
          <w:rFonts w:ascii="SchneidlerOSF" w:hAnsi="SchneidlerOSF"/>
          <w:i/>
          <w:iCs/>
        </w:rPr>
        <w:t>Die Neue Rundscha</w:t>
      </w:r>
      <w:r w:rsidR="00157128">
        <w:rPr>
          <w:rFonts w:ascii="SchneidlerOSF" w:hAnsi="SchneidlerOSF"/>
          <w:i/>
          <w:iCs/>
        </w:rPr>
        <w:t>u</w:t>
      </w:r>
      <w:r w:rsidRPr="003F26BD">
        <w:rPr>
          <w:rFonts w:ascii="SchneidlerOSF" w:hAnsi="SchneidlerOSF"/>
        </w:rPr>
        <w:t xml:space="preserve"> foly</w:t>
      </w:r>
      <w:r w:rsidRPr="003F26BD">
        <w:rPr>
          <w:rFonts w:ascii="SchneidlerOSF" w:hAnsi="SchneidlerOSF" w:hint="eastAsia"/>
        </w:rPr>
        <w:t>ó</w:t>
      </w:r>
      <w:r w:rsidRPr="003F26BD">
        <w:rPr>
          <w:rFonts w:ascii="SchneidlerOSF" w:hAnsi="SchneidlerOSF"/>
        </w:rPr>
        <w:t xml:space="preserve">iratban. </w:t>
      </w:r>
    </w:p>
    <w:p w14:paraId="2A578F01" w14:textId="77777777" w:rsidR="000471E8" w:rsidRPr="003F26BD" w:rsidRDefault="000471E8">
      <w:pPr>
        <w:pStyle w:val="Lbjegyzetszveg"/>
        <w:rPr>
          <w:rFonts w:eastAsia="Calibr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8F"/>
    <w:rsid w:val="000471E8"/>
    <w:rsid w:val="000614B1"/>
    <w:rsid w:val="000F5CD6"/>
    <w:rsid w:val="00157128"/>
    <w:rsid w:val="00236ABF"/>
    <w:rsid w:val="00242A0C"/>
    <w:rsid w:val="002C281F"/>
    <w:rsid w:val="002E5B13"/>
    <w:rsid w:val="00372500"/>
    <w:rsid w:val="003F26BD"/>
    <w:rsid w:val="0064635A"/>
    <w:rsid w:val="00983AED"/>
    <w:rsid w:val="00A42582"/>
    <w:rsid w:val="00AE0937"/>
    <w:rsid w:val="00BA6D7C"/>
    <w:rsid w:val="00D55A8F"/>
    <w:rsid w:val="00E55B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8EA8"/>
  <w15:chartTrackingRefBased/>
  <w15:docId w15:val="{2EF564AA-7405-4DBA-8FE2-9F6A1313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55A8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autoRedefine/>
    <w:uiPriority w:val="99"/>
    <w:qFormat/>
    <w:rsid w:val="00D55A8F"/>
    <w:pPr>
      <w:spacing w:line="360" w:lineRule="auto"/>
      <w:jc w:val="both"/>
    </w:pPr>
    <w:rPr>
      <w:rFonts w:eastAsia="Times New Roman"/>
      <w:color w:val="000000"/>
      <w:szCs w:val="24"/>
      <w:lang w:val="fr-CA" w:eastAsia="hu-HU"/>
    </w:rPr>
  </w:style>
  <w:style w:type="character" w:customStyle="1" w:styleId="LbjegyzetszvegChar">
    <w:name w:val="Lábjegyzetszöveg Char"/>
    <w:basedOn w:val="Bekezdsalapbettpusa"/>
    <w:link w:val="Lbjegyzetszveg"/>
    <w:uiPriority w:val="99"/>
    <w:rsid w:val="00D55A8F"/>
    <w:rPr>
      <w:rFonts w:eastAsia="Times New Roman"/>
      <w:color w:val="000000"/>
      <w:szCs w:val="24"/>
      <w:lang w:val="fr-CA" w:eastAsia="hu-HU"/>
    </w:rPr>
  </w:style>
  <w:style w:type="character" w:styleId="Lbjegyzet-hivatkozs">
    <w:name w:val="footnote reference"/>
    <w:basedOn w:val="Bekezdsalapbettpusa"/>
    <w:autoRedefine/>
    <w:uiPriority w:val="99"/>
    <w:qFormat/>
    <w:rsid w:val="00D55A8F"/>
    <w:rPr>
      <w:rFonts w:ascii="Times New Roman" w:hAnsi="Times New Roman"/>
      <w:color w:val="auto"/>
      <w:position w:val="6"/>
      <w:sz w:val="16"/>
    </w:rPr>
  </w:style>
  <w:style w:type="paragraph" w:customStyle="1" w:styleId="Cmsor1">
    <w:name w:val="Címsor #1"/>
    <w:basedOn w:val="Norml"/>
    <w:link w:val="Cmsor10"/>
    <w:qFormat/>
    <w:rsid w:val="00D55A8F"/>
    <w:pPr>
      <w:widowControl w:val="0"/>
      <w:shd w:val="clear" w:color="auto" w:fill="FFFFFF"/>
      <w:spacing w:line="360" w:lineRule="auto"/>
      <w:jc w:val="center"/>
      <w:outlineLvl w:val="0"/>
    </w:pPr>
    <w:rPr>
      <w:rFonts w:eastAsia="Times New Roman"/>
      <w:bCs/>
      <w:smallCaps/>
      <w:color w:val="000000"/>
      <w:szCs w:val="36"/>
      <w:lang w:eastAsia="hu-HU" w:bidi="hu-HU"/>
    </w:rPr>
  </w:style>
  <w:style w:type="character" w:customStyle="1" w:styleId="Cmsor10">
    <w:name w:val="Címsor #1_"/>
    <w:link w:val="Cmsor1"/>
    <w:rsid w:val="00D55A8F"/>
    <w:rPr>
      <w:rFonts w:eastAsia="Times New Roman"/>
      <w:bCs/>
      <w:smallCaps/>
      <w:color w:val="000000"/>
      <w:szCs w:val="36"/>
      <w:shd w:val="clear" w:color="auto" w:fill="FFFFFF"/>
      <w:lang w:eastAsia="hu-HU" w:bidi="hu-HU"/>
    </w:rPr>
  </w:style>
  <w:style w:type="paragraph" w:styleId="Jegyzetszveg">
    <w:name w:val="annotation text"/>
    <w:basedOn w:val="Norml"/>
    <w:link w:val="JegyzetszvegChar"/>
    <w:uiPriority w:val="99"/>
    <w:semiHidden/>
    <w:unhideWhenUsed/>
    <w:rsid w:val="00D55A8F"/>
    <w:rPr>
      <w:sz w:val="20"/>
      <w:szCs w:val="20"/>
    </w:rPr>
  </w:style>
  <w:style w:type="character" w:customStyle="1" w:styleId="JegyzetszvegChar">
    <w:name w:val="Jegyzetszöveg Char"/>
    <w:basedOn w:val="Bekezdsalapbettpusa"/>
    <w:link w:val="Jegyzetszveg"/>
    <w:uiPriority w:val="99"/>
    <w:semiHidden/>
    <w:rsid w:val="00D55A8F"/>
    <w:rPr>
      <w:sz w:val="20"/>
      <w:szCs w:val="20"/>
    </w:rPr>
  </w:style>
  <w:style w:type="character" w:styleId="Jegyzethivatkozs">
    <w:name w:val="annotation reference"/>
    <w:basedOn w:val="Bekezdsalapbettpusa"/>
    <w:uiPriority w:val="99"/>
    <w:semiHidden/>
    <w:unhideWhenUsed/>
    <w:rsid w:val="00D55A8F"/>
    <w:rPr>
      <w:sz w:val="16"/>
      <w:szCs w:val="16"/>
    </w:rPr>
  </w:style>
  <w:style w:type="paragraph" w:styleId="Buborkszveg">
    <w:name w:val="Balloon Text"/>
    <w:basedOn w:val="Norml"/>
    <w:link w:val="BuborkszvegChar"/>
    <w:uiPriority w:val="99"/>
    <w:semiHidden/>
    <w:unhideWhenUsed/>
    <w:rsid w:val="00D55A8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55A8F"/>
    <w:rPr>
      <w:rFonts w:ascii="Segoe UI" w:hAnsi="Segoe UI" w:cs="Segoe UI"/>
      <w:sz w:val="18"/>
      <w:szCs w:val="18"/>
    </w:rPr>
  </w:style>
  <w:style w:type="paragraph" w:styleId="NormlWeb">
    <w:name w:val="Normal (Web)"/>
    <w:basedOn w:val="Norml"/>
    <w:uiPriority w:val="99"/>
    <w:unhideWhenUsed/>
    <w:rsid w:val="000471E8"/>
    <w:pPr>
      <w:spacing w:before="100" w:beforeAutospacing="1" w:after="100" w:afterAutospacing="1"/>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65190">
      <w:bodyDiv w:val="1"/>
      <w:marLeft w:val="0"/>
      <w:marRight w:val="0"/>
      <w:marTop w:val="0"/>
      <w:marBottom w:val="0"/>
      <w:divBdr>
        <w:top w:val="none" w:sz="0" w:space="0" w:color="auto"/>
        <w:left w:val="none" w:sz="0" w:space="0" w:color="auto"/>
        <w:bottom w:val="none" w:sz="0" w:space="0" w:color="auto"/>
        <w:right w:val="none" w:sz="0" w:space="0" w:color="auto"/>
      </w:divBdr>
      <w:divsChild>
        <w:div w:id="453405587">
          <w:marLeft w:val="0"/>
          <w:marRight w:val="0"/>
          <w:marTop w:val="0"/>
          <w:marBottom w:val="0"/>
          <w:divBdr>
            <w:top w:val="none" w:sz="0" w:space="0" w:color="auto"/>
            <w:left w:val="none" w:sz="0" w:space="0" w:color="auto"/>
            <w:bottom w:val="none" w:sz="0" w:space="0" w:color="auto"/>
            <w:right w:val="none" w:sz="0" w:space="0" w:color="auto"/>
          </w:divBdr>
          <w:divsChild>
            <w:div w:id="217473265">
              <w:marLeft w:val="0"/>
              <w:marRight w:val="0"/>
              <w:marTop w:val="0"/>
              <w:marBottom w:val="0"/>
              <w:divBdr>
                <w:top w:val="none" w:sz="0" w:space="0" w:color="auto"/>
                <w:left w:val="none" w:sz="0" w:space="0" w:color="auto"/>
                <w:bottom w:val="none" w:sz="0" w:space="0" w:color="auto"/>
                <w:right w:val="none" w:sz="0" w:space="0" w:color="auto"/>
              </w:divBdr>
              <w:divsChild>
                <w:div w:id="16578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2851</Words>
  <Characters>19672</Characters>
  <Application>Microsoft Office Word</Application>
  <DocSecurity>0</DocSecurity>
  <Lines>163</Lines>
  <Paragraphs>44</Paragraphs>
  <ScaleCrop>false</ScaleCrop>
  <HeadingPairs>
    <vt:vector size="2" baseType="variant">
      <vt:variant>
        <vt:lpstr>Title</vt:lpstr>
      </vt:variant>
      <vt:variant>
        <vt:i4>1</vt:i4>
      </vt:variant>
    </vt:vector>
  </HeadingPairs>
  <TitlesOfParts>
    <vt:vector size="1" baseType="lpstr">
      <vt:lpstr/>
    </vt:vector>
  </TitlesOfParts>
  <Company>BTK</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Dániel Schmal</dc:creator>
  <cp:keywords/>
  <dc:description/>
  <cp:lastModifiedBy>Zelovich  Lilla</cp:lastModifiedBy>
  <cp:revision>4</cp:revision>
  <dcterms:created xsi:type="dcterms:W3CDTF">2019-10-07T16:57:00Z</dcterms:created>
  <dcterms:modified xsi:type="dcterms:W3CDTF">2021-11-01T11:15:00Z</dcterms:modified>
</cp:coreProperties>
</file>