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AE" w:rsidRPr="00504CAE" w:rsidRDefault="00504CAE" w:rsidP="00504C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CO"/>
        </w:rPr>
        <w:t>La fe:</w:t>
      </w:r>
      <w:r w:rsidRPr="00504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 naturaleza, dimensiones y aplicaciones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La fe ha acompañado al ser humano desde sus orígenes como una realidad que trasciende las fronteras de la razón y del tiempo. Es una experiencia íntima, pero también comunitaria; una actitud vital que ha sido analizada desde la filosofía, la teología, la psicología, la sociología y la antropología. Este ensayo busca ofrecer una visión amplia y multidisciplinar de la fe, explicando sus dimensiones fundamentales y distinguiendo entre fe natural y fe sobrenatural, para finalmente reflexionar sobre su vigencia en la sociedad contemporánea.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Definición general de la fe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un sentido humano, la fe puede definirse como la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confianza profunda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se deposita en personas, ideales o proyectos, aun en ausencia de certezas absolutas. No se limita a lo religioso: aparece en la confianza entre amigos, en la seguridad puesta en la ciencia o en la esperanza hacia el futuro.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un sentido religioso, la fe es la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adhesión a Dios o a lo sagrado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, acompañada de obediencia, amor y esperanza. La Biblia la define como “la certeza de lo que se espera, la convicción de lo que no se ve” (</w:t>
      </w:r>
      <w:proofErr w:type="spell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Heb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11,1), subrayando su carácter de certeza interior que supera la evidencia empírica.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Es importante distinguir tres dimensiones:</w:t>
      </w:r>
    </w:p>
    <w:p w:rsidR="00504CAE" w:rsidRPr="00504CAE" w:rsidRDefault="00504CAE" w:rsidP="00504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como confianza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: seguridad puesta en alguien o algo.</w:t>
      </w:r>
    </w:p>
    <w:p w:rsidR="00504CAE" w:rsidRPr="00504CAE" w:rsidRDefault="00504CAE" w:rsidP="00504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como creencia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: aceptación de verdades o doctrinas.</w:t>
      </w:r>
    </w:p>
    <w:p w:rsidR="00504CAE" w:rsidRPr="00504CAE" w:rsidRDefault="00504CAE" w:rsidP="00504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como adhesión racional-afectiva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: entrega de la mente y del corazón a una realidad que da sentido a la existencia.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Perspectiva filosófica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Ya en la antigüedad, los filósofos reflexionaron sobre la fe en relación con el conocimiento.</w:t>
      </w:r>
    </w:p>
    <w:p w:rsidR="00504CAE" w:rsidRPr="00504CAE" w:rsidRDefault="00504CAE" w:rsidP="00504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Platón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distinguió la </w:t>
      </w:r>
      <w:proofErr w:type="spellStart"/>
      <w:r w:rsidRPr="00504CA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dóxa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(opinión o creencia) </w:t>
      </w:r>
      <w:proofErr w:type="gram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del </w:t>
      </w:r>
      <w:r w:rsidRPr="00504CA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episteme</w:t>
      </w:r>
      <w:proofErr w:type="gram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(conocimiento verdadero). Aunque la fe no ocupaba un lugar central en su sistema, puede asociarse a la confianza en las Ideas como realidades supremas.</w:t>
      </w:r>
    </w:p>
    <w:p w:rsidR="00504CAE" w:rsidRPr="00504CAE" w:rsidRDefault="00504CAE" w:rsidP="00504C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Aristóteles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, más práctico, veía la fe como una forma de opinión que, aunque no alcanzaba la certeza de la ciencia, podía orientar la acción humana.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Edad Media,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Santo Tomás de Aquino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articuló la fe como virtud teologal, distinguiendo entre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natural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fruto de la razón humana que busca a Dios, y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sobrenatural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, don gratuito de Dios que permite creer en lo revelado. Para Tomás, la fe no contradice la razón, sino que la eleva.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modernidad,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Kierkegaard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definió como un “salto de fe”, una decisión existencial que trasciende la lógica y compromete toda la vida. En contraste,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Nietzsche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cuestionó la fe religiosa, considerándola una expresión de debilidad y de negación de la vida, propia de una moral esclava.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Perspectiva teológica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La tradición judeocristiana coloca la fe en el centro de la relación con Dios. La Biblia la presenta como confianza en la promesa divina, desde Abraham hasta los discípulos de Cristo.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teología cristiana,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Agustín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veía la fe como un acto de búsqueda: “creo para comprender”.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Santo Tomás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reafirmó su carácter de virtud teologal, mientras que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Joseph Ratzinger/Benedicto XVI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describió como encuentro personal con Cristo que transforma la existencia.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En la tradición protestante,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Martín Lutero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subrayó la fe como confianza absoluta en la gracia de Dios, sin depender de las obras.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Karl </w:t>
      </w:r>
      <w:proofErr w:type="spellStart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Barth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entendió como respuesta obediente a la Palabra de Dios, siempre iniciativa divina.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Aquí se evidencia la diferencia:</w:t>
      </w:r>
    </w:p>
    <w:p w:rsidR="00504CAE" w:rsidRPr="00504CAE" w:rsidRDefault="00504CAE" w:rsidP="00504C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natural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: confianza y apertura de la razón hacia lo trascendente.</w:t>
      </w:r>
    </w:p>
    <w:p w:rsidR="00504CAE" w:rsidRPr="00504CAE" w:rsidRDefault="00504CAE" w:rsidP="00504C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sobrenatural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: don de Dios que ilumina para creer en los misterios revelados.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Perspectiva psicológica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Desde la psicología, la fe se estudia como fuerza interior que influye en la conducta y en la resiliencia.</w:t>
      </w:r>
    </w:p>
    <w:p w:rsidR="00504CAE" w:rsidRPr="00504CAE" w:rsidRDefault="00504CAE" w:rsidP="00504C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William James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en </w:t>
      </w:r>
      <w:r w:rsidRPr="00504CA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Las variedades de la experiencia religiosa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, describió la fe como una experiencia personal capaz de generar paz interior y transformación.</w:t>
      </w:r>
    </w:p>
    <w:p w:rsidR="00504CAE" w:rsidRPr="00504CAE" w:rsidRDefault="00504CAE" w:rsidP="00504C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Viktor</w:t>
      </w:r>
      <w:proofErr w:type="spellEnd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Frankl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, sobreviviente del Holocausto, mostró cómo la fe puede sostener al hombre en medio del sufrimiento, dándole un sentido vital que va más allá del dolor.</w:t>
      </w:r>
    </w:p>
    <w:p w:rsidR="00504CAE" w:rsidRPr="00504CAE" w:rsidRDefault="00504CAE" w:rsidP="00504C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Erich Fromm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interpretó la fe no solo como religión, sino como acto de confianza activa en la vida, el amor y el futuro.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Perspectiva sociológica y antropológica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La fe no solo es personal, también cumple una función social y cultural.</w:t>
      </w:r>
    </w:p>
    <w:p w:rsidR="00504CAE" w:rsidRPr="00504CAE" w:rsidRDefault="00504CAE" w:rsidP="00504C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Émile</w:t>
      </w:r>
      <w:proofErr w:type="spellEnd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Durkheim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entendió como un elemento cohesionador de la sociedad, que da sentido colectivo y refuerza la solidaridad.</w:t>
      </w:r>
    </w:p>
    <w:p w:rsidR="00504CAE" w:rsidRPr="00504CAE" w:rsidRDefault="00504CAE" w:rsidP="00504C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Clifford</w:t>
      </w:r>
      <w:proofErr w:type="spellEnd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Geertz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analizó la fe como sistema cultural, un marco de símbolos que orienta la vida y dota de significado las experiencias humanas.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culturas orientales, la fe adopta formas distintas: la confianza en el </w:t>
      </w:r>
      <w:proofErr w:type="spellStart"/>
      <w:r w:rsidRPr="00504CA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dharma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hinduismo, o el dejarse guiar por el </w:t>
      </w:r>
      <w:r w:rsidRPr="00504CA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Tao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tradición china. En pueblos indígenas, la fe se manifiesta en la relación con la naturaleza y los espíritus, expresando una cosmovisión integradora.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 práctica de la fe natural y sobrenatural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vida diaria, la fe se concreta en múltiples actitudes y decisiones:</w:t>
      </w:r>
    </w:p>
    <w:p w:rsidR="00504CAE" w:rsidRPr="00504CAE" w:rsidRDefault="00504CAE" w:rsidP="00504C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natural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: cuando un estudiante confía en su capacidad de superación, cuando un científico cree en la validez de un método, o cuando alguien confía en la palabra de un amigo.</w:t>
      </w:r>
    </w:p>
    <w:p w:rsidR="00504CAE" w:rsidRPr="00504CAE" w:rsidRDefault="00504CAE" w:rsidP="00504C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 sobrenatural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cuando una persona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ora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medio de la dificultad, participa en los sacramentos o confía en la promesa de la vida eterna.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Ambas dimensiones no se oponen, sino que se complementan, pues la fe natural prepara el camino para la sobrenatural, y esta última da plenitud a la primera.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Perspectiva ética y existencial</w:t>
      </w:r>
    </w:p>
    <w:p w:rsidR="00504CAE" w:rsidRPr="00504CAE" w:rsidRDefault="00504CAE" w:rsidP="00504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fe impulsa al ser humano a vivir con esperanza y resiliencia, fortaleciendo la voluntad de obrar el bien. En la tradición cristiana, se une inseparablemente a la 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esperanza y la caridad</w:t>
      </w: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, formando el núcleo de las virtudes teologales. Existencialmente, la fe permite al hombre afirmarse en medio de la incertidumbre y proyectar su vida hacia un futuro con sentido.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lastRenderedPageBreak/>
        <w:t>Taller 1:</w:t>
      </w:r>
      <w:r w:rsidRPr="00504C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Naturaleza y dimensiones de la fe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(esta primera parte será revisada la semana del 7 de octubre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diferencia la fe natural de la fe sobrenatural según Santo Tomás de Aquino? Da un ejemplo concreto de cada una.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significa la definición bíblica de fe en </w:t>
      </w:r>
      <w:proofErr w:type="gram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Hebreos</w:t>
      </w:r>
      <w:proofErr w:type="gram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11:1 y cómo se aplica a la vida cotidiana actual?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Kierkegaard habla de un “salto de fe”? ¿En qué situaciones de la vida actual podríamos aplicar esta idea?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critica Nietzsche la fe religiosa? ¿Qué argumentos ofrece y qué respuestas se han dado desde la teología cristiana?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es la relación entre fe y razón según Joseph Ratzinger/Benedicto XVI?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aportes hace </w:t>
      </w:r>
      <w:proofErr w:type="spell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Viktor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Frankl sobre la fe como sentido en medio del sufrimiento? ¿Cómo los relacionarías con tu propia experiencia o la de alguien cercano?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función cumple la fe en las culturas indígenas americanas? Menciona ejemplos de rituales o prácticas de confianza en la naturaleza.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explica </w:t>
      </w:r>
      <w:proofErr w:type="spell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Émile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Durkheim el papel de la fe en la cohesión de las sociedades? Da un ejemplo de la sociedad colombiana.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¿De qué manera el hinduismo entiende la fe en relación con el </w:t>
      </w:r>
      <w:proofErr w:type="spellStart"/>
      <w:r w:rsidRPr="00504CAE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dharma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? ¿En qué se asemeja o diferencia del cristianismo?</w:t>
      </w:r>
    </w:p>
    <w:p w:rsidR="00504CAE" w:rsidRPr="00504CAE" w:rsidRDefault="00504CAE" w:rsidP="00504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es el papel de la fe en la vida científica? ¿Puede un investigador tener fe en su proyecto sin contradecir la racionalidad?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CO"/>
        </w:rPr>
        <w:t>Marca Falso / Verdadero según la lectura del taller</w:t>
      </w:r>
    </w:p>
    <w:p w:rsidR="00504CAE" w:rsidRPr="00504CAE" w:rsidRDefault="00504CAE" w:rsidP="00504C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fe y la razón siempre se contradicen.</w:t>
      </w:r>
    </w:p>
    <w:p w:rsidR="00504CAE" w:rsidRPr="00504CAE" w:rsidRDefault="00504CAE" w:rsidP="00504C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fe natural depende del esfuerzo humano, mientras que la fe sobrenatural es un don de Dios.</w:t>
      </w:r>
    </w:p>
    <w:p w:rsidR="00504CAE" w:rsidRPr="00504CAE" w:rsidRDefault="00504CAE" w:rsidP="00504C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Para Nietzsche, la fe fortalece la vida y la voluntad de poder.</w:t>
      </w:r>
    </w:p>
    <w:p w:rsidR="00504CAE" w:rsidRPr="00504CAE" w:rsidRDefault="00504CAE" w:rsidP="00504C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CO"/>
        </w:rPr>
      </w:pPr>
      <w:proofErr w:type="spellStart"/>
      <w:r w:rsidRPr="00504CAE">
        <w:rPr>
          <w:rFonts w:ascii="Times New Roman" w:eastAsia="Times New Roman" w:hAnsi="Times New Roman" w:cs="Times New Roman"/>
          <w:b/>
          <w:bCs/>
          <w:lang w:eastAsia="es-CO"/>
        </w:rPr>
        <w:t>Viktor</w:t>
      </w:r>
      <w:proofErr w:type="spellEnd"/>
      <w:r w:rsidRPr="00504CAE">
        <w:rPr>
          <w:rFonts w:ascii="Times New Roman" w:eastAsia="Times New Roman" w:hAnsi="Times New Roman" w:cs="Times New Roman"/>
          <w:b/>
          <w:bCs/>
          <w:lang w:eastAsia="es-CO"/>
        </w:rPr>
        <w:t xml:space="preserve"> Frankl mostró que la fe puede ayudar a encontrar sentido incluso en el sufrimiento extremo.</w:t>
      </w:r>
    </w:p>
    <w:p w:rsidR="00504CAE" w:rsidRPr="00504CAE" w:rsidRDefault="00504CAE" w:rsidP="00504C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fe es solo un asunto religioso y no tiene implicaciones sociales.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2:</w:t>
      </w:r>
      <w:r w:rsidRPr="00504C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Aplicaciones y vigencia de la fe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(esta parte será revisada la semana del 21 de octubre)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vive la fe sobrenatural en la oración y los sacramentos dentro de la Iglesia católica?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aportes hizo Martín Lutero sobre la fe y cómo cambiaron la historia del cristianismo?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Karl </w:t>
      </w:r>
      <w:proofErr w:type="spell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Barth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considera que la fe es una respuesta a la Palabra de Dios?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existe entre fe, esperanza y caridad en la tradición cristiana?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interpreta Erich Fromm la fe como confianza activa? ¿Qué diferencia ves entre su propuesta y la fe religiosa?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dice </w:t>
      </w:r>
      <w:proofErr w:type="spell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Clifford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Geertz</w:t>
      </w:r>
      <w:proofErr w:type="spellEnd"/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la fe como sistema cultural y cómo se aplica a los símbolos religiosos en Colombia?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la fe puede ser considerada una virtud ética además de teológica?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desafíos enfrenta la fe en un mundo marcado por la ciencia y el escepticismo?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la fe natural ayudar a un estudiante a enfrentar el fracaso académico?</w:t>
      </w:r>
    </w:p>
    <w:p w:rsidR="00504CAE" w:rsidRPr="00504CAE" w:rsidRDefault="00504CAE" w:rsidP="00504C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la fe sobrenatural fortalecer a una persona en medio de una enfermedad grave?</w:t>
      </w:r>
    </w:p>
    <w:p w:rsidR="00504CAE" w:rsidRPr="00504CAE" w:rsidRDefault="00504CAE" w:rsidP="00504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Marca</w:t>
      </w: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Falso / Verdadero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según la lectura del texto</w:t>
      </w:r>
    </w:p>
    <w:p w:rsidR="00504CAE" w:rsidRPr="00504CAE" w:rsidRDefault="00504CAE" w:rsidP="00504C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Martín Lutero defendía que la fe se complementa con las obras para alcanzar la salvación.</w:t>
      </w:r>
      <w:r w:rsidR="00ED61E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  )</w:t>
      </w:r>
    </w:p>
    <w:p w:rsidR="00504CAE" w:rsidRPr="00504CAE" w:rsidRDefault="00504CAE" w:rsidP="00504C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fe sobrenatural permite aceptar verdades reveladas que la razón por sí sola no alcanza.</w:t>
      </w:r>
      <w:r w:rsidR="00ED61E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  )</w:t>
      </w:r>
    </w:p>
    <w:p w:rsidR="00504CAE" w:rsidRPr="00504CAE" w:rsidRDefault="00504CAE" w:rsidP="00504C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Erich Fromm entiende la fe únicamente como adhesión religiosa.</w:t>
      </w:r>
      <w:r w:rsidR="00ED61E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  )</w:t>
      </w:r>
    </w:p>
    <w:p w:rsidR="00504CAE" w:rsidRPr="00504CAE" w:rsidRDefault="00504CAE" w:rsidP="00504C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fe puede tener consecuencias prácticas en la vida social, cultural y política.</w:t>
      </w:r>
      <w:r w:rsidR="00ED61E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  )</w:t>
      </w:r>
    </w:p>
    <w:p w:rsidR="00EE3243" w:rsidRPr="00ED61EC" w:rsidRDefault="00504CAE" w:rsidP="00C03EE3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04CAE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fe sobrenatural siempre elimina toda duda y cuestionamiento.</w:t>
      </w:r>
      <w:r w:rsidR="00ED61EC" w:rsidRPr="00ED61E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  )</w:t>
      </w:r>
      <w:bookmarkStart w:id="0" w:name="_GoBack"/>
      <w:bookmarkEnd w:id="0"/>
    </w:p>
    <w:sectPr w:rsidR="00EE3243" w:rsidRPr="00ED61EC" w:rsidSect="00504C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8D3"/>
    <w:multiLevelType w:val="multilevel"/>
    <w:tmpl w:val="B622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D6567"/>
    <w:multiLevelType w:val="multilevel"/>
    <w:tmpl w:val="EC64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A69E3"/>
    <w:multiLevelType w:val="multilevel"/>
    <w:tmpl w:val="E5F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D6783"/>
    <w:multiLevelType w:val="multilevel"/>
    <w:tmpl w:val="A42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45316"/>
    <w:multiLevelType w:val="multilevel"/>
    <w:tmpl w:val="831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46799"/>
    <w:multiLevelType w:val="multilevel"/>
    <w:tmpl w:val="646C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E6124"/>
    <w:multiLevelType w:val="multilevel"/>
    <w:tmpl w:val="E998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772F4"/>
    <w:multiLevelType w:val="multilevel"/>
    <w:tmpl w:val="88A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B2F3D"/>
    <w:multiLevelType w:val="multilevel"/>
    <w:tmpl w:val="0D3E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6674A"/>
    <w:multiLevelType w:val="multilevel"/>
    <w:tmpl w:val="98F2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AE"/>
    <w:rsid w:val="00504CAE"/>
    <w:rsid w:val="00ED61EC"/>
    <w:rsid w:val="00E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CB52"/>
  <w15:chartTrackingRefBased/>
  <w15:docId w15:val="{582BE0B8-8ED2-4838-B0D5-D99A9F7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2025-09-22T00:10:00Z</cp:lastPrinted>
  <dcterms:created xsi:type="dcterms:W3CDTF">2025-09-22T00:02:00Z</dcterms:created>
  <dcterms:modified xsi:type="dcterms:W3CDTF">2025-09-22T00:15:00Z</dcterms:modified>
</cp:coreProperties>
</file>