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94.5454545454545" w:lineRule="auto"/>
        <w:rPr/>
      </w:pPr>
      <w:r w:rsidDel="00000000" w:rsidR="00000000" w:rsidRPr="00000000">
        <w:rPr>
          <w:rtl w:val="0"/>
        </w:rPr>
        <w:t xml:space="preserve">Quelques extraits volet économique</w:t>
      </w:r>
    </w:p>
    <w:p w:rsidR="00000000" w:rsidDel="00000000" w:rsidP="00000000" w:rsidRDefault="00000000" w:rsidRPr="00000000" w14:paraId="00000002">
      <w:pPr>
        <w:spacing w:line="294.5454545454545" w:lineRule="auto"/>
        <w:rPr/>
      </w:pPr>
      <w:r w:rsidDel="00000000" w:rsidR="00000000" w:rsidRPr="00000000">
        <w:rPr>
          <w:rtl w:val="0"/>
        </w:rPr>
      </w:r>
    </w:p>
    <w:p w:rsidR="00000000" w:rsidDel="00000000" w:rsidP="00000000" w:rsidRDefault="00000000" w:rsidRPr="00000000" w14:paraId="00000003">
      <w:pPr>
        <w:spacing w:line="294.5454545454545" w:lineRule="auto"/>
        <w:rPr/>
      </w:pPr>
      <w:hyperlink r:id="rId6">
        <w:r w:rsidDel="00000000" w:rsidR="00000000" w:rsidRPr="00000000">
          <w:rPr>
            <w:rFonts w:ascii="Verdana" w:cs="Verdana" w:eastAsia="Verdana" w:hAnsi="Verdana"/>
            <w:b w:val="1"/>
            <w:bCs w:val="1"/>
            <w:color w:val="300000"/>
            <w:sz w:val="21"/>
            <w:szCs w:val="21"/>
            <w:highlight w:val="white"/>
            <w:rtl w:val="0"/>
          </w:rPr>
          <w:t xml:space="preserve">Julie Gascon</w:t>
        </w:r>
      </w:hyperlink>
      <w:r w:rsidDel="00000000" w:rsidR="00000000" w:rsidRPr="00000000">
        <w:rPr>
          <w:rFonts w:ascii="Verdana" w:cs="Verdana" w:eastAsia="Verdana" w:hAnsi="Verdana"/>
          <w:b w:val="1"/>
          <w:bCs w:val="1"/>
          <w:color w:val="333333"/>
          <w:sz w:val="21"/>
          <w:szCs w:val="21"/>
          <w:highlight w:val="white"/>
          <w:rtl w:val="0"/>
        </w:rPr>
        <w:t xml:space="preserv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Le projet de Contrecœur créera 3 770 emplois par année durant la construction et plus de 10 000 emplois pour la gestion de ses activités, et il soutiendra près de 400 000 emplois grâce aux marchandises qui y transiteront. Le projet utilisera notamment des matériaux canadiens et s'appuiera sur des infrastructures existantes, à savoir le réseau ferroviaire et l'autoroute 30, deux infrastructures qui donnent accès à 66 % de la population canadienne et à 75 % de la capacité manufacturière du pays.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94.5454545454545" w:lineRule="auto"/>
        <w:rPr>
          <w:rFonts w:ascii="Verdana" w:cs="Verdana" w:eastAsia="Verdana" w:hAnsi="Verdana"/>
          <w:b w:val="1"/>
          <w:bCs w:val="1"/>
          <w:color w:val="333333"/>
          <w:sz w:val="21"/>
          <w:szCs w:val="21"/>
          <w:highlight w:val="white"/>
        </w:rPr>
      </w:pPr>
      <w:hyperlink r:id="rId7">
        <w:r w:rsidDel="00000000" w:rsidR="00000000" w:rsidRPr="00000000">
          <w:rPr>
            <w:rFonts w:ascii="Verdana" w:cs="Verdana" w:eastAsia="Verdana" w:hAnsi="Verdana"/>
            <w:b w:val="1"/>
            <w:bCs w:val="1"/>
            <w:color w:val="300000"/>
            <w:sz w:val="21"/>
            <w:szCs w:val="21"/>
            <w:highlight w:val="white"/>
            <w:rtl w:val="0"/>
          </w:rPr>
          <w:t xml:space="preserve">Julie Gascon</w:t>
        </w:r>
      </w:hyperlink>
      <w:r w:rsidDel="00000000" w:rsidR="00000000" w:rsidRPr="00000000">
        <w:rPr>
          <w:rFonts w:ascii="Verdana" w:cs="Verdana" w:eastAsia="Verdana" w:hAnsi="Verdana"/>
          <w:b w:val="1"/>
          <w:bCs w:val="1"/>
          <w:color w:val="333333"/>
          <w:sz w:val="21"/>
          <w:szCs w:val="21"/>
          <w:highlight w:val="white"/>
          <w:rtl w:val="0"/>
        </w:rPr>
        <w:t xml:space="preserve">:</w:t>
      </w:r>
    </w:p>
    <w:p w:rsidR="00000000" w:rsidDel="00000000" w:rsidP="00000000" w:rsidRDefault="00000000" w:rsidRPr="00000000" w14:paraId="00000007">
      <w:pPr>
        <w:spacing w:line="294.5454545454545" w:lineRule="auto"/>
        <w:rPr>
          <w:rFonts w:ascii="Verdana" w:cs="Verdana" w:eastAsia="Verdana" w:hAnsi="Verdana"/>
          <w:color w:val="333333"/>
          <w:sz w:val="21"/>
          <w:szCs w:val="21"/>
          <w:highlight w:val="white"/>
        </w:rPr>
      </w:pPr>
      <w:r w:rsidDel="00000000" w:rsidR="00000000" w:rsidRPr="00000000">
        <w:rPr>
          <w:rFonts w:ascii="Verdana" w:cs="Verdana" w:eastAsia="Verdana" w:hAnsi="Verdana"/>
          <w:color w:val="333333"/>
          <w:sz w:val="21"/>
          <w:szCs w:val="21"/>
          <w:highlight w:val="white"/>
          <w:rtl w:val="0"/>
        </w:rPr>
        <w:t xml:space="preserve">    Pour ce qui est des retombées économiques du projet d'expansion de Contrecœur, pendant la construction, il s'agit de 3 770 emplois. Une fois que le terminal sera en service, il créera 10 000 emplois et soutiendra plus de 400 000 emplois.</w:t>
      </w:r>
    </w:p>
    <w:p w:rsidR="00000000" w:rsidDel="00000000" w:rsidP="00000000" w:rsidRDefault="00000000" w:rsidRPr="00000000" w14:paraId="00000008">
      <w:pPr>
        <w:spacing w:line="294.5454545454545" w:lineRule="auto"/>
        <w:rPr>
          <w:rFonts w:ascii="Verdana" w:cs="Verdana" w:eastAsia="Verdana" w:hAnsi="Verdana"/>
          <w:color w:val="333333"/>
          <w:sz w:val="21"/>
          <w:szCs w:val="21"/>
          <w:highlight w:val="white"/>
        </w:rPr>
      </w:pPr>
      <w:r w:rsidDel="00000000" w:rsidR="00000000" w:rsidRPr="00000000">
        <w:rPr>
          <w:rFonts w:ascii="Verdana" w:cs="Verdana" w:eastAsia="Verdana" w:hAnsi="Verdana"/>
          <w:color w:val="333333"/>
          <w:sz w:val="21"/>
          <w:szCs w:val="21"/>
          <w:highlight w:val="white"/>
          <w:rtl w:val="0"/>
        </w:rPr>
        <w:t xml:space="preserve">    Ce que cette première phase du projet de Contrecœur apporte, c'est d'augmenter de 60 % la capacité du port de Montréal. La capacité du terminal sera de 1,15 million d'équivalent 20 pieds, ou EVP, qui est l'unité de mesure des conteneurs.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94.5454545454545" w:lineRule="auto"/>
        <w:rPr>
          <w:rFonts w:ascii="Verdana" w:cs="Verdana" w:eastAsia="Verdana" w:hAnsi="Verdana"/>
          <w:b w:val="1"/>
          <w:bCs w:val="1"/>
          <w:color w:val="333333"/>
          <w:sz w:val="21"/>
          <w:szCs w:val="21"/>
          <w:highlight w:val="white"/>
        </w:rPr>
      </w:pPr>
      <w:hyperlink r:id="rId8">
        <w:r w:rsidDel="00000000" w:rsidR="00000000" w:rsidRPr="00000000">
          <w:rPr>
            <w:rFonts w:ascii="Verdana" w:cs="Verdana" w:eastAsia="Verdana" w:hAnsi="Verdana"/>
            <w:b w:val="1"/>
            <w:bCs w:val="1"/>
            <w:color w:val="300000"/>
            <w:sz w:val="21"/>
            <w:szCs w:val="21"/>
            <w:highlight w:val="white"/>
            <w:rtl w:val="0"/>
          </w:rPr>
          <w:t xml:space="preserve">Julien Baudry</w:t>
        </w:r>
      </w:hyperlink>
      <w:r w:rsidDel="00000000" w:rsidR="00000000" w:rsidRPr="00000000">
        <w:rPr>
          <w:rFonts w:ascii="Verdana" w:cs="Verdana" w:eastAsia="Verdana" w:hAnsi="Verdana"/>
          <w:b w:val="1"/>
          <w:bCs w:val="1"/>
          <w:color w:val="333333"/>
          <w:sz w:val="21"/>
          <w:szCs w:val="21"/>
          <w:highlight w:val="white"/>
          <w:rtl w:val="0"/>
        </w:rPr>
        <w:t xml:space="preserve">:</w:t>
      </w:r>
    </w:p>
    <w:p w:rsidR="00000000" w:rsidDel="00000000" w:rsidP="00000000" w:rsidRDefault="00000000" w:rsidRPr="00000000" w14:paraId="0000000B">
      <w:pPr>
        <w:spacing w:line="294.5454545454545" w:lineRule="auto"/>
        <w:rPr>
          <w:rFonts w:ascii="Verdana" w:cs="Verdana" w:eastAsia="Verdana" w:hAnsi="Verdana"/>
          <w:color w:val="333333"/>
          <w:sz w:val="21"/>
          <w:szCs w:val="21"/>
          <w:highlight w:val="white"/>
        </w:rPr>
      </w:pPr>
      <w:r w:rsidDel="00000000" w:rsidR="00000000" w:rsidRPr="00000000">
        <w:rPr>
          <w:rFonts w:ascii="Verdana" w:cs="Verdana" w:eastAsia="Verdana" w:hAnsi="Verdana"/>
          <w:color w:val="333333"/>
          <w:sz w:val="21"/>
          <w:szCs w:val="21"/>
          <w:highlight w:val="white"/>
          <w:rtl w:val="0"/>
        </w:rPr>
        <w:t xml:space="preserve">    Brièvement, les premiers à bénéficier de ce terminal seront les exportateurs de la Rive-Sud de Montréal. Six cents exportateurs sont situés près du port de Montréal et du futur terminal. Les entreprises agricoles de la Rive-Sud en bénéficieront, car il faut garder à l'esprit que 35 % du volume au port de Montréal est en réalité de la nourriture, et nous avons un excédent commercial avec de nombreux pays et régions du monde.</w:t>
      </w:r>
    </w:p>
    <w:p w:rsidR="00000000" w:rsidDel="00000000" w:rsidP="00000000" w:rsidRDefault="00000000" w:rsidRPr="00000000" w14:paraId="0000000C">
      <w:pPr>
        <w:spacing w:line="294.5454545454545" w:lineRule="auto"/>
        <w:rPr>
          <w:rFonts w:ascii="Verdana" w:cs="Verdana" w:eastAsia="Verdana" w:hAnsi="Verdana"/>
          <w:color w:val="333333"/>
          <w:sz w:val="21"/>
          <w:szCs w:val="21"/>
          <w:highlight w:val="white"/>
        </w:rPr>
      </w:pPr>
      <w:r w:rsidDel="00000000" w:rsidR="00000000" w:rsidRPr="00000000">
        <w:rPr>
          <w:rFonts w:ascii="Verdana" w:cs="Verdana" w:eastAsia="Verdana" w:hAnsi="Verdana"/>
          <w:color w:val="333333"/>
          <w:sz w:val="21"/>
          <w:szCs w:val="21"/>
          <w:highlight w:val="white"/>
          <w:rtl w:val="0"/>
        </w:rPr>
        <w:t xml:space="preserve">    Vous ne trouverez pas sur ce continent un port qui a une balance commerciale positive avec l'Asie, et pourtant c'est notre cas, puisque 70 % des échanges avec l'Asie au port de Montréal sont des exportations, alors que 30 % sont des importations. Dans les faits, notre premier partenaire commercial est l'Inde. Nous diversifions et renforçons nos relations commerciales avec l'Europe et les marchés de l'avenir comme l'Afrique et l'Asie du Sud-Est. Ce projet permettra aux récents accords commerciaux de profiter à nos travailleurs et à nos entreprises.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294.5454545454545" w:lineRule="auto"/>
        <w:rPr>
          <w:rFonts w:ascii="Verdana" w:cs="Verdana" w:eastAsia="Verdana" w:hAnsi="Verdana"/>
          <w:b w:val="1"/>
          <w:bCs w:val="1"/>
          <w:color w:val="333333"/>
          <w:sz w:val="21"/>
          <w:szCs w:val="21"/>
          <w:highlight w:val="white"/>
        </w:rPr>
      </w:pPr>
      <w:hyperlink r:id="rId9">
        <w:r w:rsidDel="00000000" w:rsidR="00000000" w:rsidRPr="00000000">
          <w:rPr>
            <w:rFonts w:ascii="Verdana" w:cs="Verdana" w:eastAsia="Verdana" w:hAnsi="Verdana"/>
            <w:b w:val="1"/>
            <w:bCs w:val="1"/>
            <w:color w:val="300000"/>
            <w:sz w:val="21"/>
            <w:szCs w:val="21"/>
            <w:highlight w:val="white"/>
            <w:rtl w:val="0"/>
          </w:rPr>
          <w:t xml:space="preserve">Julien Baudry</w:t>
        </w:r>
      </w:hyperlink>
      <w:r w:rsidDel="00000000" w:rsidR="00000000" w:rsidRPr="00000000">
        <w:rPr>
          <w:rFonts w:ascii="Verdana" w:cs="Verdana" w:eastAsia="Verdana" w:hAnsi="Verdana"/>
          <w:b w:val="1"/>
          <w:bCs w:val="1"/>
          <w:color w:val="333333"/>
          <w:sz w:val="21"/>
          <w:szCs w:val="21"/>
          <w:highlight w:val="white"/>
          <w:rtl w:val="0"/>
        </w:rPr>
        <w:t xml:space="preserve">:</w:t>
      </w:r>
    </w:p>
    <w:p w:rsidR="00000000" w:rsidDel="00000000" w:rsidP="00000000" w:rsidRDefault="00000000" w:rsidRPr="00000000" w14:paraId="0000000F">
      <w:pPr>
        <w:spacing w:line="294.5454545454545" w:lineRule="auto"/>
        <w:rPr>
          <w:rFonts w:ascii="Verdana" w:cs="Verdana" w:eastAsia="Verdana" w:hAnsi="Verdana"/>
          <w:color w:val="333333"/>
          <w:sz w:val="21"/>
          <w:szCs w:val="21"/>
          <w:highlight w:val="white"/>
        </w:rPr>
      </w:pPr>
      <w:r w:rsidDel="00000000" w:rsidR="00000000" w:rsidRPr="00000000">
        <w:rPr>
          <w:rFonts w:ascii="Verdana" w:cs="Verdana" w:eastAsia="Verdana" w:hAnsi="Verdana"/>
          <w:color w:val="333333"/>
          <w:sz w:val="21"/>
          <w:szCs w:val="21"/>
          <w:highlight w:val="white"/>
          <w:rtl w:val="0"/>
        </w:rPr>
        <w:t xml:space="preserve">    Bien sûr. Nous vous en ferons parvenir un résumé. Les effets bénéfiques se feront sentir non seulement au Québec, mais aussi en Ontario. Fait important, le marché québécois compte pour 50 % du volume au port de Montréal et le marché ontarien pour 30 %. Les Prairies et le Midwest font aussi partie du lot, mais 90 % des retombées économiques du port de Montréal profitent au Canada. Non seulement des emplois bien rémunérés y seront-ils créés, mais la chaîne d'approvisionnement sera également plus résiliente.</w:t>
      </w:r>
    </w:p>
    <w:p w:rsidR="00000000" w:rsidDel="00000000" w:rsidP="00000000" w:rsidRDefault="00000000" w:rsidRPr="00000000" w14:paraId="00000010">
      <w:pPr>
        <w:spacing w:line="294.5454545454545" w:lineRule="auto"/>
        <w:rPr/>
      </w:pPr>
      <w:r w:rsidDel="00000000" w:rsidR="00000000" w:rsidRPr="00000000">
        <w:rPr>
          <w:rFonts w:ascii="Verdana" w:cs="Verdana" w:eastAsia="Verdana" w:hAnsi="Verdana"/>
          <w:color w:val="333333"/>
          <w:sz w:val="21"/>
          <w:szCs w:val="21"/>
          <w:highlight w:val="white"/>
          <w:rtl w:val="0"/>
        </w:rPr>
        <w:t xml:space="preserve"> </w:t>
        <w:tab/>
        <w:t xml:space="preserve">Nous serions très heureux de vous faire part de cette analyse.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ourcommons.ca/ParlDataWidgets/fr/intervention/13236662" TargetMode="External"/><Relationship Id="rId5" Type="http://schemas.openxmlformats.org/officeDocument/2006/relationships/styles" Target="styles.xml"/><Relationship Id="rId6" Type="http://schemas.openxmlformats.org/officeDocument/2006/relationships/hyperlink" Target="https://apps.ourcommons.ca/ParlDataWidgets/fr/intervention/13236330" TargetMode="External"/><Relationship Id="rId7" Type="http://schemas.openxmlformats.org/officeDocument/2006/relationships/hyperlink" Target="https://apps.ourcommons.ca/ParlDataWidgets/fr/intervention/13236330" TargetMode="External"/><Relationship Id="rId8" Type="http://schemas.openxmlformats.org/officeDocument/2006/relationships/hyperlink" Target="https://apps.ourcommons.ca/ParlDataWidgets/fr/intervention/13236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