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5598"/>
      </w:tblGrid>
      <w:tr w:rsidR="003172E6" w:rsidRPr="003172E6" w14:paraId="720EB90D" w14:textId="77777777" w:rsidTr="003172E6">
        <w:tc>
          <w:tcPr>
            <w:tcW w:w="2009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3172E6" w:rsidRPr="003172E6" w14:paraId="487C61C2" w14:textId="77777777">
              <w:tc>
                <w:tcPr>
                  <w:tcW w:w="0" w:type="auto"/>
                  <w:tcMar>
                    <w:top w:w="180" w:type="dxa"/>
                    <w:left w:w="900" w:type="dxa"/>
                    <w:bottom w:w="180" w:type="dxa"/>
                    <w:right w:w="0" w:type="dxa"/>
                  </w:tcMar>
                  <w:hideMark/>
                </w:tcPr>
                <w:p w14:paraId="25BC6BB2" w14:textId="77777777" w:rsidR="003172E6" w:rsidRPr="003172E6" w:rsidRDefault="003172E6" w:rsidP="003172E6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en-GB"/>
                      <w14:ligatures w14:val="none"/>
                    </w:rPr>
                  </w:pPr>
                  <w:r w:rsidRPr="003172E6">
                    <w:rPr>
                      <w:rFonts w:ascii="Calibri" w:eastAsia="Times New Roman" w:hAnsi="Calibri" w:cs="Calibri"/>
                      <w:noProof/>
                      <w:kern w:val="0"/>
                      <w:lang w:eastAsia="en-GB"/>
                      <w14:ligatures w14:val="none"/>
                    </w:rPr>
                    <w:drawing>
                      <wp:inline distT="0" distB="0" distL="0" distR="0" wp14:anchorId="39DE192A" wp14:editId="62B29E05">
                        <wp:extent cx="1816735" cy="692150"/>
                        <wp:effectExtent l="0" t="0" r="0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735" cy="69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BF1E00" w14:textId="77777777" w:rsidR="003172E6" w:rsidRPr="003172E6" w:rsidRDefault="003172E6" w:rsidP="00317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91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8"/>
            </w:tblGrid>
            <w:tr w:rsidR="003172E6" w:rsidRPr="003172E6" w14:paraId="6DC5981B" w14:textId="77777777">
              <w:tc>
                <w:tcPr>
                  <w:tcW w:w="0" w:type="auto"/>
                  <w:tcMar>
                    <w:top w:w="450" w:type="dxa"/>
                    <w:left w:w="600" w:type="dxa"/>
                    <w:bottom w:w="300" w:type="dxa"/>
                    <w:right w:w="9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8"/>
                  </w:tblGrid>
                  <w:tr w:rsidR="003172E6" w:rsidRPr="003172E6" w14:paraId="005354FC" w14:textId="77777777">
                    <w:tc>
                      <w:tcPr>
                        <w:tcW w:w="0" w:type="auto"/>
                        <w:tcBorders>
                          <w:top w:val="single" w:sz="12" w:space="0" w:color="FFFFFF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CEECDA0" w14:textId="77777777" w:rsidR="003172E6" w:rsidRPr="003172E6" w:rsidRDefault="003172E6" w:rsidP="003172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17F00391" w14:textId="77777777" w:rsidR="003172E6" w:rsidRPr="003172E6" w:rsidRDefault="003172E6" w:rsidP="00317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5069487D" w14:textId="77777777" w:rsidR="003172E6" w:rsidRPr="003172E6" w:rsidRDefault="003172E6" w:rsidP="003172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172E6" w14:paraId="467F10DC" w14:textId="77777777" w:rsidTr="003172E6">
        <w:tc>
          <w:tcPr>
            <w:tcW w:w="0" w:type="auto"/>
            <w:gridSpan w:val="2"/>
            <w:shd w:val="clear" w:color="auto" w:fill="2173EA"/>
            <w:tcMar>
              <w:top w:w="180" w:type="dxa"/>
              <w:left w:w="900" w:type="dxa"/>
              <w:bottom w:w="180" w:type="dxa"/>
              <w:right w:w="900" w:type="dxa"/>
            </w:tcMar>
            <w:hideMark/>
          </w:tcPr>
          <w:p w14:paraId="3D42CB53" w14:textId="77777777" w:rsidR="003172E6" w:rsidRDefault="003172E6">
            <w:pPr>
              <w:jc w:val="center"/>
              <w:outlineLvl w:val="1"/>
              <w:rPr>
                <w:rFonts w:ascii="DM Sans" w:eastAsia="Times New Roman" w:hAnsi="DM Sans"/>
                <w:b/>
                <w:bCs/>
                <w:color w:val="FFFFFF"/>
                <w:kern w:val="36"/>
                <w:sz w:val="72"/>
                <w:szCs w:val="72"/>
              </w:rPr>
            </w:pPr>
            <w:r>
              <w:rPr>
                <w:rFonts w:ascii="DM Sans" w:eastAsia="Times New Roman" w:hAnsi="DM Sans"/>
                <w:b/>
                <w:bCs/>
                <w:color w:val="FFFFFF"/>
                <w:kern w:val="36"/>
                <w:sz w:val="48"/>
                <w:szCs w:val="48"/>
              </w:rPr>
              <w:t>Welcome to our latest Newsletter:</w:t>
            </w:r>
            <w:r>
              <w:rPr>
                <w:rFonts w:ascii="DM Sans" w:eastAsia="Times New Roman" w:hAnsi="DM Sans"/>
                <w:b/>
                <w:bCs/>
                <w:color w:val="FFFFFF"/>
                <w:kern w:val="36"/>
                <w:sz w:val="54"/>
                <w:szCs w:val="54"/>
              </w:rPr>
              <w:br/>
              <w:t>Meeting cooling demand with low carbon solutions</w:t>
            </w:r>
          </w:p>
        </w:tc>
      </w:tr>
      <w:tr w:rsidR="003172E6" w14:paraId="5F9990D2" w14:textId="77777777" w:rsidTr="003172E6">
        <w:tc>
          <w:tcPr>
            <w:tcW w:w="0" w:type="auto"/>
            <w:gridSpan w:val="2"/>
            <w:shd w:val="clear" w:color="auto" w:fill="2173EA"/>
            <w:tcMar>
              <w:top w:w="360" w:type="dxa"/>
              <w:left w:w="900" w:type="dxa"/>
              <w:bottom w:w="360" w:type="dxa"/>
              <w:right w:w="900" w:type="dxa"/>
            </w:tcMar>
            <w:hideMark/>
          </w:tcPr>
          <w:p w14:paraId="13B69C5E" w14:textId="77777777" w:rsidR="003172E6" w:rsidRDefault="003172E6">
            <w:pPr>
              <w:rPr>
                <w:rFonts w:ascii="DM Sans" w:hAnsi="DM Sans"/>
                <w:color w:val="FFFFFF"/>
                <w:kern w:val="0"/>
                <w:sz w:val="27"/>
                <w:szCs w:val="27"/>
              </w:rPr>
            </w:pPr>
            <w:r>
              <w:rPr>
                <w:rFonts w:ascii="DM Sans" w:hAnsi="DM Sans"/>
                <w:color w:val="FFFFFF"/>
                <w:sz w:val="27"/>
                <w:szCs w:val="27"/>
              </w:rPr>
              <w:t xml:space="preserve">Our demonstration </w:t>
            </w:r>
            <w:proofErr w:type="spellStart"/>
            <w:r>
              <w:rPr>
                <w:rFonts w:ascii="DM Sans" w:hAnsi="DM Sans"/>
                <w:color w:val="FFFFFF"/>
                <w:sz w:val="27"/>
                <w:szCs w:val="27"/>
              </w:rPr>
              <w:t>EnergiVault</w:t>
            </w:r>
            <w:proofErr w:type="spellEnd"/>
            <w:r>
              <w:rPr>
                <w:rFonts w:ascii="DM Sans" w:hAnsi="DM Sans"/>
                <w:color w:val="FFFFFF"/>
                <w:sz w:val="27"/>
                <w:szCs w:val="27"/>
              </w:rPr>
              <w:t xml:space="preserve"> unit has been in situ at Quotient Sciences for 6 months, and is performing exceptionally well, beyond our expectations. We have published initial test data as part of a White Paper on meeting cooling demand with low-carbon energy. The White Paper can be accessed below.</w:t>
            </w:r>
          </w:p>
        </w:tc>
      </w:tr>
      <w:tr w:rsidR="003172E6" w14:paraId="423466D4" w14:textId="77777777" w:rsidTr="003172E6">
        <w:trPr>
          <w:hidden/>
        </w:trPr>
        <w:tc>
          <w:tcPr>
            <w:tcW w:w="0" w:type="auto"/>
            <w:gridSpan w:val="2"/>
            <w:shd w:val="clear" w:color="auto" w:fill="2173EA"/>
            <w:tcMar>
              <w:top w:w="300" w:type="dxa"/>
              <w:left w:w="900" w:type="dxa"/>
              <w:bottom w:w="300" w:type="dxa"/>
              <w:right w:w="900" w:type="dxa"/>
            </w:tcMar>
            <w:hideMark/>
          </w:tcPr>
          <w:tbl>
            <w:tblPr>
              <w:tblW w:w="42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3172E6" w14:paraId="71612DCF" w14:textId="77777777">
              <w:trPr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155BDDB" w14:textId="77777777" w:rsidR="003172E6" w:rsidRDefault="002016F1">
                  <w:pPr>
                    <w:jc w:val="center"/>
                    <w:rPr>
                      <w:rFonts w:ascii="Calibri" w:eastAsia="Times New Roman" w:hAnsi="Calibri"/>
                      <w:vanish/>
                    </w:rPr>
                  </w:pPr>
                  <w:hyperlink r:id="rId5" w:tgtFrame="_blank" w:history="1">
                    <w:r w:rsidR="003172E6">
                      <w:rPr>
                        <w:rStyle w:val="Hyperlink"/>
                        <w:rFonts w:ascii="DM Sans" w:eastAsia="Times New Roman" w:hAnsi="DM Sans"/>
                        <w:vanish/>
                        <w:color w:val="000000"/>
                        <w:sz w:val="27"/>
                        <w:szCs w:val="27"/>
                        <w:u w:val="none"/>
                        <w:bdr w:val="single" w:sz="6" w:space="12" w:color="A1BEE9" w:frame="1"/>
                        <w:shd w:val="clear" w:color="auto" w:fill="FFFFFF"/>
                      </w:rPr>
                      <w:t>View White Paper</w:t>
                    </w:r>
                  </w:hyperlink>
                </w:p>
              </w:tc>
            </w:tr>
            <w:tr w:rsidR="003172E6" w14:paraId="5502195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274155" w14:textId="0698EE03" w:rsidR="003172E6" w:rsidRDefault="003172E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E875B9C" wp14:editId="0DCCD876">
                            <wp:extent cx="2686050" cy="552450"/>
                            <wp:effectExtent l="9525" t="9525" r="9525" b="9525"/>
                            <wp:docPr id="1644798509" name="Rectangle: Rounded Corners 1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86050" cy="552450"/>
                                    </a:xfrm>
                                    <a:prstGeom prst="roundRect">
                                      <a:avLst>
                                        <a:gd name="adj" fmla="val 3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A1BEE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773471" w14:textId="77777777" w:rsidR="003172E6" w:rsidRDefault="003172E6" w:rsidP="003172E6">
                                        <w:pPr>
                                          <w:jc w:val="center"/>
                                          <w:rPr>
                                            <w:rFonts w:ascii="DM Sans" w:eastAsia="Times New Roman" w:hAnsi="DM Sans"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w:pPr>
                                        <w:r>
                                          <w:rPr>
                                            <w:rFonts w:ascii="DM Sans" w:eastAsia="Times New Roman" w:hAnsi="DM Sans"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View White Paper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E875B9C" id="Rectangle: Rounded Corners 1" o:spid="_x0000_s1026" href="https://www.o-hx.com/files/OHX-low-carbon.pdf" style="width:21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" o:button="t" strokecolor="#a1bee9">
                            <v:fill o:detectmouseclick="t"/>
                            <v:textbox>
                              <w:txbxContent>
                                <w:p w14:paraId="06773471" w14:textId="77777777" w:rsidR="003172E6" w:rsidRDefault="003172E6" w:rsidP="003172E6">
                                  <w:pPr>
                                    <w:jc w:val="center"/>
                                    <w:rPr>
                                      <w:rFonts w:ascii="DM Sans" w:eastAsia="Times New Roman" w:hAnsi="DM Sans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DM Sans" w:eastAsia="Times New Roman" w:hAnsi="DM Sans"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View White Paper 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4C93190A" w14:textId="77777777" w:rsidR="003172E6" w:rsidRDefault="00317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3AD7B7" w14:textId="77777777" w:rsidR="003172E6" w:rsidRDefault="003172E6"/>
    <w:p w14:paraId="2AD06985" w14:textId="27D0971D" w:rsidR="003172E6" w:rsidRDefault="003172E6">
      <w:r>
        <w:rPr>
          <w:rFonts w:eastAsia="Times New Roman"/>
          <w:noProof/>
        </w:rPr>
        <w:lastRenderedPageBreak/>
        <w:drawing>
          <wp:inline distT="0" distB="0" distL="0" distR="0" wp14:anchorId="57824D0C" wp14:editId="3F102D43">
            <wp:extent cx="5943600" cy="5943600"/>
            <wp:effectExtent l="0" t="0" r="0" b="0"/>
            <wp:docPr id="17541156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172E6" w14:paraId="12D029BB" w14:textId="77777777" w:rsidTr="003172E6">
        <w:tc>
          <w:tcPr>
            <w:tcW w:w="0" w:type="auto"/>
            <w:shd w:val="clear" w:color="auto" w:fill="2173EA"/>
            <w:tcMar>
              <w:top w:w="300" w:type="dxa"/>
              <w:left w:w="900" w:type="dxa"/>
              <w:bottom w:w="420" w:type="dxa"/>
              <w:right w:w="2100" w:type="dxa"/>
            </w:tcMar>
            <w:hideMark/>
          </w:tcPr>
          <w:p w14:paraId="79AA3C17" w14:textId="77777777" w:rsidR="003172E6" w:rsidRDefault="003172E6">
            <w:pPr>
              <w:rPr>
                <w:rFonts w:ascii="DM Sans" w:hAnsi="DM Sans"/>
                <w:color w:val="FFFFFF"/>
                <w:sz w:val="27"/>
                <w:szCs w:val="27"/>
              </w:rPr>
            </w:pPr>
            <w:r>
              <w:rPr>
                <w:rFonts w:ascii="DM Sans" w:hAnsi="DM Sans"/>
                <w:color w:val="FFFFFF"/>
                <w:sz w:val="27"/>
                <w:szCs w:val="27"/>
              </w:rPr>
              <w:t xml:space="preserve">The </w:t>
            </w:r>
            <w:proofErr w:type="spellStart"/>
            <w:r>
              <w:rPr>
                <w:rFonts w:ascii="DM Sans" w:hAnsi="DM Sans"/>
                <w:color w:val="FFFFFF"/>
                <w:sz w:val="27"/>
                <w:szCs w:val="27"/>
              </w:rPr>
              <w:t>EnergiVault</w:t>
            </w:r>
            <w:proofErr w:type="spellEnd"/>
            <w:r>
              <w:rPr>
                <w:rFonts w:ascii="DM Sans" w:hAnsi="DM Sans"/>
                <w:color w:val="FFFFFF"/>
                <w:sz w:val="27"/>
                <w:szCs w:val="27"/>
              </w:rPr>
              <w:t xml:space="preserve"> unit is not just performing exceptionally well; it has also delighted Quotient Sciences, highlighting its impressive capabilities. A promotional video, featuring interviews with Quotient Sciences' key staff members, illustrates this success and can be viewed here. </w:t>
            </w:r>
          </w:p>
        </w:tc>
      </w:tr>
      <w:tr w:rsidR="003172E6" w14:paraId="4926032E" w14:textId="77777777" w:rsidTr="003172E6">
        <w:trPr>
          <w:hidden/>
        </w:trPr>
        <w:tc>
          <w:tcPr>
            <w:tcW w:w="0" w:type="auto"/>
            <w:shd w:val="clear" w:color="auto" w:fill="2173EA"/>
            <w:tcMar>
              <w:top w:w="300" w:type="dxa"/>
              <w:left w:w="900" w:type="dxa"/>
              <w:bottom w:w="300" w:type="dxa"/>
              <w:right w:w="900" w:type="dxa"/>
            </w:tcMar>
            <w:hideMark/>
          </w:tcPr>
          <w:tbl>
            <w:tblPr>
              <w:tblW w:w="423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3172E6" w14:paraId="10C2206C" w14:textId="77777777">
              <w:trPr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6DDA9A6" w14:textId="77777777" w:rsidR="003172E6" w:rsidRDefault="002016F1">
                  <w:pPr>
                    <w:jc w:val="center"/>
                    <w:rPr>
                      <w:rFonts w:ascii="Calibri" w:eastAsia="Times New Roman" w:hAnsi="Calibri"/>
                      <w:vanish/>
                    </w:rPr>
                  </w:pPr>
                  <w:hyperlink r:id="rId8" w:tgtFrame="_blank" w:history="1">
                    <w:r w:rsidR="003172E6">
                      <w:rPr>
                        <w:rStyle w:val="Hyperlink"/>
                        <w:rFonts w:ascii="DM Sans" w:eastAsia="Times New Roman" w:hAnsi="DM Sans"/>
                        <w:vanish/>
                        <w:color w:val="000000"/>
                        <w:sz w:val="27"/>
                        <w:szCs w:val="27"/>
                        <w:u w:val="none"/>
                        <w:bdr w:val="single" w:sz="6" w:space="12" w:color="A1BEE9" w:frame="1"/>
                        <w:shd w:val="clear" w:color="auto" w:fill="FFFFFF"/>
                      </w:rPr>
                      <w:t>View the Video</w:t>
                    </w:r>
                  </w:hyperlink>
                </w:p>
              </w:tc>
            </w:tr>
            <w:tr w:rsidR="003172E6" w14:paraId="17855A1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627DEB" w14:textId="413888A4" w:rsidR="003172E6" w:rsidRDefault="003172E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B483029" wp14:editId="6D7BCB70">
                            <wp:extent cx="2686050" cy="552450"/>
                            <wp:effectExtent l="9525" t="9525" r="9525" b="9525"/>
                            <wp:docPr id="1765125483" name="Rectangle: Rounded Corners 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86050" cy="552450"/>
                                    </a:xfrm>
                                    <a:prstGeom prst="roundRect">
                                      <a:avLst>
                                        <a:gd name="adj" fmla="val 3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A1BEE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6279AA" w14:textId="77777777" w:rsidR="003172E6" w:rsidRDefault="003172E6" w:rsidP="003172E6">
                                        <w:pPr>
                                          <w:jc w:val="center"/>
                                          <w:rPr>
                                            <w:rFonts w:ascii="DM Sans" w:eastAsia="Times New Roman" w:hAnsi="DM Sans"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w:pPr>
                                        <w:r>
                                          <w:rPr>
                                            <w:rFonts w:ascii="DM Sans" w:eastAsia="Times New Roman" w:hAnsi="DM Sans"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View the Video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5B483029" id="Rectangle: Rounded Corners 3" o:spid="_x0000_s1027" href="https://www.youtube.com/watch?v=9ubTCU3hQq4" style="width:21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" o:button="t" strokecolor="#a1bee9">
                            <v:fill o:detectmouseclick="t"/>
                            <v:textbox>
                              <w:txbxContent>
                                <w:p w14:paraId="096279AA" w14:textId="77777777" w:rsidR="003172E6" w:rsidRDefault="003172E6" w:rsidP="003172E6">
                                  <w:pPr>
                                    <w:jc w:val="center"/>
                                    <w:rPr>
                                      <w:rFonts w:ascii="DM Sans" w:eastAsia="Times New Roman" w:hAnsi="DM Sans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DM Sans" w:eastAsia="Times New Roman" w:hAnsi="DM Sans"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View the Video 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71DD12C5" w14:textId="77777777" w:rsidR="003172E6" w:rsidRDefault="003172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2E6" w14:paraId="1D23C1CB" w14:textId="77777777" w:rsidTr="003172E6">
        <w:tc>
          <w:tcPr>
            <w:tcW w:w="0" w:type="auto"/>
            <w:shd w:val="clear" w:color="auto" w:fill="2173EA"/>
            <w:tcMar>
              <w:top w:w="300" w:type="dxa"/>
              <w:left w:w="900" w:type="dxa"/>
              <w:bottom w:w="405" w:type="dxa"/>
              <w:right w:w="900" w:type="dxa"/>
            </w:tcMar>
            <w:hideMark/>
          </w:tcPr>
          <w:p w14:paraId="5254E00A" w14:textId="77777777" w:rsidR="003172E6" w:rsidRDefault="003172E6">
            <w:pPr>
              <w:rPr>
                <w:rFonts w:ascii="DM Sans" w:hAnsi="DM Sans" w:cs="Calibri"/>
                <w:color w:val="FFFFFF"/>
                <w:sz w:val="27"/>
                <w:szCs w:val="27"/>
              </w:rPr>
            </w:pPr>
            <w:r>
              <w:rPr>
                <w:rFonts w:ascii="DM Sans" w:hAnsi="DM Sans"/>
                <w:color w:val="FFFFFF"/>
                <w:sz w:val="27"/>
                <w:szCs w:val="27"/>
              </w:rPr>
              <w:t>The unit's contribution to sustaining full business operations during the hot weather speaks volumes about its adaptability. It stands as a robust solution that enhances operational resilience while also delivering substantial economic benefits through carbon and cost savings.</w:t>
            </w:r>
          </w:p>
        </w:tc>
      </w:tr>
    </w:tbl>
    <w:p w14:paraId="611494C7" w14:textId="77777777" w:rsidR="003172E6" w:rsidRDefault="003172E6"/>
    <w:p w14:paraId="6D6995AA" w14:textId="1A7673D0" w:rsidR="003172E6" w:rsidRDefault="003172E6">
      <w:r>
        <w:rPr>
          <w:rFonts w:eastAsia="Times New Roman"/>
          <w:noProof/>
        </w:rPr>
        <w:drawing>
          <wp:inline distT="0" distB="0" distL="0" distR="0" wp14:anchorId="648D3476" wp14:editId="244A414C">
            <wp:extent cx="5375275" cy="1977390"/>
            <wp:effectExtent l="0" t="0" r="0" b="3810"/>
            <wp:docPr id="189755133" name="Picture 4" descr="Extra capacity when you need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tra capacity when you need 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172E6" w14:paraId="155A782C" w14:textId="77777777" w:rsidTr="003172E6">
        <w:tc>
          <w:tcPr>
            <w:tcW w:w="0" w:type="auto"/>
            <w:shd w:val="clear" w:color="auto" w:fill="2173EA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56375149" w14:textId="77777777" w:rsidR="003172E6" w:rsidRDefault="003172E6">
            <w:pPr>
              <w:rPr>
                <w:rFonts w:ascii="DM Sans" w:hAnsi="DM Sans"/>
                <w:color w:val="FFFFFF"/>
                <w:sz w:val="27"/>
                <w:szCs w:val="27"/>
              </w:rPr>
            </w:pPr>
            <w:r>
              <w:rPr>
                <w:rFonts w:ascii="DM Sans" w:hAnsi="DM Sans"/>
                <w:color w:val="FFFFFF"/>
                <w:sz w:val="27"/>
                <w:szCs w:val="27"/>
              </w:rPr>
              <w:t>In parallel, recent months have seen further enhancements in the energy storage system. This system ingeniously consolidates all necessary components into a singular, standard shipping container. Notably, it achieves an energy storage capacity that now surpasses the 1MWh threshold. This development represents a pivotal stride in our continuous pursuit of a fully modular, plug-and-play installation design, demonstrating our commitment to more efficient and versatile energy solutions.</w:t>
            </w:r>
          </w:p>
          <w:p w14:paraId="2336515C" w14:textId="77777777" w:rsidR="003172E6" w:rsidRDefault="003172E6">
            <w:pPr>
              <w:rPr>
                <w:rFonts w:ascii="DM Sans" w:hAnsi="DM Sans"/>
                <w:color w:val="FFFFFF"/>
                <w:sz w:val="27"/>
                <w:szCs w:val="27"/>
              </w:rPr>
            </w:pPr>
          </w:p>
          <w:p w14:paraId="75DC0937" w14:textId="77777777" w:rsidR="003172E6" w:rsidRDefault="003172E6">
            <w:pPr>
              <w:rPr>
                <w:rFonts w:ascii="DM Sans" w:hAnsi="DM Sans"/>
                <w:color w:val="FFFFFF"/>
                <w:sz w:val="27"/>
                <w:szCs w:val="27"/>
              </w:rPr>
            </w:pPr>
            <w:r>
              <w:rPr>
                <w:rFonts w:ascii="DM Sans" w:hAnsi="DM Sans"/>
                <w:color w:val="FFFFFF"/>
                <w:sz w:val="27"/>
                <w:szCs w:val="27"/>
              </w:rPr>
              <w:lastRenderedPageBreak/>
              <w:t>The application of O-</w:t>
            </w:r>
            <w:proofErr w:type="spellStart"/>
            <w:r>
              <w:rPr>
                <w:rFonts w:ascii="DM Sans" w:hAnsi="DM Sans"/>
                <w:color w:val="FFFFFF"/>
                <w:sz w:val="27"/>
                <w:szCs w:val="27"/>
              </w:rPr>
              <w:t>Hx’s</w:t>
            </w:r>
            <w:proofErr w:type="spellEnd"/>
            <w:r>
              <w:rPr>
                <w:rFonts w:ascii="DM Sans" w:hAnsi="DM Sans"/>
                <w:color w:val="FFFFFF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DM Sans" w:hAnsi="DM Sans"/>
                <w:color w:val="FFFFFF"/>
                <w:sz w:val="27"/>
                <w:szCs w:val="27"/>
              </w:rPr>
              <w:t>EnergiVault</w:t>
            </w:r>
            <w:proofErr w:type="spellEnd"/>
            <w:r>
              <w:rPr>
                <w:rFonts w:ascii="DM Sans" w:hAnsi="DM Sans"/>
                <w:color w:val="FFFFFF"/>
                <w:sz w:val="27"/>
                <w:szCs w:val="27"/>
              </w:rPr>
              <w:t>® around the world could lead to huge reductions in greenhouse gas emissions.</w:t>
            </w:r>
            <w:r>
              <w:rPr>
                <w:rFonts w:ascii="DM Sans" w:hAnsi="DM Sans"/>
                <w:color w:val="FFFFFF"/>
                <w:sz w:val="27"/>
                <w:szCs w:val="27"/>
              </w:rPr>
              <w:br/>
            </w:r>
            <w:r>
              <w:rPr>
                <w:rFonts w:ascii="DM Sans" w:hAnsi="DM Sans"/>
                <w:color w:val="FFFFFF"/>
                <w:sz w:val="27"/>
                <w:szCs w:val="27"/>
              </w:rPr>
              <w:br/>
              <w:t>Visit</w:t>
            </w:r>
            <w:hyperlink r:id="rId11" w:tgtFrame="_blank" w:history="1">
              <w:r>
                <w:rPr>
                  <w:rStyle w:val="Hyperlink"/>
                  <w:rFonts w:ascii="DM Sans" w:hAnsi="DM Sans"/>
                  <w:color w:val="FFFFFF"/>
                  <w:sz w:val="27"/>
                  <w:szCs w:val="27"/>
                </w:rPr>
                <w:t xml:space="preserve"> www.o-hx.com </w:t>
              </w:r>
            </w:hyperlink>
            <w:r>
              <w:rPr>
                <w:rFonts w:ascii="DM Sans" w:hAnsi="DM Sans"/>
                <w:color w:val="FFFFFF"/>
                <w:sz w:val="27"/>
                <w:szCs w:val="27"/>
              </w:rPr>
              <w:t>for further information.</w:t>
            </w:r>
          </w:p>
        </w:tc>
      </w:tr>
    </w:tbl>
    <w:p w14:paraId="035606F0" w14:textId="77777777" w:rsidR="003172E6" w:rsidRDefault="003172E6"/>
    <w:sectPr w:rsidR="00317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6"/>
    <w:rsid w:val="002016F1"/>
    <w:rsid w:val="003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C009"/>
  <w15:chartTrackingRefBased/>
  <w15:docId w15:val="{885B1EA0-70B0-4C64-94FE-EF7B215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hx.us10.list-manage.com/track/click?u=1f33a0e5287530a0c2f3a2e69&amp;id=d35bfaecd4&amp;e=55d0c9f1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-hx.com/files/OHX-low-carbon.pdf" TargetMode="External"/><Relationship Id="rId11" Type="http://schemas.openxmlformats.org/officeDocument/2006/relationships/hyperlink" Target="https://o-hx.us10.list-manage.com/track/click?u=1f33a0e5287530a0c2f3a2e69&amp;id=2eac9a0313&amp;e=55d0c9f108" TargetMode="External"/><Relationship Id="rId5" Type="http://schemas.openxmlformats.org/officeDocument/2006/relationships/hyperlink" Target="https://o-hx.us10.list-manage.com/track/click?u=1f33a0e5287530a0c2f3a2e69&amp;id=c1dd640df5&amp;e=55d0c9f108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9ubTCU3hQq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2</cp:revision>
  <dcterms:created xsi:type="dcterms:W3CDTF">2023-11-27T16:02:00Z</dcterms:created>
  <dcterms:modified xsi:type="dcterms:W3CDTF">2023-11-27T16:02:00Z</dcterms:modified>
</cp:coreProperties>
</file>