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1EDEB" w14:textId="5E722F5D" w:rsidR="00F80CFD" w:rsidRPr="00055B39" w:rsidRDefault="00F80CFD" w:rsidP="00067B1E">
      <w:pPr>
        <w:pStyle w:val="Body"/>
        <w:spacing w:line="360" w:lineRule="auto"/>
        <w:jc w:val="both"/>
        <w:rPr>
          <w:rFonts w:ascii="Arial" w:hAnsi="Arial" w:cs="Arial"/>
          <w:b/>
          <w:color w:val="000000" w:themeColor="text1"/>
          <w:sz w:val="24"/>
          <w:szCs w:val="24"/>
          <w:u w:val="single"/>
        </w:rPr>
      </w:pPr>
      <w:r w:rsidRPr="00055B39">
        <w:rPr>
          <w:rFonts w:ascii="Arial" w:hAnsi="Arial" w:cs="Arial"/>
          <w:b/>
          <w:color w:val="000000" w:themeColor="text1"/>
          <w:sz w:val="24"/>
          <w:szCs w:val="24"/>
          <w:u w:val="single"/>
        </w:rPr>
        <w:t>THE RED LIGHT TO ENTRY INTO CORPORATE RESCUE: THE STANDARD NOTICE TO ALL AFFECTED PERSONS</w:t>
      </w:r>
    </w:p>
    <w:p w14:paraId="6D2C1793" w14:textId="77777777" w:rsidR="00F80CFD" w:rsidRDefault="00F80CFD" w:rsidP="00067B1E">
      <w:pPr>
        <w:pStyle w:val="Body"/>
        <w:spacing w:line="360" w:lineRule="auto"/>
        <w:jc w:val="both"/>
        <w:rPr>
          <w:rFonts w:ascii="Arial" w:hAnsi="Arial" w:cs="Arial"/>
          <w:bCs/>
          <w:color w:val="000000" w:themeColor="text1"/>
          <w:sz w:val="24"/>
          <w:szCs w:val="24"/>
        </w:rPr>
      </w:pPr>
    </w:p>
    <w:p w14:paraId="032E8CDD" w14:textId="6BF9B3FE" w:rsidR="00067B1E" w:rsidRDefault="00067B1E" w:rsidP="00067B1E">
      <w:pPr>
        <w:pStyle w:val="Body"/>
        <w:spacing w:line="360" w:lineRule="auto"/>
        <w:jc w:val="both"/>
        <w:rPr>
          <w:rFonts w:ascii="Arial" w:hAnsi="Arial"/>
          <w:bCs/>
          <w:sz w:val="24"/>
          <w:szCs w:val="24"/>
        </w:rPr>
      </w:pPr>
      <w:r w:rsidRPr="00D565DE">
        <w:rPr>
          <w:rFonts w:ascii="Arial" w:hAnsi="Arial" w:cs="Arial"/>
          <w:bCs/>
          <w:color w:val="000000" w:themeColor="text1"/>
          <w:sz w:val="24"/>
          <w:szCs w:val="24"/>
        </w:rPr>
        <w:t xml:space="preserve">The </w:t>
      </w:r>
      <w:r w:rsidR="00F80CFD">
        <w:rPr>
          <w:rFonts w:ascii="Arial" w:hAnsi="Arial" w:cs="Arial"/>
          <w:bCs/>
          <w:color w:val="000000" w:themeColor="text1"/>
          <w:sz w:val="24"/>
          <w:szCs w:val="24"/>
        </w:rPr>
        <w:t>Insolvency Act</w:t>
      </w:r>
      <w:r w:rsidRPr="00D565DE">
        <w:rPr>
          <w:rFonts w:ascii="Arial" w:hAnsi="Arial" w:cs="Arial"/>
          <w:bCs/>
          <w:color w:val="000000" w:themeColor="text1"/>
          <w:sz w:val="24"/>
          <w:szCs w:val="24"/>
        </w:rPr>
        <w:t xml:space="preserve"> </w:t>
      </w:r>
      <w:r w:rsidR="00F80CFD">
        <w:rPr>
          <w:rFonts w:ascii="Arial" w:hAnsi="Arial" w:cs="Arial"/>
          <w:bCs/>
          <w:color w:val="000000" w:themeColor="text1"/>
          <w:sz w:val="24"/>
          <w:szCs w:val="24"/>
        </w:rPr>
        <w:t>[Chapter 6:07]</w:t>
      </w:r>
      <w:r w:rsidRPr="00D565DE">
        <w:rPr>
          <w:rStyle w:val="FootnoteReference"/>
          <w:rFonts w:ascii="Arial" w:hAnsi="Arial" w:cs="Arial"/>
          <w:bCs/>
          <w:color w:val="000000" w:themeColor="text1"/>
          <w:sz w:val="24"/>
          <w:szCs w:val="24"/>
        </w:rPr>
        <w:footnoteReference w:id="1"/>
      </w:r>
      <w:r>
        <w:rPr>
          <w:rFonts w:ascii="Arial" w:hAnsi="Arial" w:cs="Arial"/>
          <w:bCs/>
          <w:color w:val="000000" w:themeColor="text1"/>
          <w:sz w:val="24"/>
          <w:szCs w:val="24"/>
        </w:rPr>
        <w:t xml:space="preserve"> [the Act]</w:t>
      </w:r>
      <w:r w:rsidRPr="00D565DE">
        <w:rPr>
          <w:rFonts w:ascii="Arial" w:hAnsi="Arial" w:cs="Arial"/>
          <w:bCs/>
          <w:color w:val="000000" w:themeColor="text1"/>
          <w:sz w:val="24"/>
          <w:szCs w:val="24"/>
        </w:rPr>
        <w:t xml:space="preserve"> introduced to</w:t>
      </w:r>
      <w:r w:rsidR="00F80CFD">
        <w:rPr>
          <w:rFonts w:ascii="Arial" w:hAnsi="Arial" w:cs="Arial"/>
          <w:bCs/>
          <w:color w:val="000000" w:themeColor="text1"/>
          <w:sz w:val="24"/>
          <w:szCs w:val="24"/>
        </w:rPr>
        <w:t xml:space="preserve"> Zimbabwean</w:t>
      </w:r>
      <w:r w:rsidRPr="00D565DE">
        <w:rPr>
          <w:rFonts w:ascii="Arial" w:hAnsi="Arial" w:cs="Arial"/>
          <w:bCs/>
          <w:color w:val="000000" w:themeColor="text1"/>
          <w:sz w:val="24"/>
          <w:szCs w:val="24"/>
        </w:rPr>
        <w:t xml:space="preserve"> corporate law</w:t>
      </w:r>
      <w:r>
        <w:rPr>
          <w:rFonts w:ascii="Arial" w:hAnsi="Arial" w:cs="Arial"/>
          <w:bCs/>
          <w:color w:val="000000" w:themeColor="text1"/>
          <w:sz w:val="24"/>
          <w:szCs w:val="24"/>
        </w:rPr>
        <w:t>,</w:t>
      </w:r>
      <w:r w:rsidRPr="00D565DE">
        <w:rPr>
          <w:rFonts w:ascii="Arial" w:hAnsi="Arial" w:cs="Arial"/>
          <w:bCs/>
          <w:color w:val="000000" w:themeColor="text1"/>
          <w:sz w:val="24"/>
          <w:szCs w:val="24"/>
        </w:rPr>
        <w:t xml:space="preserve"> a novelty in the form</w:t>
      </w:r>
      <w:r w:rsidR="0053770A">
        <w:rPr>
          <w:rFonts w:ascii="Arial" w:hAnsi="Arial" w:cs="Arial"/>
          <w:bCs/>
          <w:color w:val="000000" w:themeColor="text1"/>
          <w:sz w:val="24"/>
          <w:szCs w:val="24"/>
        </w:rPr>
        <w:t xml:space="preserve"> </w:t>
      </w:r>
      <w:r w:rsidRPr="00D565DE">
        <w:rPr>
          <w:rFonts w:ascii="Arial" w:hAnsi="Arial" w:cs="Arial"/>
          <w:bCs/>
          <w:color w:val="000000" w:themeColor="text1"/>
          <w:sz w:val="24"/>
          <w:szCs w:val="24"/>
        </w:rPr>
        <w:t>of</w:t>
      </w:r>
      <w:r w:rsidR="0053770A">
        <w:rPr>
          <w:rFonts w:ascii="Arial" w:hAnsi="Arial" w:cs="Arial"/>
          <w:bCs/>
          <w:color w:val="000000" w:themeColor="text1"/>
          <w:sz w:val="24"/>
          <w:szCs w:val="24"/>
        </w:rPr>
        <w:t xml:space="preserve"> corporate </w:t>
      </w:r>
      <w:r w:rsidRPr="00D565DE">
        <w:rPr>
          <w:rFonts w:ascii="Arial" w:hAnsi="Arial" w:cs="Arial"/>
          <w:bCs/>
          <w:color w:val="000000" w:themeColor="text1"/>
          <w:sz w:val="24"/>
          <w:szCs w:val="24"/>
        </w:rPr>
        <w:t>rescue</w:t>
      </w:r>
      <w:r w:rsidR="0053770A">
        <w:rPr>
          <w:rFonts w:ascii="Arial" w:hAnsi="Arial" w:cs="Arial"/>
          <w:bCs/>
          <w:color w:val="000000" w:themeColor="text1"/>
          <w:sz w:val="24"/>
          <w:szCs w:val="24"/>
        </w:rPr>
        <w:t>.</w:t>
      </w:r>
      <w:r w:rsidRPr="00D565DE">
        <w:rPr>
          <w:rFonts w:ascii="Arial" w:eastAsia="Arial" w:hAnsi="Arial" w:cs="Arial"/>
          <w:bCs/>
          <w:color w:val="000000" w:themeColor="text1"/>
          <w:sz w:val="24"/>
          <w:szCs w:val="24"/>
          <w:vertAlign w:val="superscript"/>
        </w:rPr>
        <w:footnoteReference w:id="2"/>
      </w:r>
      <w:r w:rsidRPr="00D565DE">
        <w:rPr>
          <w:rFonts w:ascii="Arial" w:hAnsi="Arial" w:cs="Arial"/>
          <w:bCs/>
          <w:color w:val="000000" w:themeColor="text1"/>
          <w:sz w:val="24"/>
          <w:szCs w:val="24"/>
        </w:rPr>
        <w:t xml:space="preserve"> This procedure </w:t>
      </w:r>
      <w:r>
        <w:rPr>
          <w:rFonts w:ascii="Arial" w:hAnsi="Arial" w:cs="Arial"/>
          <w:bCs/>
          <w:color w:val="000000" w:themeColor="text1"/>
          <w:sz w:val="24"/>
          <w:szCs w:val="24"/>
        </w:rPr>
        <w:t>w</w:t>
      </w:r>
      <w:r w:rsidRPr="00D565DE">
        <w:rPr>
          <w:rFonts w:ascii="Arial" w:hAnsi="Arial" w:cs="Arial"/>
          <w:bCs/>
          <w:color w:val="000000" w:themeColor="text1"/>
          <w:sz w:val="24"/>
          <w:szCs w:val="24"/>
        </w:rPr>
        <w:t>as described as a “profound change” and “an innovation”</w:t>
      </w:r>
      <w:r w:rsidR="00F80CFD">
        <w:rPr>
          <w:rFonts w:ascii="Arial" w:hAnsi="Arial" w:cs="Arial"/>
          <w:bCs/>
          <w:color w:val="000000" w:themeColor="text1"/>
          <w:sz w:val="24"/>
          <w:szCs w:val="24"/>
        </w:rPr>
        <w:t xml:space="preserve"> when it was introduced in South Africa under the Companies Act 71 of 2008</w:t>
      </w:r>
      <w:r w:rsidRPr="00D565DE">
        <w:rPr>
          <w:rFonts w:ascii="Arial" w:hAnsi="Arial" w:cs="Arial"/>
          <w:bCs/>
          <w:color w:val="000000" w:themeColor="text1"/>
          <w:sz w:val="24"/>
          <w:szCs w:val="24"/>
        </w:rPr>
        <w:t>.</w:t>
      </w:r>
      <w:r w:rsidRPr="00D565DE">
        <w:rPr>
          <w:rFonts w:ascii="Arial" w:eastAsia="Arial" w:hAnsi="Arial" w:cs="Arial"/>
          <w:bCs/>
          <w:color w:val="000000" w:themeColor="text1"/>
          <w:sz w:val="24"/>
          <w:szCs w:val="24"/>
          <w:vertAlign w:val="superscript"/>
        </w:rPr>
        <w:footnoteReference w:id="3"/>
      </w:r>
      <w:r w:rsidRPr="00D565DE">
        <w:rPr>
          <w:rFonts w:ascii="Arial" w:hAnsi="Arial" w:cs="Arial"/>
          <w:bCs/>
          <w:color w:val="000000" w:themeColor="text1"/>
          <w:sz w:val="24"/>
          <w:szCs w:val="24"/>
        </w:rPr>
        <w:t xml:space="preserve"> The philosophy behind business rescue is the recognition of the fact</w:t>
      </w:r>
      <w:r>
        <w:rPr>
          <w:rFonts w:ascii="Arial" w:hAnsi="Arial" w:cs="Arial"/>
          <w:bCs/>
          <w:color w:val="000000" w:themeColor="text1"/>
          <w:sz w:val="24"/>
          <w:szCs w:val="24"/>
        </w:rPr>
        <w:t xml:space="preserve"> that</w:t>
      </w:r>
      <w:r w:rsidRPr="00D565DE">
        <w:rPr>
          <w:rFonts w:ascii="Arial" w:hAnsi="Arial" w:cs="Arial"/>
          <w:bCs/>
          <w:color w:val="000000" w:themeColor="text1"/>
          <w:sz w:val="24"/>
          <w:szCs w:val="24"/>
        </w:rPr>
        <w:t xml:space="preserve"> a company has greater value to all stakeholders as a going concern rather than in liquidation.</w:t>
      </w:r>
      <w:r w:rsidRPr="00D565DE">
        <w:rPr>
          <w:rStyle w:val="FootnoteReference"/>
          <w:rFonts w:ascii="Arial" w:hAnsi="Arial" w:cs="Arial"/>
          <w:bCs/>
          <w:color w:val="000000" w:themeColor="text1"/>
          <w:sz w:val="24"/>
          <w:szCs w:val="24"/>
        </w:rPr>
        <w:footnoteReference w:id="4"/>
      </w:r>
      <w:r w:rsidRPr="00D565DE">
        <w:rPr>
          <w:rFonts w:ascii="Arial" w:hAnsi="Arial" w:cs="Arial"/>
          <w:bCs/>
          <w:color w:val="000000" w:themeColor="text1"/>
          <w:sz w:val="24"/>
          <w:szCs w:val="24"/>
        </w:rPr>
        <w:t xml:space="preserve"> </w:t>
      </w:r>
      <w:r>
        <w:rPr>
          <w:rFonts w:ascii="Arial" w:hAnsi="Arial"/>
          <w:bCs/>
          <w:sz w:val="24"/>
          <w:szCs w:val="24"/>
        </w:rPr>
        <w:t xml:space="preserve"> </w:t>
      </w:r>
      <w:r w:rsidR="005B5918">
        <w:rPr>
          <w:rFonts w:ascii="Arial" w:hAnsi="Arial"/>
          <w:bCs/>
          <w:sz w:val="24"/>
          <w:szCs w:val="24"/>
        </w:rPr>
        <w:t>T</w:t>
      </w:r>
      <w:r>
        <w:rPr>
          <w:rFonts w:ascii="Arial" w:hAnsi="Arial"/>
          <w:bCs/>
          <w:sz w:val="24"/>
          <w:szCs w:val="24"/>
        </w:rPr>
        <w:t xml:space="preserve">he definition of </w:t>
      </w:r>
      <w:r w:rsidR="005B5918">
        <w:rPr>
          <w:rFonts w:ascii="Arial" w:hAnsi="Arial"/>
          <w:bCs/>
          <w:sz w:val="24"/>
          <w:szCs w:val="24"/>
        </w:rPr>
        <w:t>corporate</w:t>
      </w:r>
      <w:r>
        <w:rPr>
          <w:rFonts w:ascii="Arial" w:hAnsi="Arial"/>
          <w:bCs/>
          <w:sz w:val="24"/>
          <w:szCs w:val="24"/>
        </w:rPr>
        <w:t xml:space="preserve"> rescue in </w:t>
      </w:r>
      <w:r w:rsidR="005B5918">
        <w:rPr>
          <w:rFonts w:ascii="Arial" w:hAnsi="Arial"/>
          <w:bCs/>
          <w:sz w:val="24"/>
          <w:szCs w:val="24"/>
        </w:rPr>
        <w:t>s</w:t>
      </w:r>
      <w:r>
        <w:rPr>
          <w:rFonts w:ascii="Arial" w:hAnsi="Arial"/>
          <w:bCs/>
          <w:sz w:val="24"/>
          <w:szCs w:val="24"/>
        </w:rPr>
        <w:t>12</w:t>
      </w:r>
      <w:r w:rsidR="005B5918">
        <w:rPr>
          <w:rFonts w:ascii="Arial" w:hAnsi="Arial"/>
          <w:bCs/>
          <w:sz w:val="24"/>
          <w:szCs w:val="24"/>
        </w:rPr>
        <w:t>1</w:t>
      </w:r>
      <w:r>
        <w:rPr>
          <w:rFonts w:ascii="Arial" w:hAnsi="Arial"/>
          <w:bCs/>
          <w:sz w:val="24"/>
          <w:szCs w:val="24"/>
        </w:rPr>
        <w:t xml:space="preserve"> of the Act illustrates that there are three levels of business rescue procedure namely, the temporary supervision of the business, a temporary moratorium on claimants and the crafting and implementation of a business rescue plan.</w:t>
      </w:r>
      <w:r>
        <w:rPr>
          <w:rStyle w:val="FootnoteReference"/>
          <w:rFonts w:ascii="Arial" w:hAnsi="Arial"/>
          <w:bCs/>
          <w:sz w:val="24"/>
          <w:szCs w:val="24"/>
        </w:rPr>
        <w:footnoteReference w:id="5"/>
      </w:r>
      <w:r>
        <w:rPr>
          <w:rFonts w:ascii="Arial" w:hAnsi="Arial"/>
          <w:bCs/>
          <w:sz w:val="24"/>
          <w:szCs w:val="24"/>
        </w:rPr>
        <w:t xml:space="preserve"> </w:t>
      </w:r>
    </w:p>
    <w:p w14:paraId="2BDEB747" w14:textId="7BCF4933" w:rsidR="00067B1E" w:rsidRDefault="00067B1E" w:rsidP="00067B1E">
      <w:pPr>
        <w:pStyle w:val="Body"/>
        <w:spacing w:line="360" w:lineRule="auto"/>
        <w:jc w:val="both"/>
        <w:rPr>
          <w:rFonts w:ascii="Arial" w:hAnsi="Arial" w:cs="Arial"/>
          <w:bCs/>
          <w:color w:val="000000" w:themeColor="text1"/>
          <w:sz w:val="24"/>
          <w:szCs w:val="24"/>
        </w:rPr>
      </w:pPr>
      <w:r>
        <w:rPr>
          <w:rFonts w:ascii="Arial" w:hAnsi="Arial" w:cs="Arial"/>
          <w:bCs/>
          <w:color w:val="000000" w:themeColor="text1"/>
          <w:sz w:val="24"/>
          <w:szCs w:val="24"/>
        </w:rPr>
        <w:t>A</w:t>
      </w:r>
      <w:r w:rsidRPr="00D565DE">
        <w:rPr>
          <w:rFonts w:ascii="Arial" w:hAnsi="Arial" w:cs="Arial"/>
          <w:bCs/>
          <w:color w:val="000000" w:themeColor="text1"/>
          <w:sz w:val="24"/>
          <w:szCs w:val="24"/>
        </w:rPr>
        <w:t xml:space="preserve"> key feature of the </w:t>
      </w:r>
      <w:r w:rsidR="005B5918">
        <w:rPr>
          <w:rFonts w:ascii="Arial" w:hAnsi="Arial" w:cs="Arial"/>
          <w:bCs/>
          <w:color w:val="000000" w:themeColor="text1"/>
          <w:sz w:val="24"/>
          <w:szCs w:val="24"/>
        </w:rPr>
        <w:t>corporate</w:t>
      </w:r>
      <w:r w:rsidRPr="00D565DE">
        <w:rPr>
          <w:rFonts w:ascii="Arial" w:hAnsi="Arial" w:cs="Arial"/>
          <w:bCs/>
          <w:color w:val="000000" w:themeColor="text1"/>
          <w:sz w:val="24"/>
          <w:szCs w:val="24"/>
        </w:rPr>
        <w:t xml:space="preserve"> rescue regime is its bias towards </w:t>
      </w:r>
      <w:r w:rsidR="00F80CFD" w:rsidRPr="00D565DE">
        <w:rPr>
          <w:rFonts w:ascii="Arial" w:hAnsi="Arial" w:cs="Arial"/>
          <w:bCs/>
          <w:color w:val="000000" w:themeColor="text1"/>
          <w:sz w:val="24"/>
          <w:szCs w:val="24"/>
        </w:rPr>
        <w:t>reorganization</w:t>
      </w:r>
      <w:r w:rsidRPr="00D565DE">
        <w:rPr>
          <w:rFonts w:ascii="Arial" w:hAnsi="Arial" w:cs="Arial"/>
          <w:bCs/>
          <w:color w:val="000000" w:themeColor="text1"/>
          <w:sz w:val="24"/>
          <w:szCs w:val="24"/>
        </w:rPr>
        <w:t xml:space="preserve"> or reconstruction</w:t>
      </w:r>
      <w:r w:rsidR="005B5918">
        <w:rPr>
          <w:rFonts w:ascii="Arial" w:hAnsi="Arial" w:cs="Arial"/>
          <w:bCs/>
          <w:color w:val="000000" w:themeColor="text1"/>
          <w:sz w:val="24"/>
          <w:szCs w:val="24"/>
        </w:rPr>
        <w:t xml:space="preserve"> of financially distressed companies</w:t>
      </w:r>
      <w:r w:rsidRPr="00D565DE">
        <w:rPr>
          <w:rFonts w:ascii="Arial" w:hAnsi="Arial" w:cs="Arial"/>
          <w:bCs/>
          <w:color w:val="000000" w:themeColor="text1"/>
          <w:sz w:val="24"/>
          <w:szCs w:val="24"/>
        </w:rPr>
        <w:t xml:space="preserve"> as evidenced by provisions dealing with the moratorium, post commencement finance</w:t>
      </w:r>
      <w:r>
        <w:rPr>
          <w:rFonts w:ascii="Arial" w:hAnsi="Arial" w:cs="Arial"/>
          <w:bCs/>
          <w:color w:val="000000" w:themeColor="text1"/>
          <w:sz w:val="24"/>
          <w:szCs w:val="24"/>
        </w:rPr>
        <w:t xml:space="preserve"> and</w:t>
      </w:r>
      <w:r w:rsidRPr="00D565DE">
        <w:rPr>
          <w:rFonts w:ascii="Arial" w:hAnsi="Arial" w:cs="Arial"/>
          <w:bCs/>
          <w:color w:val="000000" w:themeColor="text1"/>
          <w:sz w:val="24"/>
          <w:szCs w:val="24"/>
        </w:rPr>
        <w:t xml:space="preserve"> suspension or cancellation of contracts among others. These are designed to provide breathing space to a financially distressed company to enable its rehabilitation </w:t>
      </w:r>
      <w:r w:rsidR="00F80CFD">
        <w:rPr>
          <w:rFonts w:ascii="Arial" w:hAnsi="Arial" w:cs="Arial"/>
          <w:bCs/>
          <w:color w:val="000000" w:themeColor="text1"/>
          <w:sz w:val="24"/>
          <w:szCs w:val="24"/>
        </w:rPr>
        <w:t>primarily</w:t>
      </w:r>
      <w:r w:rsidRPr="00D565DE">
        <w:rPr>
          <w:rFonts w:ascii="Arial" w:hAnsi="Arial" w:cs="Arial"/>
          <w:bCs/>
          <w:color w:val="000000" w:themeColor="text1"/>
          <w:sz w:val="24"/>
          <w:szCs w:val="24"/>
        </w:rPr>
        <w:t xml:space="preserve"> to ensure its continued existence as a solvent business or </w:t>
      </w:r>
      <w:r>
        <w:rPr>
          <w:rFonts w:ascii="Arial" w:hAnsi="Arial" w:cs="Arial"/>
          <w:bCs/>
          <w:color w:val="000000" w:themeColor="text1"/>
          <w:sz w:val="24"/>
          <w:szCs w:val="24"/>
        </w:rPr>
        <w:t xml:space="preserve">alternatively to </w:t>
      </w:r>
      <w:r w:rsidRPr="00D565DE">
        <w:rPr>
          <w:rFonts w:ascii="Arial" w:hAnsi="Arial" w:cs="Arial"/>
          <w:bCs/>
          <w:color w:val="000000" w:themeColor="text1"/>
          <w:sz w:val="24"/>
          <w:szCs w:val="24"/>
        </w:rPr>
        <w:t>achiev</w:t>
      </w:r>
      <w:r>
        <w:rPr>
          <w:rFonts w:ascii="Arial" w:hAnsi="Arial" w:cs="Arial"/>
          <w:bCs/>
          <w:color w:val="000000" w:themeColor="text1"/>
          <w:sz w:val="24"/>
          <w:szCs w:val="24"/>
        </w:rPr>
        <w:t>e</w:t>
      </w:r>
      <w:r w:rsidRPr="00D565DE">
        <w:rPr>
          <w:rFonts w:ascii="Arial" w:hAnsi="Arial" w:cs="Arial"/>
          <w:bCs/>
          <w:color w:val="000000" w:themeColor="text1"/>
          <w:sz w:val="24"/>
          <w:szCs w:val="24"/>
        </w:rPr>
        <w:t xml:space="preserve"> a better return </w:t>
      </w:r>
      <w:r w:rsidR="009E0FB3">
        <w:rPr>
          <w:rFonts w:ascii="Arial" w:hAnsi="Arial" w:cs="Arial"/>
          <w:bCs/>
          <w:color w:val="000000" w:themeColor="text1"/>
          <w:sz w:val="24"/>
          <w:szCs w:val="24"/>
        </w:rPr>
        <w:t>to</w:t>
      </w:r>
      <w:r w:rsidRPr="00D565DE">
        <w:rPr>
          <w:rFonts w:ascii="Arial" w:hAnsi="Arial" w:cs="Arial"/>
          <w:bCs/>
          <w:color w:val="000000" w:themeColor="text1"/>
          <w:sz w:val="24"/>
          <w:szCs w:val="24"/>
        </w:rPr>
        <w:t xml:space="preserve"> its creditors and shareholders than would be achieved under liquidation.</w:t>
      </w:r>
      <w:r w:rsidRPr="00D565DE">
        <w:rPr>
          <w:rFonts w:ascii="Arial" w:eastAsia="Arial" w:hAnsi="Arial" w:cs="Arial"/>
          <w:bCs/>
          <w:color w:val="000000" w:themeColor="text1"/>
          <w:sz w:val="24"/>
          <w:szCs w:val="24"/>
          <w:vertAlign w:val="superscript"/>
        </w:rPr>
        <w:footnoteReference w:id="6"/>
      </w:r>
      <w:r w:rsidRPr="00D565DE">
        <w:rPr>
          <w:rFonts w:ascii="Arial" w:hAnsi="Arial" w:cs="Arial"/>
          <w:bCs/>
          <w:color w:val="000000" w:themeColor="text1"/>
          <w:sz w:val="24"/>
          <w:szCs w:val="24"/>
        </w:rPr>
        <w:t xml:space="preserve"> In contrast with the traditional pro-creditor culture which held that a creditor ha</w:t>
      </w:r>
      <w:r>
        <w:rPr>
          <w:rFonts w:ascii="Arial" w:hAnsi="Arial" w:cs="Arial"/>
          <w:bCs/>
          <w:color w:val="000000" w:themeColor="text1"/>
          <w:sz w:val="24"/>
          <w:szCs w:val="24"/>
        </w:rPr>
        <w:t>d</w:t>
      </w:r>
      <w:r w:rsidRPr="00D565DE">
        <w:rPr>
          <w:rFonts w:ascii="Arial" w:hAnsi="Arial" w:cs="Arial"/>
          <w:bCs/>
          <w:color w:val="000000" w:themeColor="text1"/>
          <w:sz w:val="24"/>
          <w:szCs w:val="24"/>
        </w:rPr>
        <w:t xml:space="preserve"> a right </w:t>
      </w:r>
      <w:r w:rsidRPr="00D565DE">
        <w:rPr>
          <w:rFonts w:ascii="Arial" w:hAnsi="Arial" w:cs="Arial"/>
          <w:bCs/>
          <w:i/>
          <w:iCs/>
          <w:color w:val="000000" w:themeColor="text1"/>
          <w:sz w:val="24"/>
          <w:szCs w:val="24"/>
        </w:rPr>
        <w:t xml:space="preserve">ex debito </w:t>
      </w:r>
      <w:r w:rsidRPr="00D565DE">
        <w:rPr>
          <w:rFonts w:ascii="Arial" w:hAnsi="Arial" w:cs="Arial"/>
          <w:bCs/>
          <w:i/>
          <w:iCs/>
          <w:color w:val="000000" w:themeColor="text1"/>
          <w:sz w:val="24"/>
          <w:szCs w:val="24"/>
        </w:rPr>
        <w:lastRenderedPageBreak/>
        <w:t>justitiae</w:t>
      </w:r>
      <w:r w:rsidRPr="00D565DE">
        <w:rPr>
          <w:rFonts w:ascii="Arial" w:hAnsi="Arial" w:cs="Arial"/>
          <w:bCs/>
          <w:color w:val="000000" w:themeColor="text1"/>
          <w:sz w:val="24"/>
          <w:szCs w:val="24"/>
        </w:rPr>
        <w:t xml:space="preserve"> to liquidate a company,</w:t>
      </w:r>
      <w:r>
        <w:rPr>
          <w:rStyle w:val="FootnoteReference"/>
          <w:rFonts w:ascii="Arial" w:hAnsi="Arial" w:cs="Arial"/>
          <w:bCs/>
          <w:color w:val="000000" w:themeColor="text1"/>
          <w:sz w:val="24"/>
          <w:szCs w:val="24"/>
        </w:rPr>
        <w:footnoteReference w:id="7"/>
      </w:r>
      <w:r w:rsidRPr="00D565DE">
        <w:rPr>
          <w:rFonts w:ascii="Arial" w:hAnsi="Arial" w:cs="Arial"/>
          <w:bCs/>
          <w:color w:val="000000" w:themeColor="text1"/>
          <w:sz w:val="24"/>
          <w:szCs w:val="24"/>
        </w:rPr>
        <w:t xml:space="preserve"> the new procedure seeks the rescue of the business in a manner that balances the interests and rights of all the stakeholders</w:t>
      </w:r>
      <w:r>
        <w:rPr>
          <w:rFonts w:ascii="Arial" w:hAnsi="Arial" w:cs="Arial"/>
          <w:bCs/>
          <w:color w:val="000000" w:themeColor="text1"/>
          <w:sz w:val="24"/>
          <w:szCs w:val="24"/>
        </w:rPr>
        <w:t>.</w:t>
      </w:r>
      <w:r>
        <w:rPr>
          <w:rStyle w:val="FootnoteReference"/>
          <w:rFonts w:ascii="Arial" w:hAnsi="Arial" w:cs="Arial"/>
          <w:bCs/>
          <w:color w:val="000000" w:themeColor="text1"/>
          <w:sz w:val="24"/>
          <w:szCs w:val="24"/>
        </w:rPr>
        <w:footnoteReference w:id="8"/>
      </w:r>
    </w:p>
    <w:p w14:paraId="1A29F318" w14:textId="2E5D840D" w:rsidR="00067B1E" w:rsidRDefault="00067B1E" w:rsidP="00067B1E">
      <w:pPr>
        <w:pStyle w:val="Body"/>
        <w:spacing w:line="360" w:lineRule="auto"/>
        <w:jc w:val="both"/>
        <w:rPr>
          <w:rFonts w:ascii="Arial" w:hAnsi="Arial" w:cs="Arial"/>
          <w:bCs/>
          <w:color w:val="000000" w:themeColor="text1"/>
          <w:sz w:val="24"/>
          <w:szCs w:val="24"/>
        </w:rPr>
      </w:pPr>
      <w:r>
        <w:rPr>
          <w:rFonts w:ascii="Arial" w:hAnsi="Arial" w:cs="Arial"/>
          <w:bCs/>
          <w:color w:val="000000" w:themeColor="text1"/>
          <w:sz w:val="24"/>
          <w:szCs w:val="24"/>
        </w:rPr>
        <w:t xml:space="preserve">Despite the </w:t>
      </w:r>
      <w:r w:rsidR="009E0FB3">
        <w:rPr>
          <w:rFonts w:ascii="Arial" w:hAnsi="Arial" w:cs="Arial"/>
          <w:bCs/>
          <w:color w:val="000000" w:themeColor="text1"/>
          <w:sz w:val="24"/>
          <w:szCs w:val="24"/>
        </w:rPr>
        <w:t xml:space="preserve">accepted </w:t>
      </w:r>
      <w:r>
        <w:rPr>
          <w:rFonts w:ascii="Arial" w:hAnsi="Arial" w:cs="Arial"/>
          <w:bCs/>
          <w:color w:val="000000" w:themeColor="text1"/>
          <w:sz w:val="24"/>
          <w:szCs w:val="24"/>
        </w:rPr>
        <w:t xml:space="preserve">purpose of this new procedure, it has been saddled with numerous problems which </w:t>
      </w:r>
      <w:r w:rsidR="0053770A">
        <w:rPr>
          <w:rFonts w:ascii="Arial" w:hAnsi="Arial" w:cs="Arial"/>
          <w:bCs/>
          <w:color w:val="000000" w:themeColor="text1"/>
          <w:sz w:val="24"/>
          <w:szCs w:val="24"/>
        </w:rPr>
        <w:t>threaten</w:t>
      </w:r>
      <w:r>
        <w:rPr>
          <w:rFonts w:ascii="Arial" w:hAnsi="Arial" w:cs="Arial"/>
          <w:bCs/>
          <w:color w:val="000000" w:themeColor="text1"/>
          <w:sz w:val="24"/>
          <w:szCs w:val="24"/>
        </w:rPr>
        <w:t xml:space="preserve"> its </w:t>
      </w:r>
      <w:r w:rsidR="0053770A">
        <w:rPr>
          <w:rFonts w:ascii="Arial" w:hAnsi="Arial" w:cs="Arial"/>
          <w:bCs/>
          <w:color w:val="000000" w:themeColor="text1"/>
          <w:sz w:val="24"/>
          <w:szCs w:val="24"/>
        </w:rPr>
        <w:t>efficacy</w:t>
      </w:r>
      <w:r>
        <w:rPr>
          <w:rFonts w:ascii="Arial" w:hAnsi="Arial" w:cs="Arial"/>
          <w:bCs/>
          <w:color w:val="000000" w:themeColor="text1"/>
          <w:sz w:val="24"/>
          <w:szCs w:val="24"/>
        </w:rPr>
        <w:t xml:space="preserve"> just like its predecessor, judicial management which failed dismally.</w:t>
      </w:r>
      <w:r>
        <w:rPr>
          <w:rStyle w:val="FootnoteReference"/>
          <w:rFonts w:ascii="Arial" w:hAnsi="Arial" w:cs="Arial"/>
          <w:bCs/>
          <w:color w:val="000000" w:themeColor="text1"/>
          <w:sz w:val="24"/>
          <w:szCs w:val="24"/>
        </w:rPr>
        <w:footnoteReference w:id="9"/>
      </w:r>
      <w:r>
        <w:rPr>
          <w:rFonts w:ascii="Arial" w:hAnsi="Arial" w:cs="Arial"/>
          <w:bCs/>
          <w:color w:val="000000" w:themeColor="text1"/>
          <w:sz w:val="24"/>
          <w:szCs w:val="24"/>
        </w:rPr>
        <w:t xml:space="preserve">  Critic</w:t>
      </w:r>
      <w:r w:rsidR="0053770A">
        <w:rPr>
          <w:rFonts w:ascii="Arial" w:hAnsi="Arial" w:cs="Arial"/>
          <w:bCs/>
          <w:color w:val="000000" w:themeColor="text1"/>
          <w:sz w:val="24"/>
          <w:szCs w:val="24"/>
        </w:rPr>
        <w:t>s in South Africa</w:t>
      </w:r>
      <w:r>
        <w:rPr>
          <w:rFonts w:ascii="Arial" w:hAnsi="Arial" w:cs="Arial"/>
          <w:bCs/>
          <w:color w:val="000000" w:themeColor="text1"/>
          <w:sz w:val="24"/>
          <w:szCs w:val="24"/>
        </w:rPr>
        <w:t xml:space="preserve"> have often pointed at the poor drafting and interpretation of Chapter 6 of the </w:t>
      </w:r>
      <w:r w:rsidR="0053770A">
        <w:rPr>
          <w:rFonts w:ascii="Arial" w:hAnsi="Arial" w:cs="Arial"/>
          <w:bCs/>
          <w:color w:val="000000" w:themeColor="text1"/>
          <w:sz w:val="24"/>
          <w:szCs w:val="24"/>
        </w:rPr>
        <w:t xml:space="preserve">Companies </w:t>
      </w:r>
      <w:r>
        <w:rPr>
          <w:rFonts w:ascii="Arial" w:hAnsi="Arial" w:cs="Arial"/>
          <w:bCs/>
          <w:color w:val="000000" w:themeColor="text1"/>
          <w:sz w:val="24"/>
          <w:szCs w:val="24"/>
        </w:rPr>
        <w:t>Act</w:t>
      </w:r>
      <w:r w:rsidR="0053770A">
        <w:rPr>
          <w:rFonts w:ascii="Arial" w:hAnsi="Arial" w:cs="Arial"/>
          <w:bCs/>
          <w:color w:val="000000" w:themeColor="text1"/>
          <w:sz w:val="24"/>
          <w:szCs w:val="24"/>
        </w:rPr>
        <w:t xml:space="preserve"> 71 of 2008</w:t>
      </w:r>
      <w:r>
        <w:rPr>
          <w:rFonts w:ascii="Arial" w:hAnsi="Arial" w:cs="Arial"/>
          <w:bCs/>
          <w:color w:val="000000" w:themeColor="text1"/>
          <w:sz w:val="24"/>
          <w:szCs w:val="24"/>
        </w:rPr>
        <w:t xml:space="preserve"> as the major </w:t>
      </w:r>
      <w:r w:rsidR="0053770A">
        <w:rPr>
          <w:rFonts w:ascii="Arial" w:hAnsi="Arial" w:cs="Arial"/>
          <w:bCs/>
          <w:color w:val="000000" w:themeColor="text1"/>
          <w:sz w:val="24"/>
          <w:szCs w:val="24"/>
        </w:rPr>
        <w:t>threats</w:t>
      </w:r>
      <w:r>
        <w:rPr>
          <w:rFonts w:ascii="Arial" w:hAnsi="Arial" w:cs="Arial"/>
          <w:bCs/>
          <w:color w:val="000000" w:themeColor="text1"/>
          <w:sz w:val="24"/>
          <w:szCs w:val="24"/>
        </w:rPr>
        <w:t xml:space="preserve"> to its chances of succeeding where judicial management failed.</w:t>
      </w:r>
      <w:r>
        <w:rPr>
          <w:rStyle w:val="FootnoteReference"/>
          <w:rFonts w:ascii="Arial" w:hAnsi="Arial" w:cs="Arial"/>
          <w:bCs/>
          <w:color w:val="000000" w:themeColor="text1"/>
          <w:sz w:val="24"/>
          <w:szCs w:val="24"/>
        </w:rPr>
        <w:footnoteReference w:id="10"/>
      </w:r>
      <w:r>
        <w:rPr>
          <w:rFonts w:ascii="Arial" w:hAnsi="Arial" w:cs="Arial"/>
          <w:bCs/>
          <w:color w:val="000000" w:themeColor="text1"/>
          <w:sz w:val="24"/>
          <w:szCs w:val="24"/>
        </w:rPr>
        <w:t xml:space="preserve"> In </w:t>
      </w:r>
      <w:r w:rsidRPr="00E26874">
        <w:rPr>
          <w:rFonts w:ascii="Arial" w:hAnsi="Arial" w:cs="Arial"/>
          <w:bCs/>
          <w:color w:val="000000" w:themeColor="text1"/>
          <w:sz w:val="24"/>
          <w:szCs w:val="24"/>
        </w:rPr>
        <w:t>particular</w:t>
      </w:r>
      <w:r>
        <w:rPr>
          <w:rFonts w:ascii="Arial" w:hAnsi="Arial" w:cs="Arial"/>
          <w:bCs/>
          <w:color w:val="000000" w:themeColor="text1"/>
          <w:sz w:val="24"/>
          <w:szCs w:val="24"/>
        </w:rPr>
        <w:t>, the hurdles to entry into business rescue are central to the efficacy of this rescue regime.</w:t>
      </w:r>
    </w:p>
    <w:p w14:paraId="6BBB2CEC" w14:textId="439FA5E6" w:rsidR="00F80CFD" w:rsidRDefault="00F80CFD" w:rsidP="00F80CFD">
      <w:pPr>
        <w:pStyle w:val="Body"/>
        <w:spacing w:line="360" w:lineRule="auto"/>
        <w:jc w:val="both"/>
        <w:rPr>
          <w:rFonts w:ascii="Arial" w:hAnsi="Arial"/>
          <w:bCs/>
          <w:sz w:val="24"/>
          <w:szCs w:val="24"/>
        </w:rPr>
      </w:pPr>
      <w:r w:rsidRPr="00E5689D">
        <w:rPr>
          <w:rFonts w:ascii="Arial" w:hAnsi="Arial"/>
          <w:bCs/>
          <w:sz w:val="24"/>
          <w:szCs w:val="24"/>
        </w:rPr>
        <w:t xml:space="preserve">A key success factor of any rescue proceeding </w:t>
      </w:r>
      <w:r>
        <w:rPr>
          <w:rFonts w:ascii="Arial" w:hAnsi="Arial"/>
          <w:bCs/>
          <w:sz w:val="24"/>
          <w:szCs w:val="24"/>
        </w:rPr>
        <w:t>is the ease with which</w:t>
      </w:r>
      <w:r w:rsidRPr="00E5689D">
        <w:rPr>
          <w:rFonts w:ascii="Arial" w:hAnsi="Arial"/>
          <w:bCs/>
          <w:sz w:val="24"/>
          <w:szCs w:val="24"/>
        </w:rPr>
        <w:t xml:space="preserve"> </w:t>
      </w:r>
      <w:r>
        <w:rPr>
          <w:rFonts w:ascii="Arial" w:hAnsi="Arial"/>
          <w:bCs/>
          <w:sz w:val="24"/>
          <w:szCs w:val="24"/>
        </w:rPr>
        <w:t>financially distressed businesses can access it.</w:t>
      </w:r>
      <w:r>
        <w:rPr>
          <w:rStyle w:val="FootnoteReference"/>
          <w:rFonts w:ascii="Arial" w:hAnsi="Arial"/>
          <w:bCs/>
          <w:sz w:val="24"/>
          <w:szCs w:val="24"/>
        </w:rPr>
        <w:footnoteReference w:id="11"/>
      </w:r>
      <w:r>
        <w:rPr>
          <w:rFonts w:ascii="Arial" w:hAnsi="Arial"/>
          <w:bCs/>
          <w:sz w:val="24"/>
          <w:szCs w:val="24"/>
        </w:rPr>
        <w:t xml:space="preserve"> It is widely accepted that timing of entry into rescue is a critical success factor to any business rescue as any delayed response leads to financial </w:t>
      </w:r>
      <w:r w:rsidR="001807F0">
        <w:rPr>
          <w:rFonts w:ascii="Arial" w:hAnsi="Arial"/>
          <w:bCs/>
          <w:sz w:val="24"/>
          <w:szCs w:val="24"/>
        </w:rPr>
        <w:t>hemorrhage</w:t>
      </w:r>
      <w:r w:rsidR="009E0FB3">
        <w:rPr>
          <w:rFonts w:ascii="Arial" w:hAnsi="Arial"/>
          <w:bCs/>
          <w:sz w:val="24"/>
          <w:szCs w:val="24"/>
        </w:rPr>
        <w:t xml:space="preserve"> and </w:t>
      </w:r>
      <w:r w:rsidR="005B5918">
        <w:rPr>
          <w:rFonts w:ascii="Arial" w:hAnsi="Arial"/>
          <w:bCs/>
          <w:sz w:val="24"/>
          <w:szCs w:val="24"/>
        </w:rPr>
        <w:t xml:space="preserve">consequently, </w:t>
      </w:r>
      <w:r w:rsidR="009E0FB3">
        <w:rPr>
          <w:rFonts w:ascii="Arial" w:hAnsi="Arial"/>
          <w:bCs/>
          <w:sz w:val="24"/>
          <w:szCs w:val="24"/>
        </w:rPr>
        <w:t>the demise of the company</w:t>
      </w:r>
      <w:r>
        <w:rPr>
          <w:rFonts w:ascii="Arial" w:hAnsi="Arial"/>
          <w:bCs/>
          <w:sz w:val="24"/>
          <w:szCs w:val="24"/>
        </w:rPr>
        <w:t>.</w:t>
      </w:r>
      <w:r>
        <w:rPr>
          <w:rStyle w:val="FootnoteReference"/>
          <w:rFonts w:ascii="Arial" w:hAnsi="Arial"/>
          <w:bCs/>
          <w:sz w:val="24"/>
          <w:szCs w:val="24"/>
        </w:rPr>
        <w:footnoteReference w:id="12"/>
      </w:r>
      <w:r>
        <w:rPr>
          <w:rFonts w:ascii="Arial" w:hAnsi="Arial"/>
          <w:bCs/>
          <w:sz w:val="24"/>
          <w:szCs w:val="24"/>
        </w:rPr>
        <w:t xml:space="preserve"> Th</w:t>
      </w:r>
      <w:r w:rsidR="0053770A">
        <w:rPr>
          <w:rFonts w:ascii="Arial" w:hAnsi="Arial"/>
          <w:bCs/>
          <w:sz w:val="24"/>
          <w:szCs w:val="24"/>
        </w:rPr>
        <w:t>is</w:t>
      </w:r>
      <w:r>
        <w:rPr>
          <w:rFonts w:ascii="Arial" w:hAnsi="Arial"/>
          <w:bCs/>
          <w:sz w:val="24"/>
          <w:szCs w:val="24"/>
        </w:rPr>
        <w:t xml:space="preserve"> issue</w:t>
      </w:r>
      <w:r w:rsidR="0053770A">
        <w:rPr>
          <w:rFonts w:ascii="Arial" w:hAnsi="Arial"/>
          <w:bCs/>
          <w:sz w:val="24"/>
          <w:szCs w:val="24"/>
        </w:rPr>
        <w:t xml:space="preserve"> </w:t>
      </w:r>
      <w:r>
        <w:rPr>
          <w:rFonts w:ascii="Arial" w:hAnsi="Arial"/>
          <w:bCs/>
          <w:sz w:val="24"/>
          <w:szCs w:val="24"/>
        </w:rPr>
        <w:t>overshadow</w:t>
      </w:r>
      <w:r w:rsidR="0053770A">
        <w:rPr>
          <w:rFonts w:ascii="Arial" w:hAnsi="Arial"/>
          <w:bCs/>
          <w:sz w:val="24"/>
          <w:szCs w:val="24"/>
        </w:rPr>
        <w:t>s</w:t>
      </w:r>
      <w:r>
        <w:rPr>
          <w:rFonts w:ascii="Arial" w:hAnsi="Arial"/>
          <w:bCs/>
          <w:sz w:val="24"/>
          <w:szCs w:val="24"/>
        </w:rPr>
        <w:t xml:space="preserve"> most of the other shortcomings of the Act because </w:t>
      </w:r>
      <w:r w:rsidR="0053770A">
        <w:rPr>
          <w:rFonts w:ascii="Arial" w:hAnsi="Arial"/>
          <w:bCs/>
          <w:sz w:val="24"/>
          <w:szCs w:val="24"/>
        </w:rPr>
        <w:t>it</w:t>
      </w:r>
      <w:r>
        <w:rPr>
          <w:rFonts w:ascii="Arial" w:hAnsi="Arial"/>
          <w:bCs/>
          <w:sz w:val="24"/>
          <w:szCs w:val="24"/>
        </w:rPr>
        <w:t xml:space="preserve"> create</w:t>
      </w:r>
      <w:r w:rsidR="0053770A">
        <w:rPr>
          <w:rFonts w:ascii="Arial" w:hAnsi="Arial"/>
          <w:bCs/>
          <w:sz w:val="24"/>
          <w:szCs w:val="24"/>
        </w:rPr>
        <w:t>s</w:t>
      </w:r>
      <w:r>
        <w:rPr>
          <w:rFonts w:ascii="Arial" w:hAnsi="Arial"/>
          <w:bCs/>
          <w:sz w:val="24"/>
          <w:szCs w:val="24"/>
        </w:rPr>
        <w:t xml:space="preserve"> an impediment to access</w:t>
      </w:r>
      <w:r w:rsidR="005B5918">
        <w:rPr>
          <w:rFonts w:ascii="Arial" w:hAnsi="Arial"/>
          <w:bCs/>
          <w:sz w:val="24"/>
          <w:szCs w:val="24"/>
        </w:rPr>
        <w:t xml:space="preserve"> to</w:t>
      </w:r>
      <w:r>
        <w:rPr>
          <w:rFonts w:ascii="Arial" w:hAnsi="Arial"/>
          <w:bCs/>
          <w:sz w:val="24"/>
          <w:szCs w:val="24"/>
        </w:rPr>
        <w:t xml:space="preserve"> the procedure by financially distressed companies thereby defeating the very purpose for which the law was created for</w:t>
      </w:r>
      <w:r w:rsidR="0053770A">
        <w:rPr>
          <w:rFonts w:ascii="Arial" w:hAnsi="Arial"/>
          <w:bCs/>
          <w:sz w:val="24"/>
          <w:szCs w:val="24"/>
        </w:rPr>
        <w:t>.</w:t>
      </w:r>
      <w:r>
        <w:rPr>
          <w:rFonts w:ascii="Arial" w:hAnsi="Arial"/>
          <w:bCs/>
          <w:sz w:val="24"/>
          <w:szCs w:val="24"/>
        </w:rPr>
        <w:t xml:space="preserve"> </w:t>
      </w:r>
      <w:r w:rsidR="0053770A">
        <w:rPr>
          <w:rFonts w:ascii="Arial" w:hAnsi="Arial"/>
          <w:bCs/>
          <w:sz w:val="24"/>
          <w:szCs w:val="24"/>
        </w:rPr>
        <w:t>W</w:t>
      </w:r>
      <w:r>
        <w:rPr>
          <w:rFonts w:ascii="Arial" w:hAnsi="Arial"/>
          <w:bCs/>
          <w:sz w:val="24"/>
          <w:szCs w:val="24"/>
        </w:rPr>
        <w:t>hile the majority of the shortcomings may only weaken the rescue process itself</w:t>
      </w:r>
      <w:r w:rsidR="0053770A">
        <w:rPr>
          <w:rFonts w:ascii="Arial" w:hAnsi="Arial"/>
          <w:bCs/>
          <w:sz w:val="24"/>
          <w:szCs w:val="24"/>
        </w:rPr>
        <w:t>, barriers to entry may sound a death knell to any financially distressed company</w:t>
      </w:r>
      <w:r>
        <w:rPr>
          <w:rFonts w:ascii="Arial" w:hAnsi="Arial"/>
          <w:bCs/>
          <w:sz w:val="24"/>
          <w:szCs w:val="24"/>
        </w:rPr>
        <w:t>.</w:t>
      </w:r>
    </w:p>
    <w:p w14:paraId="64387DC8" w14:textId="402256CC" w:rsidR="00F80CFD" w:rsidRPr="00055B39" w:rsidRDefault="00F80CFD" w:rsidP="00F80CFD">
      <w:pPr>
        <w:pStyle w:val="Heading2"/>
        <w:rPr>
          <w:u w:val="single"/>
        </w:rPr>
      </w:pPr>
      <w:bookmarkStart w:id="0" w:name="_Toc125801521"/>
      <w:bookmarkStart w:id="1" w:name="_Toc125801555"/>
      <w:bookmarkStart w:id="2" w:name="_Toc125801589"/>
      <w:bookmarkStart w:id="3" w:name="_Toc125801623"/>
      <w:bookmarkStart w:id="4" w:name="_Toc125801657"/>
      <w:bookmarkStart w:id="5" w:name="_Toc125801691"/>
      <w:bookmarkStart w:id="6" w:name="_Toc125801725"/>
      <w:bookmarkStart w:id="7" w:name="_Toc125802516"/>
      <w:r>
        <w:t xml:space="preserve"> </w:t>
      </w:r>
      <w:r w:rsidRPr="00055B39">
        <w:rPr>
          <w:u w:val="single"/>
        </w:rPr>
        <w:t>NOTICE RQUIREMENTS</w:t>
      </w:r>
      <w:bookmarkEnd w:id="0"/>
      <w:bookmarkEnd w:id="1"/>
      <w:bookmarkEnd w:id="2"/>
      <w:bookmarkEnd w:id="3"/>
      <w:bookmarkEnd w:id="4"/>
      <w:bookmarkEnd w:id="5"/>
      <w:bookmarkEnd w:id="6"/>
      <w:bookmarkEnd w:id="7"/>
    </w:p>
    <w:p w14:paraId="00825A84" w14:textId="61E91824" w:rsidR="00F80CFD" w:rsidRDefault="00F80CFD" w:rsidP="00F80CFD">
      <w:pPr>
        <w:pStyle w:val="Body"/>
        <w:spacing w:line="360" w:lineRule="auto"/>
        <w:jc w:val="both"/>
        <w:rPr>
          <w:rFonts w:ascii="Arial" w:hAnsi="Arial"/>
          <w:bCs/>
          <w:sz w:val="24"/>
          <w:szCs w:val="24"/>
        </w:rPr>
      </w:pPr>
      <w:r>
        <w:rPr>
          <w:rFonts w:ascii="Arial" w:hAnsi="Arial"/>
          <w:bCs/>
          <w:sz w:val="24"/>
          <w:szCs w:val="24"/>
        </w:rPr>
        <w:t xml:space="preserve">An affected applicant is expected to notify each affected person of the application in </w:t>
      </w:r>
      <w:r w:rsidR="005B5918">
        <w:rPr>
          <w:rFonts w:ascii="Arial" w:hAnsi="Arial"/>
          <w:bCs/>
          <w:sz w:val="24"/>
          <w:szCs w:val="24"/>
        </w:rPr>
        <w:t>by standard notice</w:t>
      </w:r>
      <w:r>
        <w:rPr>
          <w:rFonts w:ascii="Arial" w:hAnsi="Arial"/>
          <w:bCs/>
          <w:sz w:val="24"/>
          <w:szCs w:val="24"/>
        </w:rPr>
        <w:t>.</w:t>
      </w:r>
      <w:r>
        <w:rPr>
          <w:rStyle w:val="FootnoteReference"/>
          <w:rFonts w:ascii="Arial" w:hAnsi="Arial"/>
          <w:bCs/>
          <w:sz w:val="24"/>
          <w:szCs w:val="24"/>
        </w:rPr>
        <w:footnoteReference w:id="13"/>
      </w:r>
      <w:r>
        <w:rPr>
          <w:rFonts w:ascii="Arial" w:hAnsi="Arial"/>
          <w:bCs/>
          <w:sz w:val="24"/>
          <w:szCs w:val="24"/>
        </w:rPr>
        <w:t xml:space="preserve">  It is important to note that the affected persons referred to, as defined in s12</w:t>
      </w:r>
      <w:r w:rsidR="005B5918">
        <w:rPr>
          <w:rFonts w:ascii="Arial" w:hAnsi="Arial"/>
          <w:bCs/>
          <w:sz w:val="24"/>
          <w:szCs w:val="24"/>
        </w:rPr>
        <w:t>1</w:t>
      </w:r>
      <w:r>
        <w:rPr>
          <w:rFonts w:ascii="Arial" w:hAnsi="Arial"/>
          <w:bCs/>
          <w:sz w:val="24"/>
          <w:szCs w:val="24"/>
        </w:rPr>
        <w:t xml:space="preserve"> of the Act, include shareholders, creditors, registered trade unions with </w:t>
      </w:r>
      <w:r>
        <w:rPr>
          <w:rFonts w:ascii="Arial" w:hAnsi="Arial"/>
          <w:bCs/>
          <w:sz w:val="24"/>
          <w:szCs w:val="24"/>
        </w:rPr>
        <w:lastRenderedPageBreak/>
        <w:t>members within the company or non-</w:t>
      </w:r>
      <w:r w:rsidR="0053770A">
        <w:rPr>
          <w:rFonts w:ascii="Arial" w:hAnsi="Arial"/>
          <w:bCs/>
          <w:sz w:val="24"/>
          <w:szCs w:val="24"/>
        </w:rPr>
        <w:t>unionized</w:t>
      </w:r>
      <w:r>
        <w:rPr>
          <w:rFonts w:ascii="Arial" w:hAnsi="Arial"/>
          <w:bCs/>
          <w:sz w:val="24"/>
          <w:szCs w:val="24"/>
        </w:rPr>
        <w:t xml:space="preserve"> employees or their representative.</w:t>
      </w:r>
      <w:r>
        <w:rPr>
          <w:rStyle w:val="FootnoteReference"/>
          <w:rFonts w:ascii="Arial" w:hAnsi="Arial"/>
          <w:bCs/>
          <w:sz w:val="24"/>
          <w:szCs w:val="24"/>
        </w:rPr>
        <w:footnoteReference w:id="14"/>
      </w:r>
      <w:r>
        <w:rPr>
          <w:rFonts w:ascii="Arial" w:hAnsi="Arial"/>
          <w:bCs/>
          <w:sz w:val="24"/>
          <w:szCs w:val="24"/>
        </w:rPr>
        <w:t xml:space="preserve"> It may be </w:t>
      </w:r>
      <w:r w:rsidR="0053770A">
        <w:rPr>
          <w:rFonts w:ascii="Arial" w:hAnsi="Arial"/>
          <w:bCs/>
          <w:sz w:val="24"/>
          <w:szCs w:val="24"/>
        </w:rPr>
        <w:t>extremely</w:t>
      </w:r>
      <w:r>
        <w:rPr>
          <w:rFonts w:ascii="Arial" w:hAnsi="Arial"/>
          <w:bCs/>
          <w:sz w:val="24"/>
          <w:szCs w:val="24"/>
        </w:rPr>
        <w:t xml:space="preserve"> difficult for the applicant who has no access to company records to identify and find the addresses of all affected persons especially if they include thousands of shareholders and non-union workers who may be located all over </w:t>
      </w:r>
      <w:r w:rsidR="0053770A">
        <w:rPr>
          <w:rFonts w:ascii="Arial" w:hAnsi="Arial"/>
          <w:bCs/>
          <w:sz w:val="24"/>
          <w:szCs w:val="24"/>
        </w:rPr>
        <w:t>Zimbabwe</w:t>
      </w:r>
      <w:r>
        <w:rPr>
          <w:rFonts w:ascii="Arial" w:hAnsi="Arial"/>
          <w:bCs/>
          <w:sz w:val="24"/>
          <w:szCs w:val="24"/>
        </w:rPr>
        <w:t>.</w:t>
      </w:r>
      <w:r>
        <w:rPr>
          <w:rStyle w:val="FootnoteReference"/>
          <w:rFonts w:ascii="Arial" w:hAnsi="Arial"/>
          <w:bCs/>
          <w:sz w:val="24"/>
          <w:szCs w:val="24"/>
        </w:rPr>
        <w:footnoteReference w:id="15"/>
      </w:r>
      <w:r>
        <w:rPr>
          <w:rFonts w:ascii="Arial" w:hAnsi="Arial"/>
          <w:bCs/>
          <w:sz w:val="24"/>
          <w:szCs w:val="24"/>
        </w:rPr>
        <w:t xml:space="preserve"> Notification of all affected persons was held to be a substantive matter and not a mere procedural step.</w:t>
      </w:r>
      <w:r>
        <w:rPr>
          <w:rStyle w:val="FootnoteReference"/>
          <w:rFonts w:ascii="Arial" w:hAnsi="Arial"/>
          <w:bCs/>
          <w:sz w:val="24"/>
          <w:szCs w:val="24"/>
        </w:rPr>
        <w:footnoteReference w:id="16"/>
      </w:r>
      <w:r>
        <w:rPr>
          <w:rFonts w:ascii="Arial" w:hAnsi="Arial"/>
          <w:bCs/>
          <w:sz w:val="24"/>
          <w:szCs w:val="24"/>
        </w:rPr>
        <w:t xml:space="preserve"> </w:t>
      </w:r>
      <w:r w:rsidR="0053770A">
        <w:rPr>
          <w:rFonts w:ascii="Arial" w:hAnsi="Arial"/>
          <w:bCs/>
          <w:sz w:val="24"/>
          <w:szCs w:val="24"/>
        </w:rPr>
        <w:t xml:space="preserve">The notice requirement has so far seen the still birth a several compulsory applications for corporate rescue. In the seminal </w:t>
      </w:r>
      <w:proofErr w:type="spellStart"/>
      <w:r w:rsidR="0053770A">
        <w:rPr>
          <w:rFonts w:ascii="Arial" w:hAnsi="Arial"/>
          <w:bCs/>
          <w:sz w:val="24"/>
          <w:szCs w:val="24"/>
        </w:rPr>
        <w:t>Metallon</w:t>
      </w:r>
      <w:proofErr w:type="spellEnd"/>
      <w:r w:rsidR="0053770A">
        <w:rPr>
          <w:rFonts w:ascii="Arial" w:hAnsi="Arial"/>
          <w:bCs/>
          <w:sz w:val="24"/>
          <w:szCs w:val="24"/>
        </w:rPr>
        <w:t xml:space="preserve"> Gold case Malaba CJ stated that the notice requirements enshrined in S124[2] were couched in peremptory language and non-compliance with those requirements rendered the application a nullity. More critical is the observation by the court that the notice is supposed to by way of standard notice which is defined in s2 of the act as notice by way of a registered mail, email or personal delivery and not by way of publication in a newspaper. One observes that under the repealed procedure of judicial management there was no requirement to give notice to any of the new class of affected persons. Furthermore, any notice were supposed to be given by way of publication in the Government Gazette and/or any national newspaper. </w:t>
      </w:r>
      <w:r>
        <w:rPr>
          <w:rFonts w:ascii="Arial" w:hAnsi="Arial"/>
          <w:bCs/>
          <w:sz w:val="24"/>
          <w:szCs w:val="24"/>
        </w:rPr>
        <w:t>The burdensome and costly notice requirement prescribed in S</w:t>
      </w:r>
      <w:r w:rsidR="0053770A">
        <w:rPr>
          <w:rFonts w:ascii="Arial" w:hAnsi="Arial"/>
          <w:bCs/>
          <w:sz w:val="24"/>
          <w:szCs w:val="24"/>
        </w:rPr>
        <w:t>124</w:t>
      </w:r>
      <w:r>
        <w:rPr>
          <w:rFonts w:ascii="Arial" w:hAnsi="Arial"/>
          <w:bCs/>
          <w:sz w:val="24"/>
          <w:szCs w:val="24"/>
        </w:rPr>
        <w:t xml:space="preserve">[2][b] adds further costs </w:t>
      </w:r>
      <w:r w:rsidR="005B5918">
        <w:rPr>
          <w:rFonts w:ascii="Arial" w:hAnsi="Arial"/>
          <w:bCs/>
          <w:sz w:val="24"/>
          <w:szCs w:val="24"/>
        </w:rPr>
        <w:t>of</w:t>
      </w:r>
      <w:r>
        <w:rPr>
          <w:rFonts w:ascii="Arial" w:hAnsi="Arial"/>
          <w:bCs/>
          <w:sz w:val="24"/>
          <w:szCs w:val="24"/>
        </w:rPr>
        <w:t xml:space="preserve"> entry into business rescue an issue which was of concern with judicial management.</w:t>
      </w:r>
      <w:r>
        <w:rPr>
          <w:rStyle w:val="FootnoteReference"/>
          <w:rFonts w:ascii="Arial" w:hAnsi="Arial"/>
          <w:bCs/>
          <w:sz w:val="24"/>
          <w:szCs w:val="24"/>
        </w:rPr>
        <w:footnoteReference w:id="17"/>
      </w:r>
      <w:r>
        <w:rPr>
          <w:rFonts w:ascii="Arial" w:hAnsi="Arial"/>
          <w:bCs/>
          <w:sz w:val="24"/>
          <w:szCs w:val="24"/>
        </w:rPr>
        <w:t xml:space="preserve">. One can safely conclude that it is not only more onerous  to obtain a court order of business rescue but even more expensive than what was required to obtain a court order of judicial management under the previous regime despite the low hurdle required as noted in the </w:t>
      </w:r>
      <w:proofErr w:type="spellStart"/>
      <w:r w:rsidR="0053770A" w:rsidRPr="00055B39">
        <w:rPr>
          <w:rFonts w:ascii="Arial" w:hAnsi="Arial"/>
          <w:bCs/>
          <w:i/>
          <w:iCs/>
          <w:sz w:val="24"/>
          <w:szCs w:val="24"/>
        </w:rPr>
        <w:t>Metallon</w:t>
      </w:r>
      <w:proofErr w:type="spellEnd"/>
      <w:r w:rsidR="0053770A" w:rsidRPr="00055B39">
        <w:rPr>
          <w:rFonts w:ascii="Arial" w:hAnsi="Arial"/>
          <w:bCs/>
          <w:i/>
          <w:iCs/>
          <w:sz w:val="24"/>
          <w:szCs w:val="24"/>
        </w:rPr>
        <w:t xml:space="preserve"> Gold</w:t>
      </w:r>
      <w:r w:rsidR="0053770A">
        <w:rPr>
          <w:rFonts w:ascii="Arial" w:hAnsi="Arial"/>
          <w:bCs/>
          <w:sz w:val="24"/>
          <w:szCs w:val="24"/>
        </w:rPr>
        <w:t xml:space="preserve"> </w:t>
      </w:r>
      <w:r>
        <w:rPr>
          <w:rFonts w:ascii="Arial" w:hAnsi="Arial"/>
          <w:bCs/>
          <w:sz w:val="24"/>
          <w:szCs w:val="24"/>
        </w:rPr>
        <w:t>case.</w:t>
      </w:r>
    </w:p>
    <w:p w14:paraId="5CBB6E78" w14:textId="03E6CA94" w:rsidR="00055B39" w:rsidRDefault="005B5918" w:rsidP="00055B39">
      <w:pPr>
        <w:pStyle w:val="Body"/>
        <w:spacing w:line="360" w:lineRule="auto"/>
        <w:jc w:val="both"/>
        <w:rPr>
          <w:rFonts w:ascii="Arial" w:hAnsi="Arial"/>
          <w:bCs/>
          <w:sz w:val="24"/>
          <w:szCs w:val="24"/>
        </w:rPr>
      </w:pPr>
      <w:r>
        <w:rPr>
          <w:rFonts w:ascii="Arial" w:hAnsi="Arial"/>
          <w:bCs/>
          <w:sz w:val="24"/>
          <w:szCs w:val="24"/>
        </w:rPr>
        <w:t xml:space="preserve">Comparing the position with the similar South African provision indicates an even worse situation. In South Africa notice is designed to be given in the prescribed manner. R124 provides that a copy of the court application must be delivered in terms of R7.  R7 prescribes for delivery in terms of S6[10] of the Companies Act 71 of 2008 or Table CR3 which like the standard notice definition in the Zimbabwean Insolvency </w:t>
      </w:r>
      <w:r>
        <w:rPr>
          <w:rFonts w:ascii="Arial" w:hAnsi="Arial"/>
          <w:bCs/>
          <w:sz w:val="24"/>
          <w:szCs w:val="24"/>
        </w:rPr>
        <w:lastRenderedPageBreak/>
        <w:t xml:space="preserve">Act lists the methods as including facsimile, electronic email, registered or physical  delivery. The difference between the two pieces of legislation is that whilst in Zimbabwe the applicant is only required to give a notice the South African position required delivery of the court application as per R124. One observes therefore, that the South African position is more onerous than the Zimbabwean position. </w:t>
      </w:r>
      <w:r w:rsidR="00055B39">
        <w:rPr>
          <w:rFonts w:ascii="Arial" w:hAnsi="Arial"/>
          <w:bCs/>
          <w:sz w:val="24"/>
          <w:szCs w:val="24"/>
        </w:rPr>
        <w:t>The subsidiary legislation dealing with the S131[2][b] notice requirement Reg124 prescribes that each affected person must be served with a copy of the application.</w:t>
      </w:r>
      <w:r w:rsidR="00055B39" w:rsidRPr="001442F6">
        <w:rPr>
          <w:rStyle w:val="FootnoteReference"/>
          <w:rFonts w:ascii="Arial" w:hAnsi="Arial"/>
          <w:bCs/>
          <w:sz w:val="24"/>
          <w:szCs w:val="24"/>
        </w:rPr>
        <w:t xml:space="preserve"> </w:t>
      </w:r>
      <w:r w:rsidR="00055B39">
        <w:rPr>
          <w:rStyle w:val="FootnoteReference"/>
          <w:rFonts w:ascii="Arial" w:hAnsi="Arial"/>
          <w:bCs/>
          <w:sz w:val="24"/>
          <w:szCs w:val="24"/>
        </w:rPr>
        <w:footnoteReference w:id="18"/>
      </w:r>
      <w:r w:rsidR="00055B39">
        <w:rPr>
          <w:rFonts w:ascii="Arial" w:hAnsi="Arial"/>
          <w:bCs/>
          <w:sz w:val="24"/>
          <w:szCs w:val="24"/>
        </w:rPr>
        <w:t xml:space="preserve">  In </w:t>
      </w:r>
      <w:r w:rsidR="00055B39" w:rsidRPr="00643FFF">
        <w:rPr>
          <w:rFonts w:ascii="Arial" w:hAnsi="Arial"/>
          <w:bCs/>
          <w:i/>
          <w:iCs/>
          <w:sz w:val="24"/>
          <w:szCs w:val="24"/>
        </w:rPr>
        <w:t>Cape Point Vineyards [Pty] Ltd v Pinnacle Point Group Ltd [Advantage Projects Managers [Pty] Ltd Intervening</w:t>
      </w:r>
      <w:r w:rsidR="00055B39">
        <w:rPr>
          <w:rFonts w:ascii="Arial" w:hAnsi="Arial"/>
          <w:bCs/>
          <w:sz w:val="24"/>
          <w:szCs w:val="24"/>
        </w:rPr>
        <w:t>]</w:t>
      </w:r>
      <w:r w:rsidR="00055B39">
        <w:rPr>
          <w:rStyle w:val="FootnoteReference"/>
          <w:rFonts w:ascii="Arial" w:hAnsi="Arial"/>
          <w:bCs/>
          <w:sz w:val="24"/>
          <w:szCs w:val="24"/>
        </w:rPr>
        <w:footnoteReference w:id="19"/>
      </w:r>
      <w:r w:rsidR="00055B39">
        <w:rPr>
          <w:rFonts w:ascii="Arial" w:hAnsi="Arial"/>
          <w:bCs/>
          <w:sz w:val="24"/>
          <w:szCs w:val="24"/>
        </w:rPr>
        <w:t xml:space="preserve"> it was correctly noted that Reg124 as a piece of subsidiary legislation went beyond what was provided for by the Act which only requires notice of the application. The court correctly pointed out that  there was a clear distinction between S131[2][a] of the Act which requires service of the application upon the </w:t>
      </w:r>
      <w:r w:rsidR="00055B39" w:rsidRPr="00DF25BF">
        <w:rPr>
          <w:rFonts w:ascii="Arial" w:hAnsi="Arial"/>
          <w:bCs/>
          <w:sz w:val="24"/>
          <w:szCs w:val="24"/>
        </w:rPr>
        <w:t>company</w:t>
      </w:r>
      <w:r w:rsidR="00055B39">
        <w:rPr>
          <w:rFonts w:ascii="Arial" w:hAnsi="Arial"/>
          <w:bCs/>
          <w:sz w:val="24"/>
          <w:szCs w:val="24"/>
        </w:rPr>
        <w:t xml:space="preserve"> and the CIPC and S131[2][b] of the Act which requires notice of the application on all affected persons. It recommended that an order of substituted service be sought in terms of Reg 7[3] for compliance purposes in future. In the case of </w:t>
      </w:r>
      <w:r w:rsidR="00055B39" w:rsidRPr="00643FFF">
        <w:rPr>
          <w:rFonts w:ascii="Arial" w:hAnsi="Arial"/>
          <w:bCs/>
          <w:i/>
          <w:iCs/>
          <w:sz w:val="24"/>
          <w:szCs w:val="24"/>
        </w:rPr>
        <w:t xml:space="preserve">Kalahari Resources [Pty] Ltd v </w:t>
      </w:r>
      <w:proofErr w:type="spellStart"/>
      <w:r w:rsidR="00055B39" w:rsidRPr="00643FFF">
        <w:rPr>
          <w:rFonts w:ascii="Arial" w:hAnsi="Arial"/>
          <w:bCs/>
          <w:i/>
          <w:iCs/>
          <w:sz w:val="24"/>
          <w:szCs w:val="24"/>
        </w:rPr>
        <w:t>Arcelormittal</w:t>
      </w:r>
      <w:proofErr w:type="spellEnd"/>
      <w:r w:rsidR="00055B39" w:rsidRPr="00643FFF">
        <w:rPr>
          <w:rFonts w:ascii="Arial" w:hAnsi="Arial"/>
          <w:bCs/>
          <w:i/>
          <w:iCs/>
          <w:sz w:val="24"/>
          <w:szCs w:val="24"/>
        </w:rPr>
        <w:t xml:space="preserve"> SA [Pty] Ltd</w:t>
      </w:r>
      <w:r w:rsidR="00055B39">
        <w:rPr>
          <w:rStyle w:val="FootnoteReference"/>
          <w:rFonts w:ascii="Arial" w:hAnsi="Arial"/>
          <w:bCs/>
          <w:sz w:val="24"/>
          <w:szCs w:val="24"/>
        </w:rPr>
        <w:footnoteReference w:id="20"/>
      </w:r>
      <w:r w:rsidR="00055B39">
        <w:rPr>
          <w:rFonts w:ascii="Arial" w:hAnsi="Arial"/>
          <w:bCs/>
          <w:sz w:val="24"/>
          <w:szCs w:val="24"/>
        </w:rPr>
        <w:t xml:space="preserve"> it was held that compliance with Reg124 was required until the regulation was declared invalid by a court of competent jurisdiction.</w:t>
      </w:r>
    </w:p>
    <w:p w14:paraId="53D0404A" w14:textId="3A89E43D" w:rsidR="00055B39" w:rsidRPr="00055B39" w:rsidRDefault="00055B39" w:rsidP="00055B39">
      <w:pPr>
        <w:pStyle w:val="Body"/>
        <w:spacing w:line="360" w:lineRule="auto"/>
        <w:jc w:val="both"/>
        <w:rPr>
          <w:rFonts w:ascii="Arial" w:hAnsi="Arial"/>
          <w:b/>
          <w:sz w:val="24"/>
          <w:szCs w:val="24"/>
          <w:u w:val="single"/>
        </w:rPr>
      </w:pPr>
      <w:r w:rsidRPr="00055B39">
        <w:rPr>
          <w:rFonts w:ascii="Arial" w:hAnsi="Arial"/>
          <w:b/>
          <w:sz w:val="24"/>
          <w:szCs w:val="24"/>
          <w:u w:val="single"/>
        </w:rPr>
        <w:t>RECOMMENDATIONS</w:t>
      </w:r>
    </w:p>
    <w:p w14:paraId="0B0863E6" w14:textId="6A31426C" w:rsidR="00055B39" w:rsidRDefault="00055B39" w:rsidP="00055B39">
      <w:pPr>
        <w:pStyle w:val="Body"/>
        <w:spacing w:line="360" w:lineRule="auto"/>
        <w:jc w:val="both"/>
        <w:rPr>
          <w:rFonts w:ascii="Arial" w:hAnsi="Arial"/>
          <w:bCs/>
          <w:sz w:val="24"/>
          <w:szCs w:val="24"/>
        </w:rPr>
      </w:pPr>
      <w:r>
        <w:rPr>
          <w:rFonts w:ascii="Arial" w:hAnsi="Arial"/>
          <w:bCs/>
          <w:sz w:val="24"/>
          <w:szCs w:val="24"/>
        </w:rPr>
        <w:t xml:space="preserve">One observes that the notice requirements prescribed in the Insolvency Act create a huge hurdle for entry into corporate rescue through the compulsory route. There is also nothing to learn from our South African counterparts as the position in South Africa is even more onerous. Consequently, since the Supreme Court has already stated the position of the law and confirmed a literal interpretation of the provision there is need for legislative reform. One notes that the notice to all affected persons is required to ensure that all stakeholder interests covered. Nevertheless, a notice in the government gazette and a national newspaper as the was position with notices under judicial management would suffice. This would then be coupled with a requirement that the order of corporate rescue is served on all affected persons by the Corporate Rescue Practitioner within a stipulated period after his or her appointment. The </w:t>
      </w:r>
      <w:r>
        <w:rPr>
          <w:rFonts w:ascii="Arial" w:hAnsi="Arial"/>
          <w:bCs/>
          <w:sz w:val="24"/>
          <w:szCs w:val="24"/>
        </w:rPr>
        <w:lastRenderedPageBreak/>
        <w:t>Corporate Rescue Practitioner will have access to company information. As a result he or she will not have difficulties which currently work against the court applicant.</w:t>
      </w:r>
    </w:p>
    <w:p w14:paraId="7ECE1F8B" w14:textId="449D106E" w:rsidR="00055B39" w:rsidRDefault="00055B39" w:rsidP="00055B39">
      <w:pPr>
        <w:pStyle w:val="Body"/>
        <w:spacing w:line="360" w:lineRule="auto"/>
        <w:jc w:val="both"/>
        <w:rPr>
          <w:rFonts w:ascii="Arial" w:hAnsi="Arial"/>
          <w:bCs/>
          <w:sz w:val="24"/>
          <w:szCs w:val="24"/>
        </w:rPr>
      </w:pPr>
    </w:p>
    <w:p w14:paraId="588C2C64" w14:textId="1CF5485E" w:rsidR="00055B39" w:rsidRPr="00055B39" w:rsidRDefault="00055B39" w:rsidP="00055B39">
      <w:pPr>
        <w:pStyle w:val="Body"/>
        <w:spacing w:line="360" w:lineRule="auto"/>
        <w:jc w:val="both"/>
        <w:rPr>
          <w:rFonts w:ascii="Arial" w:hAnsi="Arial"/>
          <w:b/>
          <w:sz w:val="24"/>
          <w:szCs w:val="24"/>
          <w:u w:val="single"/>
        </w:rPr>
      </w:pPr>
      <w:r w:rsidRPr="00055B39">
        <w:rPr>
          <w:rFonts w:ascii="Arial" w:hAnsi="Arial"/>
          <w:b/>
          <w:sz w:val="24"/>
          <w:szCs w:val="24"/>
          <w:u w:val="single"/>
        </w:rPr>
        <w:t>CONCLUSION</w:t>
      </w:r>
    </w:p>
    <w:p w14:paraId="08E608B5" w14:textId="1AA10F39" w:rsidR="00055B39" w:rsidRDefault="00055B39" w:rsidP="00055B39">
      <w:pPr>
        <w:pStyle w:val="Body"/>
        <w:spacing w:line="360" w:lineRule="auto"/>
        <w:jc w:val="both"/>
        <w:rPr>
          <w:rFonts w:ascii="Arial" w:hAnsi="Arial"/>
          <w:bCs/>
          <w:sz w:val="24"/>
          <w:szCs w:val="24"/>
        </w:rPr>
      </w:pPr>
      <w:r>
        <w:rPr>
          <w:rFonts w:ascii="Arial" w:hAnsi="Arial"/>
          <w:bCs/>
          <w:sz w:val="24"/>
          <w:szCs w:val="24"/>
        </w:rPr>
        <w:t>In conclusion, one observes that a critical success factor of any business rescue procedure is the easy with which the financially distressed companies have access to it. This is crucial because entry into business rescue must not only be simple but also less costly. A company in financial distress does not only need urgent resuscitation interventions but also at the least cost as financial distress has all to do with lack cashflow problems. The earlier the intervention, the better the chances of a successful rescue. On the contrary prolonged litigation and regulatory hurdles create undesirable costs and increase the risks of failure as result of delayed intervention. Consequently, one recommends legislative reforms to curtail the procedure and reduce costs. This can be done through prescription of a less onerous notice method like advertising notice of the application in the Government Gazette and national Newspaper coupled with delivery of the  court order by the Corporate Rescue Practitioner.</w:t>
      </w:r>
    </w:p>
    <w:p w14:paraId="46500681" w14:textId="1D89DE3E" w:rsidR="005B5918" w:rsidRDefault="005B5918" w:rsidP="00F80CFD">
      <w:pPr>
        <w:pStyle w:val="Body"/>
        <w:spacing w:line="360" w:lineRule="auto"/>
        <w:jc w:val="both"/>
        <w:rPr>
          <w:rFonts w:ascii="Arial" w:hAnsi="Arial"/>
          <w:bCs/>
          <w:sz w:val="24"/>
          <w:szCs w:val="24"/>
        </w:rPr>
      </w:pPr>
    </w:p>
    <w:p w14:paraId="3209C30B" w14:textId="77777777" w:rsidR="00F80CFD" w:rsidRDefault="00F80CFD" w:rsidP="00067B1E">
      <w:pPr>
        <w:pStyle w:val="Body"/>
        <w:spacing w:line="360" w:lineRule="auto"/>
        <w:jc w:val="both"/>
        <w:rPr>
          <w:rFonts w:ascii="Arial" w:hAnsi="Arial" w:cs="Arial"/>
          <w:bCs/>
          <w:color w:val="000000" w:themeColor="text1"/>
          <w:sz w:val="24"/>
          <w:szCs w:val="24"/>
        </w:rPr>
      </w:pPr>
    </w:p>
    <w:p w14:paraId="7A21293C" w14:textId="77777777" w:rsidR="008D51FB" w:rsidRDefault="008D51FB"/>
    <w:sectPr w:rsidR="008D51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2C272" w14:textId="77777777" w:rsidR="005963A2" w:rsidRDefault="005963A2" w:rsidP="00067B1E">
      <w:r>
        <w:separator/>
      </w:r>
    </w:p>
  </w:endnote>
  <w:endnote w:type="continuationSeparator" w:id="0">
    <w:p w14:paraId="5108B246" w14:textId="77777777" w:rsidR="005963A2" w:rsidRDefault="005963A2" w:rsidP="0006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EA61" w14:textId="77777777" w:rsidR="005963A2" w:rsidRDefault="005963A2" w:rsidP="00067B1E">
      <w:r>
        <w:separator/>
      </w:r>
    </w:p>
  </w:footnote>
  <w:footnote w:type="continuationSeparator" w:id="0">
    <w:p w14:paraId="08A91E56" w14:textId="77777777" w:rsidR="005963A2" w:rsidRDefault="005963A2" w:rsidP="00067B1E">
      <w:r>
        <w:continuationSeparator/>
      </w:r>
    </w:p>
  </w:footnote>
  <w:footnote w:id="1">
    <w:p w14:paraId="565F9118" w14:textId="77777777" w:rsidR="00067B1E" w:rsidRPr="00464E6F" w:rsidRDefault="00067B1E" w:rsidP="00067B1E">
      <w:pPr>
        <w:pStyle w:val="FootnoteText"/>
        <w:jc w:val="both"/>
        <w:rPr>
          <w:rFonts w:ascii="Arial" w:hAnsi="Arial" w:cs="Arial"/>
          <w:sz w:val="20"/>
          <w:szCs w:val="20"/>
          <w:lang w:val="en-ZA"/>
        </w:rPr>
      </w:pPr>
      <w:r w:rsidRPr="00DF25BF">
        <w:rPr>
          <w:rStyle w:val="FootnoteReference"/>
          <w:rFonts w:ascii="Arial" w:hAnsi="Arial" w:cs="Arial"/>
          <w:sz w:val="20"/>
          <w:szCs w:val="20"/>
        </w:rPr>
        <w:footnoteRef/>
      </w:r>
      <w:r w:rsidRPr="00DF25BF">
        <w:rPr>
          <w:rFonts w:ascii="Arial" w:hAnsi="Arial" w:cs="Arial"/>
          <w:sz w:val="20"/>
          <w:szCs w:val="20"/>
        </w:rPr>
        <w:t xml:space="preserve"> </w:t>
      </w:r>
      <w:r w:rsidRPr="00464E6F">
        <w:rPr>
          <w:rFonts w:ascii="Arial" w:hAnsi="Arial" w:cs="Arial"/>
          <w:bCs/>
          <w:color w:val="000000" w:themeColor="text1"/>
          <w:sz w:val="20"/>
          <w:szCs w:val="20"/>
        </w:rPr>
        <w:t xml:space="preserve">Hereinafter referred to as the “the Act.”  </w:t>
      </w:r>
    </w:p>
  </w:footnote>
  <w:footnote w:id="2">
    <w:p w14:paraId="2B4E3A75" w14:textId="3D337A42" w:rsidR="00067B1E" w:rsidRPr="00464E6F" w:rsidRDefault="00067B1E" w:rsidP="00067B1E">
      <w:pPr>
        <w:pStyle w:val="FootnoteText"/>
        <w:jc w:val="both"/>
        <w:rPr>
          <w:rFonts w:ascii="Arial" w:hAnsi="Arial" w:cs="Arial"/>
          <w:sz w:val="20"/>
          <w:szCs w:val="20"/>
        </w:rPr>
      </w:pPr>
      <w:r w:rsidRPr="00464E6F">
        <w:rPr>
          <w:rFonts w:ascii="Arial" w:eastAsia="Arial" w:hAnsi="Arial" w:cs="Arial"/>
          <w:sz w:val="20"/>
          <w:szCs w:val="20"/>
          <w:vertAlign w:val="superscript"/>
        </w:rPr>
        <w:footnoteRef/>
      </w:r>
      <w:r w:rsidRPr="00464E6F">
        <w:rPr>
          <w:rFonts w:ascii="Arial" w:hAnsi="Arial" w:cs="Arial"/>
          <w:sz w:val="20"/>
          <w:szCs w:val="20"/>
        </w:rPr>
        <w:t xml:space="preserve"> </w:t>
      </w:r>
      <w:proofErr w:type="spellStart"/>
      <w:r w:rsidR="0053770A">
        <w:rPr>
          <w:sz w:val="20"/>
          <w:szCs w:val="20"/>
        </w:rPr>
        <w:t>Metallon</w:t>
      </w:r>
      <w:proofErr w:type="spellEnd"/>
      <w:r w:rsidR="0053770A">
        <w:rPr>
          <w:sz w:val="20"/>
          <w:szCs w:val="20"/>
        </w:rPr>
        <w:t xml:space="preserve"> Gold Zimbabwe [Pvt] Ltd &amp; </w:t>
      </w:r>
      <w:proofErr w:type="spellStart"/>
      <w:r w:rsidR="0053770A">
        <w:rPr>
          <w:sz w:val="20"/>
          <w:szCs w:val="20"/>
        </w:rPr>
        <w:t>Ors</w:t>
      </w:r>
      <w:proofErr w:type="spellEnd"/>
      <w:r w:rsidR="0053770A">
        <w:rPr>
          <w:sz w:val="20"/>
          <w:szCs w:val="20"/>
        </w:rPr>
        <w:t xml:space="preserve"> v </w:t>
      </w:r>
      <w:proofErr w:type="spellStart"/>
      <w:r w:rsidR="0053770A">
        <w:rPr>
          <w:sz w:val="20"/>
          <w:szCs w:val="20"/>
        </w:rPr>
        <w:t>Shatirwa</w:t>
      </w:r>
      <w:proofErr w:type="spellEnd"/>
      <w:r w:rsidR="0053770A">
        <w:rPr>
          <w:sz w:val="20"/>
          <w:szCs w:val="20"/>
        </w:rPr>
        <w:t xml:space="preserve"> </w:t>
      </w:r>
      <w:proofErr w:type="spellStart"/>
      <w:r w:rsidR="0053770A">
        <w:rPr>
          <w:sz w:val="20"/>
          <w:szCs w:val="20"/>
        </w:rPr>
        <w:t>Invetsments</w:t>
      </w:r>
      <w:proofErr w:type="spellEnd"/>
      <w:r w:rsidR="0053770A">
        <w:rPr>
          <w:sz w:val="20"/>
          <w:szCs w:val="20"/>
        </w:rPr>
        <w:t xml:space="preserve"> [Pvt] Ltd SC107/21 P8 [</w:t>
      </w:r>
      <w:proofErr w:type="spellStart"/>
      <w:r w:rsidR="0053770A">
        <w:rPr>
          <w:sz w:val="20"/>
          <w:szCs w:val="20"/>
        </w:rPr>
        <w:t>Metallon</w:t>
      </w:r>
      <w:proofErr w:type="spellEnd"/>
      <w:r w:rsidR="0053770A">
        <w:rPr>
          <w:sz w:val="20"/>
          <w:szCs w:val="20"/>
        </w:rPr>
        <w:t xml:space="preserve"> Gold], </w:t>
      </w:r>
      <w:r w:rsidR="0053770A" w:rsidRPr="00464E6F">
        <w:rPr>
          <w:sz w:val="20"/>
          <w:szCs w:val="20"/>
        </w:rPr>
        <w:t xml:space="preserve"> </w:t>
      </w:r>
      <w:proofErr w:type="spellStart"/>
      <w:r w:rsidRPr="00464E6F">
        <w:rPr>
          <w:rFonts w:ascii="Arial" w:hAnsi="Arial" w:cs="Arial"/>
          <w:sz w:val="20"/>
          <w:szCs w:val="20"/>
        </w:rPr>
        <w:t>Levenstein</w:t>
      </w:r>
      <w:proofErr w:type="spellEnd"/>
      <w:r w:rsidRPr="00464E6F">
        <w:rPr>
          <w:rFonts w:ascii="Arial" w:hAnsi="Arial" w:cs="Arial"/>
          <w:sz w:val="20"/>
          <w:szCs w:val="20"/>
        </w:rPr>
        <w:t xml:space="preserve"> E, “</w:t>
      </w:r>
      <w:r w:rsidRPr="00464E6F">
        <w:rPr>
          <w:rFonts w:ascii="Arial" w:hAnsi="Arial" w:cs="Arial"/>
          <w:i/>
          <w:sz w:val="20"/>
          <w:szCs w:val="20"/>
        </w:rPr>
        <w:t>South African Business Rescue Procedure”</w:t>
      </w:r>
      <w:r w:rsidRPr="00464E6F">
        <w:rPr>
          <w:rFonts w:ascii="Arial" w:hAnsi="Arial" w:cs="Arial"/>
          <w:sz w:val="20"/>
          <w:szCs w:val="20"/>
        </w:rPr>
        <w:t xml:space="preserve">  (2021) 7-1,</w:t>
      </w:r>
      <w:r w:rsidRPr="00464E6F">
        <w:rPr>
          <w:rFonts w:ascii="Arial" w:hAnsi="Arial" w:cs="Arial"/>
          <w:i/>
          <w:iCs/>
          <w:sz w:val="20"/>
          <w:szCs w:val="20"/>
        </w:rPr>
        <w:t xml:space="preserve">Oakdene Square Properties (Pty)Ltd vs Farm </w:t>
      </w:r>
      <w:proofErr w:type="spellStart"/>
      <w:r w:rsidRPr="00464E6F">
        <w:rPr>
          <w:rFonts w:ascii="Arial" w:hAnsi="Arial" w:cs="Arial"/>
          <w:i/>
          <w:iCs/>
          <w:sz w:val="20"/>
          <w:szCs w:val="20"/>
        </w:rPr>
        <w:t>Bothasfontein</w:t>
      </w:r>
      <w:proofErr w:type="spellEnd"/>
      <w:r w:rsidRPr="00464E6F">
        <w:rPr>
          <w:rFonts w:ascii="Arial" w:hAnsi="Arial" w:cs="Arial"/>
          <w:i/>
          <w:iCs/>
          <w:sz w:val="20"/>
          <w:szCs w:val="20"/>
        </w:rPr>
        <w:t xml:space="preserve"> (Pty) Ltd </w:t>
      </w:r>
      <w:r w:rsidRPr="00464E6F">
        <w:rPr>
          <w:rFonts w:ascii="Arial" w:hAnsi="Arial" w:cs="Arial"/>
          <w:iCs/>
          <w:sz w:val="20"/>
          <w:szCs w:val="20"/>
        </w:rPr>
        <w:t>(</w:t>
      </w:r>
      <w:r w:rsidRPr="00464E6F">
        <w:rPr>
          <w:rFonts w:ascii="Arial" w:hAnsi="Arial" w:cs="Arial"/>
          <w:i/>
          <w:iCs/>
          <w:sz w:val="20"/>
          <w:szCs w:val="20"/>
        </w:rPr>
        <w:t>Kyalami</w:t>
      </w:r>
      <w:r w:rsidRPr="00464E6F">
        <w:rPr>
          <w:rFonts w:ascii="Arial" w:hAnsi="Arial" w:cs="Arial"/>
          <w:iCs/>
          <w:sz w:val="20"/>
          <w:szCs w:val="20"/>
        </w:rPr>
        <w:t>)</w:t>
      </w:r>
      <w:r w:rsidRPr="00464E6F">
        <w:rPr>
          <w:rFonts w:ascii="Arial" w:hAnsi="Arial" w:cs="Arial"/>
          <w:i/>
          <w:iCs/>
          <w:sz w:val="20"/>
          <w:szCs w:val="20"/>
        </w:rPr>
        <w:t xml:space="preserve"> </w:t>
      </w:r>
      <w:r w:rsidRPr="00464E6F">
        <w:rPr>
          <w:rFonts w:ascii="Arial" w:hAnsi="Arial" w:cs="Arial"/>
          <w:sz w:val="20"/>
          <w:szCs w:val="20"/>
        </w:rPr>
        <w:t>2013 (4) SA 539 (SCA) para 5 (</w:t>
      </w:r>
      <w:proofErr w:type="spellStart"/>
      <w:r w:rsidRPr="00464E6F">
        <w:rPr>
          <w:rFonts w:ascii="Arial" w:hAnsi="Arial" w:cs="Arial"/>
          <w:i/>
          <w:iCs/>
          <w:sz w:val="20"/>
          <w:szCs w:val="20"/>
        </w:rPr>
        <w:t>Oakdene</w:t>
      </w:r>
      <w:proofErr w:type="spellEnd"/>
      <w:r w:rsidRPr="00464E6F">
        <w:rPr>
          <w:rFonts w:ascii="Arial" w:hAnsi="Arial" w:cs="Arial"/>
          <w:sz w:val="20"/>
          <w:szCs w:val="20"/>
        </w:rPr>
        <w:t>).</w:t>
      </w:r>
    </w:p>
  </w:footnote>
  <w:footnote w:id="3">
    <w:p w14:paraId="73257431" w14:textId="77777777" w:rsidR="00067B1E" w:rsidRPr="00464E6F" w:rsidRDefault="00067B1E" w:rsidP="00067B1E">
      <w:pPr>
        <w:pStyle w:val="FootnoteText"/>
        <w:jc w:val="both"/>
        <w:rPr>
          <w:rFonts w:ascii="Arial" w:hAnsi="Arial" w:cs="Arial"/>
          <w:sz w:val="20"/>
          <w:szCs w:val="20"/>
        </w:rPr>
      </w:pPr>
      <w:r w:rsidRPr="00464E6F">
        <w:rPr>
          <w:rFonts w:ascii="Arial" w:eastAsia="Arial" w:hAnsi="Arial" w:cs="Arial"/>
          <w:sz w:val="20"/>
          <w:szCs w:val="20"/>
          <w:vertAlign w:val="superscript"/>
        </w:rPr>
        <w:footnoteRef/>
      </w:r>
      <w:r w:rsidRPr="00464E6F">
        <w:rPr>
          <w:rFonts w:ascii="Arial" w:hAnsi="Arial" w:cs="Arial"/>
          <w:i/>
          <w:iCs/>
          <w:sz w:val="20"/>
          <w:szCs w:val="20"/>
        </w:rPr>
        <w:t>Swart v Beagles Rum Investments 25 (Pty) Ltd (Four Creditors Intervening)</w:t>
      </w:r>
      <w:r w:rsidRPr="00464E6F">
        <w:rPr>
          <w:rFonts w:ascii="Arial" w:hAnsi="Arial" w:cs="Arial"/>
          <w:sz w:val="20"/>
          <w:szCs w:val="20"/>
        </w:rPr>
        <w:t xml:space="preserve"> 2011 (5) SA 422 (GNP) para 14  (</w:t>
      </w:r>
      <w:r w:rsidRPr="00464E6F">
        <w:rPr>
          <w:rFonts w:ascii="Arial" w:hAnsi="Arial" w:cs="Arial"/>
          <w:i/>
          <w:iCs/>
          <w:sz w:val="20"/>
          <w:szCs w:val="20"/>
        </w:rPr>
        <w:t>Swart</w:t>
      </w:r>
      <w:r w:rsidRPr="00464E6F">
        <w:rPr>
          <w:rFonts w:ascii="Arial" w:hAnsi="Arial" w:cs="Arial"/>
          <w:sz w:val="20"/>
          <w:szCs w:val="20"/>
        </w:rPr>
        <w:t>)</w:t>
      </w:r>
      <w:r w:rsidRPr="00464E6F">
        <w:rPr>
          <w:rFonts w:ascii="Arial" w:hAnsi="Arial" w:cs="Arial"/>
          <w:i/>
          <w:iCs/>
          <w:sz w:val="20"/>
          <w:szCs w:val="20"/>
        </w:rPr>
        <w:t xml:space="preserve">; Southern Palace Investment 265 (Pty) Ltd v Midnight Storm Investment 386 (Pty) Ltd </w:t>
      </w:r>
      <w:r w:rsidRPr="00464E6F">
        <w:rPr>
          <w:rFonts w:ascii="Arial" w:hAnsi="Arial" w:cs="Arial"/>
          <w:sz w:val="20"/>
          <w:szCs w:val="20"/>
        </w:rPr>
        <w:t>2012(2) SA 423 (WCC) para 1 (</w:t>
      </w:r>
      <w:r w:rsidRPr="00464E6F">
        <w:rPr>
          <w:rFonts w:ascii="Arial" w:hAnsi="Arial" w:cs="Arial"/>
          <w:i/>
          <w:iCs/>
          <w:sz w:val="20"/>
          <w:szCs w:val="20"/>
        </w:rPr>
        <w:t>Southern Palace Investments</w:t>
      </w:r>
      <w:r w:rsidRPr="00464E6F">
        <w:rPr>
          <w:rFonts w:ascii="Arial" w:hAnsi="Arial" w:cs="Arial"/>
          <w:sz w:val="20"/>
          <w:szCs w:val="20"/>
        </w:rPr>
        <w:t>)</w:t>
      </w:r>
    </w:p>
  </w:footnote>
  <w:footnote w:id="4">
    <w:p w14:paraId="7EE765E5" w14:textId="777B5B54" w:rsidR="00067B1E" w:rsidRPr="00464E6F" w:rsidRDefault="00067B1E" w:rsidP="00067B1E">
      <w:pPr>
        <w:pStyle w:val="FootnoteText"/>
        <w:rPr>
          <w:sz w:val="20"/>
          <w:szCs w:val="20"/>
        </w:rPr>
      </w:pPr>
      <w:r w:rsidRPr="00464E6F">
        <w:rPr>
          <w:rStyle w:val="FootnoteReference"/>
          <w:sz w:val="20"/>
          <w:szCs w:val="20"/>
        </w:rPr>
        <w:footnoteRef/>
      </w:r>
      <w:proofErr w:type="spellStart"/>
      <w:r w:rsidR="00F80CFD">
        <w:rPr>
          <w:sz w:val="20"/>
          <w:szCs w:val="20"/>
        </w:rPr>
        <w:t>Metallon</w:t>
      </w:r>
      <w:proofErr w:type="spellEnd"/>
      <w:r w:rsidR="00F80CFD">
        <w:rPr>
          <w:sz w:val="20"/>
          <w:szCs w:val="20"/>
        </w:rPr>
        <w:t xml:space="preserve"> Gold Zimbabwe </w:t>
      </w:r>
      <w:r w:rsidR="0053770A">
        <w:rPr>
          <w:sz w:val="20"/>
          <w:szCs w:val="20"/>
        </w:rPr>
        <w:t>[supra]</w:t>
      </w:r>
      <w:r w:rsidR="00F80CFD">
        <w:rPr>
          <w:sz w:val="20"/>
          <w:szCs w:val="20"/>
        </w:rPr>
        <w:t xml:space="preserve"> P</w:t>
      </w:r>
      <w:r w:rsidR="0053770A">
        <w:rPr>
          <w:sz w:val="20"/>
          <w:szCs w:val="20"/>
        </w:rPr>
        <w:t>8-13,</w:t>
      </w:r>
      <w:r w:rsidRPr="00464E6F">
        <w:rPr>
          <w:sz w:val="20"/>
          <w:szCs w:val="20"/>
        </w:rPr>
        <w:t xml:space="preserve"> </w:t>
      </w:r>
      <w:proofErr w:type="spellStart"/>
      <w:r w:rsidRPr="00464E6F">
        <w:rPr>
          <w:sz w:val="20"/>
          <w:szCs w:val="20"/>
        </w:rPr>
        <w:t>Cassim</w:t>
      </w:r>
      <w:proofErr w:type="spellEnd"/>
      <w:r w:rsidRPr="00464E6F">
        <w:rPr>
          <w:sz w:val="20"/>
          <w:szCs w:val="20"/>
        </w:rPr>
        <w:t xml:space="preserve"> FHI, “Contemporary  South African Company Law,” 2</w:t>
      </w:r>
      <w:r w:rsidRPr="00464E6F">
        <w:rPr>
          <w:sz w:val="20"/>
          <w:szCs w:val="20"/>
          <w:vertAlign w:val="superscript"/>
        </w:rPr>
        <w:t>nd</w:t>
      </w:r>
      <w:r w:rsidRPr="00464E6F">
        <w:rPr>
          <w:sz w:val="20"/>
          <w:szCs w:val="20"/>
        </w:rPr>
        <w:t xml:space="preserve"> Edition (2017) 862, </w:t>
      </w:r>
      <w:proofErr w:type="spellStart"/>
      <w:r w:rsidRPr="00464E6F">
        <w:rPr>
          <w:sz w:val="20"/>
          <w:szCs w:val="20"/>
        </w:rPr>
        <w:t>Oakdene</w:t>
      </w:r>
      <w:proofErr w:type="spellEnd"/>
      <w:r w:rsidRPr="00464E6F">
        <w:rPr>
          <w:sz w:val="20"/>
          <w:szCs w:val="20"/>
        </w:rPr>
        <w:t xml:space="preserve"> Para 12</w:t>
      </w:r>
    </w:p>
  </w:footnote>
  <w:footnote w:id="5">
    <w:p w14:paraId="0E3D0A31" w14:textId="6636DB0D" w:rsidR="00067B1E" w:rsidRPr="00464E6F" w:rsidRDefault="00067B1E" w:rsidP="00067B1E">
      <w:pPr>
        <w:pStyle w:val="FootnoteText"/>
        <w:rPr>
          <w:sz w:val="20"/>
          <w:szCs w:val="20"/>
        </w:rPr>
      </w:pPr>
      <w:r w:rsidRPr="00464E6F">
        <w:rPr>
          <w:rStyle w:val="FootnoteReference"/>
          <w:sz w:val="20"/>
          <w:szCs w:val="20"/>
        </w:rPr>
        <w:footnoteRef/>
      </w:r>
      <w:r w:rsidRPr="00464E6F">
        <w:rPr>
          <w:sz w:val="20"/>
          <w:szCs w:val="20"/>
        </w:rPr>
        <w:t xml:space="preserve"> </w:t>
      </w:r>
      <w:proofErr w:type="spellStart"/>
      <w:r w:rsidRPr="00464E6F">
        <w:rPr>
          <w:sz w:val="20"/>
          <w:szCs w:val="20"/>
        </w:rPr>
        <w:t>Cassim</w:t>
      </w:r>
      <w:proofErr w:type="spellEnd"/>
      <w:r w:rsidRPr="00464E6F">
        <w:rPr>
          <w:sz w:val="20"/>
          <w:szCs w:val="20"/>
        </w:rPr>
        <w:t xml:space="preserve"> FHI “Contemporary South African company law,” P865, </w:t>
      </w:r>
      <w:proofErr w:type="spellStart"/>
      <w:r w:rsidRPr="00464E6F">
        <w:rPr>
          <w:sz w:val="20"/>
          <w:szCs w:val="20"/>
        </w:rPr>
        <w:t>Boraine</w:t>
      </w:r>
      <w:proofErr w:type="spellEnd"/>
      <w:r w:rsidRPr="00464E6F">
        <w:rPr>
          <w:sz w:val="20"/>
          <w:szCs w:val="20"/>
        </w:rPr>
        <w:t xml:space="preserve"> A, Kunst JA &amp; Burdette DA, Insolvency law and its operation in winding-up, LexisNexis 2017 P18-8</w:t>
      </w:r>
    </w:p>
  </w:footnote>
  <w:footnote w:id="6">
    <w:p w14:paraId="56BCA0FD" w14:textId="7B306F78" w:rsidR="00067B1E" w:rsidRPr="00464E6F" w:rsidRDefault="00067B1E" w:rsidP="00067B1E">
      <w:pPr>
        <w:pStyle w:val="FootnoteText"/>
        <w:jc w:val="both"/>
        <w:rPr>
          <w:rFonts w:ascii="Arial" w:hAnsi="Arial" w:cs="Arial"/>
          <w:sz w:val="20"/>
          <w:szCs w:val="20"/>
        </w:rPr>
      </w:pPr>
      <w:r w:rsidRPr="00464E6F">
        <w:rPr>
          <w:rFonts w:ascii="Arial" w:eastAsia="Arial" w:hAnsi="Arial" w:cs="Arial"/>
          <w:sz w:val="20"/>
          <w:szCs w:val="20"/>
          <w:vertAlign w:val="superscript"/>
        </w:rPr>
        <w:footnoteRef/>
      </w:r>
      <w:r w:rsidR="0053770A">
        <w:rPr>
          <w:rFonts w:ascii="Arial" w:hAnsi="Arial" w:cs="Arial"/>
          <w:i/>
          <w:iCs/>
          <w:sz w:val="20"/>
          <w:szCs w:val="20"/>
        </w:rPr>
        <w:t xml:space="preserve"> </w:t>
      </w:r>
      <w:proofErr w:type="spellStart"/>
      <w:r w:rsidR="0053770A">
        <w:rPr>
          <w:rFonts w:ascii="Arial" w:hAnsi="Arial" w:cs="Arial"/>
          <w:i/>
          <w:iCs/>
          <w:sz w:val="20"/>
          <w:szCs w:val="20"/>
        </w:rPr>
        <w:t>Mettallon</w:t>
      </w:r>
      <w:proofErr w:type="spellEnd"/>
      <w:r w:rsidR="0053770A">
        <w:rPr>
          <w:rFonts w:ascii="Arial" w:hAnsi="Arial" w:cs="Arial"/>
          <w:i/>
          <w:iCs/>
          <w:sz w:val="20"/>
          <w:szCs w:val="20"/>
        </w:rPr>
        <w:t xml:space="preserve"> Gold [supra] P8-13, </w:t>
      </w:r>
      <w:proofErr w:type="spellStart"/>
      <w:r w:rsidRPr="00464E6F">
        <w:rPr>
          <w:rFonts w:ascii="Arial" w:hAnsi="Arial" w:cs="Arial"/>
          <w:i/>
          <w:iCs/>
          <w:sz w:val="20"/>
          <w:szCs w:val="20"/>
        </w:rPr>
        <w:t>Oakdene</w:t>
      </w:r>
      <w:proofErr w:type="spellEnd"/>
      <w:r w:rsidRPr="00464E6F">
        <w:rPr>
          <w:rFonts w:ascii="Arial" w:hAnsi="Arial" w:cs="Arial"/>
          <w:i/>
          <w:iCs/>
          <w:sz w:val="20"/>
          <w:szCs w:val="20"/>
        </w:rPr>
        <w:t xml:space="preserve"> </w:t>
      </w:r>
      <w:r w:rsidRPr="00464E6F">
        <w:rPr>
          <w:rFonts w:ascii="Arial" w:hAnsi="Arial" w:cs="Arial"/>
          <w:sz w:val="20"/>
          <w:szCs w:val="20"/>
        </w:rPr>
        <w:t>para 6,</w:t>
      </w:r>
      <w:r w:rsidRPr="00464E6F">
        <w:rPr>
          <w:rFonts w:ascii="Arial" w:hAnsi="Arial" w:cs="Arial"/>
          <w:i/>
          <w:iCs/>
          <w:sz w:val="20"/>
          <w:szCs w:val="20"/>
        </w:rPr>
        <w:t xml:space="preserve">Southern Palace Investment </w:t>
      </w:r>
      <w:r w:rsidRPr="00464E6F">
        <w:rPr>
          <w:rFonts w:ascii="Arial" w:hAnsi="Arial" w:cs="Arial"/>
          <w:sz w:val="20"/>
          <w:szCs w:val="20"/>
        </w:rPr>
        <w:t>para 3.</w:t>
      </w:r>
    </w:p>
  </w:footnote>
  <w:footnote w:id="7">
    <w:p w14:paraId="1D78E3AD" w14:textId="77777777" w:rsidR="00067B1E" w:rsidRPr="00464E6F" w:rsidRDefault="00067B1E" w:rsidP="00067B1E">
      <w:pPr>
        <w:pStyle w:val="FootnoteText"/>
        <w:rPr>
          <w:sz w:val="20"/>
          <w:szCs w:val="20"/>
        </w:rPr>
      </w:pPr>
      <w:r w:rsidRPr="00464E6F">
        <w:rPr>
          <w:rStyle w:val="FootnoteReference"/>
          <w:sz w:val="20"/>
          <w:szCs w:val="20"/>
        </w:rPr>
        <w:footnoteRef/>
      </w:r>
      <w:r w:rsidRPr="00464E6F">
        <w:rPr>
          <w:sz w:val="20"/>
          <w:szCs w:val="20"/>
        </w:rPr>
        <w:t xml:space="preserve"> </w:t>
      </w:r>
      <w:proofErr w:type="spellStart"/>
      <w:r w:rsidRPr="00464E6F">
        <w:rPr>
          <w:sz w:val="20"/>
          <w:szCs w:val="20"/>
        </w:rPr>
        <w:t>Cilliers</w:t>
      </w:r>
      <w:proofErr w:type="spellEnd"/>
      <w:r w:rsidRPr="00464E6F">
        <w:rPr>
          <w:sz w:val="20"/>
          <w:szCs w:val="20"/>
        </w:rPr>
        <w:t xml:space="preserve"> HS, Benade ML, Henning JJ, Du </w:t>
      </w:r>
      <w:proofErr w:type="spellStart"/>
      <w:r w:rsidRPr="00464E6F">
        <w:rPr>
          <w:sz w:val="20"/>
          <w:szCs w:val="20"/>
        </w:rPr>
        <w:t>Plesiss</w:t>
      </w:r>
      <w:proofErr w:type="spellEnd"/>
      <w:r w:rsidRPr="00464E6F">
        <w:rPr>
          <w:sz w:val="20"/>
          <w:szCs w:val="20"/>
        </w:rPr>
        <w:t xml:space="preserve"> JJ, </w:t>
      </w:r>
      <w:proofErr w:type="spellStart"/>
      <w:r w:rsidRPr="00464E6F">
        <w:rPr>
          <w:sz w:val="20"/>
          <w:szCs w:val="20"/>
        </w:rPr>
        <w:t>Delport</w:t>
      </w:r>
      <w:proofErr w:type="spellEnd"/>
      <w:r w:rsidRPr="00464E6F">
        <w:rPr>
          <w:sz w:val="20"/>
          <w:szCs w:val="20"/>
        </w:rPr>
        <w:t xml:space="preserve"> PA, De Koker L &amp; Pretorius JT, Corporate Law, 3</w:t>
      </w:r>
      <w:r w:rsidRPr="00464E6F">
        <w:rPr>
          <w:sz w:val="20"/>
          <w:szCs w:val="20"/>
          <w:vertAlign w:val="superscript"/>
        </w:rPr>
        <w:t>rd</w:t>
      </w:r>
      <w:r w:rsidRPr="00464E6F">
        <w:rPr>
          <w:sz w:val="20"/>
          <w:szCs w:val="20"/>
        </w:rPr>
        <w:t xml:space="preserve"> Ed. [Durban: LexisNexis Butterworths 2000]</w:t>
      </w:r>
    </w:p>
  </w:footnote>
  <w:footnote w:id="8">
    <w:p w14:paraId="41C32E8D" w14:textId="2A115F6E" w:rsidR="00067B1E" w:rsidRPr="000C5062" w:rsidRDefault="00067B1E" w:rsidP="00067B1E">
      <w:pPr>
        <w:pStyle w:val="FootnoteText"/>
      </w:pPr>
      <w:r w:rsidRPr="00DF25BF">
        <w:rPr>
          <w:rStyle w:val="FootnoteReference"/>
          <w:sz w:val="20"/>
          <w:szCs w:val="20"/>
        </w:rPr>
        <w:footnoteRef/>
      </w:r>
      <w:r w:rsidRPr="00DF25BF">
        <w:rPr>
          <w:sz w:val="20"/>
          <w:szCs w:val="20"/>
        </w:rPr>
        <w:t xml:space="preserve"> </w:t>
      </w:r>
      <w:proofErr w:type="spellStart"/>
      <w:r w:rsidR="0053770A">
        <w:rPr>
          <w:sz w:val="20"/>
          <w:szCs w:val="20"/>
        </w:rPr>
        <w:t>Metallon</w:t>
      </w:r>
      <w:proofErr w:type="spellEnd"/>
      <w:r w:rsidR="0053770A">
        <w:rPr>
          <w:sz w:val="20"/>
          <w:szCs w:val="20"/>
        </w:rPr>
        <w:t xml:space="preserve"> Gold [supra] P12, </w:t>
      </w:r>
      <w:r w:rsidRPr="00DF25BF">
        <w:rPr>
          <w:sz w:val="20"/>
          <w:szCs w:val="20"/>
        </w:rPr>
        <w:t xml:space="preserve">S7[k] Companies Act 71 of 2008, Laubscher M, </w:t>
      </w:r>
      <w:r w:rsidRPr="000C5062">
        <w:rPr>
          <w:sz w:val="20"/>
          <w:szCs w:val="20"/>
        </w:rPr>
        <w:t xml:space="preserve">Cloete Murray &amp; Anor v </w:t>
      </w:r>
      <w:proofErr w:type="spellStart"/>
      <w:r w:rsidRPr="000C5062">
        <w:rPr>
          <w:sz w:val="20"/>
          <w:szCs w:val="20"/>
        </w:rPr>
        <w:t>Firstrand</w:t>
      </w:r>
      <w:proofErr w:type="spellEnd"/>
      <w:r w:rsidRPr="000C5062">
        <w:rPr>
          <w:sz w:val="20"/>
          <w:szCs w:val="20"/>
        </w:rPr>
        <w:t xml:space="preserve"> Bank Ltd t/a </w:t>
      </w:r>
      <w:proofErr w:type="spellStart"/>
      <w:r w:rsidRPr="000C5062">
        <w:rPr>
          <w:sz w:val="20"/>
          <w:szCs w:val="20"/>
        </w:rPr>
        <w:t>Wsbank</w:t>
      </w:r>
      <w:proofErr w:type="spellEnd"/>
      <w:r w:rsidRPr="000C5062">
        <w:rPr>
          <w:sz w:val="20"/>
          <w:szCs w:val="20"/>
        </w:rPr>
        <w:t xml:space="preserve"> 2015 ZASCA 39, PELJ 2015[18] 5 P1881 at 1884</w:t>
      </w:r>
    </w:p>
  </w:footnote>
  <w:footnote w:id="9">
    <w:p w14:paraId="0F6B5E27" w14:textId="77777777" w:rsidR="00067B1E" w:rsidRPr="00DF25BF" w:rsidRDefault="00067B1E" w:rsidP="00067B1E">
      <w:pPr>
        <w:pStyle w:val="FootnoteText"/>
        <w:rPr>
          <w:sz w:val="20"/>
          <w:szCs w:val="20"/>
        </w:rPr>
      </w:pPr>
      <w:r>
        <w:rPr>
          <w:rStyle w:val="FootnoteReference"/>
        </w:rPr>
        <w:footnoteRef/>
      </w:r>
      <w:r>
        <w:t xml:space="preserve"> </w:t>
      </w:r>
      <w:proofErr w:type="spellStart"/>
      <w:r w:rsidRPr="00C87402">
        <w:rPr>
          <w:sz w:val="20"/>
          <w:szCs w:val="20"/>
        </w:rPr>
        <w:t>Gewer</w:t>
      </w:r>
      <w:proofErr w:type="spellEnd"/>
      <w:r w:rsidRPr="00C87402">
        <w:rPr>
          <w:sz w:val="20"/>
          <w:szCs w:val="20"/>
        </w:rPr>
        <w:t xml:space="preserve"> D</w:t>
      </w:r>
      <w:r>
        <w:rPr>
          <w:sz w:val="20"/>
          <w:szCs w:val="20"/>
        </w:rPr>
        <w:t xml:space="preserve">, “Legal aspects of turnaround </w:t>
      </w:r>
      <w:r w:rsidRPr="00DF25BF">
        <w:rPr>
          <w:sz w:val="20"/>
          <w:szCs w:val="20"/>
        </w:rPr>
        <w:t>in Harvey N [ed] Turnaround management and corporate renewal: A South African Perspective</w:t>
      </w:r>
      <w:r>
        <w:rPr>
          <w:sz w:val="20"/>
          <w:szCs w:val="20"/>
        </w:rPr>
        <w:t xml:space="preserve">,” Wits </w:t>
      </w:r>
      <w:proofErr w:type="spellStart"/>
      <w:r>
        <w:rPr>
          <w:sz w:val="20"/>
          <w:szCs w:val="20"/>
        </w:rPr>
        <w:t>Univeristy</w:t>
      </w:r>
      <w:proofErr w:type="spellEnd"/>
      <w:r>
        <w:rPr>
          <w:sz w:val="20"/>
          <w:szCs w:val="20"/>
        </w:rPr>
        <w:t xml:space="preserve"> Press </w:t>
      </w:r>
      <w:r w:rsidRPr="00DF25BF">
        <w:rPr>
          <w:sz w:val="20"/>
          <w:szCs w:val="20"/>
        </w:rPr>
        <w:t>[2011] P73</w:t>
      </w:r>
    </w:p>
  </w:footnote>
  <w:footnote w:id="10">
    <w:p w14:paraId="2507A728" w14:textId="77777777" w:rsidR="00067B1E" w:rsidRPr="00C87402" w:rsidRDefault="00067B1E" w:rsidP="00067B1E">
      <w:pPr>
        <w:pStyle w:val="FootnoteText"/>
        <w:rPr>
          <w:sz w:val="20"/>
          <w:szCs w:val="20"/>
        </w:rPr>
      </w:pPr>
      <w:r w:rsidRPr="00DF25BF">
        <w:rPr>
          <w:rStyle w:val="FootnoteReference"/>
          <w:sz w:val="20"/>
          <w:szCs w:val="20"/>
        </w:rPr>
        <w:footnoteRef/>
      </w:r>
      <w:r w:rsidRPr="00DF25BF">
        <w:rPr>
          <w:sz w:val="20"/>
          <w:szCs w:val="20"/>
        </w:rPr>
        <w:t xml:space="preserve"> </w:t>
      </w:r>
      <w:proofErr w:type="spellStart"/>
      <w:r w:rsidRPr="00C87402">
        <w:rPr>
          <w:sz w:val="20"/>
          <w:szCs w:val="20"/>
        </w:rPr>
        <w:t>Barends</w:t>
      </w:r>
      <w:proofErr w:type="spellEnd"/>
      <w:r w:rsidRPr="00C87402">
        <w:rPr>
          <w:sz w:val="20"/>
          <w:szCs w:val="20"/>
        </w:rPr>
        <w:t xml:space="preserve"> RH A critical analysis of S129 pf the Companies Act 71 of 2008 Unpublished LLM thesis University of Western Cape Town [2017] P83</w:t>
      </w:r>
    </w:p>
  </w:footnote>
  <w:footnote w:id="11">
    <w:p w14:paraId="201A263F" w14:textId="77777777" w:rsidR="00F80CFD" w:rsidRPr="00C87402" w:rsidRDefault="00F80CFD" w:rsidP="00F80CFD">
      <w:pPr>
        <w:pStyle w:val="FootnoteText"/>
        <w:rPr>
          <w:sz w:val="20"/>
          <w:szCs w:val="20"/>
        </w:rPr>
      </w:pPr>
      <w:r>
        <w:rPr>
          <w:rStyle w:val="FootnoteReference"/>
        </w:rPr>
        <w:footnoteRef/>
      </w:r>
      <w:r>
        <w:t xml:space="preserve"> </w:t>
      </w:r>
      <w:r w:rsidRPr="00C87402">
        <w:rPr>
          <w:sz w:val="20"/>
          <w:szCs w:val="20"/>
        </w:rPr>
        <w:t>Burdette D</w:t>
      </w:r>
      <w:r>
        <w:rPr>
          <w:sz w:val="20"/>
          <w:szCs w:val="20"/>
        </w:rPr>
        <w:t>, “</w:t>
      </w:r>
      <w:r w:rsidRPr="00C87402">
        <w:rPr>
          <w:sz w:val="20"/>
          <w:szCs w:val="20"/>
        </w:rPr>
        <w:t>Legislative framework for the facilitation of turnarounds in South Africa in Harvey N [ed] Turnaround management and corporate renewal: A South African Perspective</w:t>
      </w:r>
      <w:r>
        <w:rPr>
          <w:sz w:val="20"/>
          <w:szCs w:val="20"/>
        </w:rPr>
        <w:t>” P132</w:t>
      </w:r>
    </w:p>
  </w:footnote>
  <w:footnote w:id="12">
    <w:p w14:paraId="2639F7C2" w14:textId="77777777" w:rsidR="00F80CFD" w:rsidRPr="00944E5D" w:rsidRDefault="00F80CFD" w:rsidP="00F80CFD">
      <w:pPr>
        <w:pStyle w:val="FootnoteText"/>
      </w:pPr>
      <w:r w:rsidRPr="00DF25BF">
        <w:rPr>
          <w:rStyle w:val="FootnoteReference"/>
          <w:sz w:val="20"/>
          <w:szCs w:val="20"/>
        </w:rPr>
        <w:footnoteRef/>
      </w:r>
      <w:r w:rsidRPr="00DF25BF">
        <w:rPr>
          <w:sz w:val="20"/>
          <w:szCs w:val="20"/>
        </w:rPr>
        <w:t xml:space="preserve"> </w:t>
      </w:r>
      <w:r>
        <w:rPr>
          <w:sz w:val="20"/>
          <w:szCs w:val="20"/>
        </w:rPr>
        <w:t xml:space="preserve">Kloppers P, “Judicial management reform-steps to initiate a business rescue,”[2001] 13 SA MERC LJ 358 at 375, </w:t>
      </w:r>
      <w:proofErr w:type="spellStart"/>
      <w:r w:rsidRPr="00DF25BF">
        <w:rPr>
          <w:sz w:val="20"/>
          <w:szCs w:val="20"/>
        </w:rPr>
        <w:t>Uncitral</w:t>
      </w:r>
      <w:proofErr w:type="spellEnd"/>
      <w:r w:rsidRPr="00DF25BF">
        <w:rPr>
          <w:sz w:val="20"/>
          <w:szCs w:val="20"/>
        </w:rPr>
        <w:t xml:space="preserve"> Legislative Guide to Insolvency Law </w:t>
      </w:r>
      <w:r>
        <w:rPr>
          <w:sz w:val="20"/>
          <w:szCs w:val="20"/>
        </w:rPr>
        <w:t>Part5:Insolvency law for micro-and small enterprises Para 373</w:t>
      </w:r>
    </w:p>
  </w:footnote>
  <w:footnote w:id="13">
    <w:p w14:paraId="4D4DE483" w14:textId="77777777" w:rsidR="00F80CFD" w:rsidRPr="00DF25BF" w:rsidRDefault="00F80CFD" w:rsidP="00F80CFD">
      <w:pPr>
        <w:pStyle w:val="FootnoteText"/>
        <w:rPr>
          <w:sz w:val="20"/>
          <w:szCs w:val="20"/>
        </w:rPr>
      </w:pPr>
      <w:r w:rsidRPr="00DF25BF">
        <w:rPr>
          <w:rStyle w:val="FootnoteReference"/>
          <w:sz w:val="20"/>
          <w:szCs w:val="20"/>
        </w:rPr>
        <w:footnoteRef/>
      </w:r>
      <w:r w:rsidRPr="00DF25BF">
        <w:rPr>
          <w:sz w:val="20"/>
          <w:szCs w:val="20"/>
        </w:rPr>
        <w:t xml:space="preserve"> S131[2][b] Insolvency Act 71 of 2008</w:t>
      </w:r>
    </w:p>
  </w:footnote>
  <w:footnote w:id="14">
    <w:p w14:paraId="40445293" w14:textId="77777777" w:rsidR="00F80CFD" w:rsidRPr="00DF25BF" w:rsidRDefault="00F80CFD" w:rsidP="00F80CFD">
      <w:pPr>
        <w:pStyle w:val="FootnoteText"/>
        <w:rPr>
          <w:sz w:val="20"/>
          <w:szCs w:val="20"/>
        </w:rPr>
      </w:pPr>
      <w:r w:rsidRPr="00DF25BF">
        <w:rPr>
          <w:rStyle w:val="FootnoteReference"/>
          <w:sz w:val="20"/>
          <w:szCs w:val="20"/>
        </w:rPr>
        <w:footnoteRef/>
      </w:r>
      <w:r w:rsidRPr="00DF25BF">
        <w:rPr>
          <w:sz w:val="20"/>
          <w:szCs w:val="20"/>
        </w:rPr>
        <w:t xml:space="preserve"> </w:t>
      </w:r>
      <w:proofErr w:type="spellStart"/>
      <w:r w:rsidRPr="00DF25BF">
        <w:rPr>
          <w:sz w:val="20"/>
          <w:szCs w:val="20"/>
        </w:rPr>
        <w:t>Delport</w:t>
      </w:r>
      <w:proofErr w:type="spellEnd"/>
      <w:r w:rsidRPr="00DF25BF">
        <w:rPr>
          <w:sz w:val="20"/>
          <w:szCs w:val="20"/>
        </w:rPr>
        <w:t xml:space="preserve"> </w:t>
      </w:r>
      <w:proofErr w:type="spellStart"/>
      <w:r w:rsidRPr="00DF25BF">
        <w:rPr>
          <w:sz w:val="20"/>
          <w:szCs w:val="20"/>
        </w:rPr>
        <w:t>P,Vorster</w:t>
      </w:r>
      <w:proofErr w:type="spellEnd"/>
      <w:r w:rsidRPr="00DF25BF">
        <w:rPr>
          <w:sz w:val="20"/>
          <w:szCs w:val="20"/>
        </w:rPr>
        <w:t xml:space="preserve">, Burdette D, </w:t>
      </w:r>
      <w:proofErr w:type="spellStart"/>
      <w:r w:rsidRPr="00DF25BF">
        <w:rPr>
          <w:sz w:val="20"/>
          <w:szCs w:val="20"/>
        </w:rPr>
        <w:t>Esser</w:t>
      </w:r>
      <w:proofErr w:type="spellEnd"/>
      <w:r w:rsidRPr="00DF25BF">
        <w:rPr>
          <w:sz w:val="20"/>
          <w:szCs w:val="20"/>
        </w:rPr>
        <w:t xml:space="preserve"> I &amp; Lombard S, </w:t>
      </w:r>
      <w:r>
        <w:rPr>
          <w:sz w:val="20"/>
          <w:szCs w:val="20"/>
        </w:rPr>
        <w:t>“</w:t>
      </w:r>
      <w:proofErr w:type="spellStart"/>
      <w:r w:rsidRPr="00DF25BF">
        <w:rPr>
          <w:sz w:val="20"/>
          <w:szCs w:val="20"/>
        </w:rPr>
        <w:t>Henochsberg</w:t>
      </w:r>
      <w:proofErr w:type="spellEnd"/>
      <w:r w:rsidRPr="00DF25BF">
        <w:rPr>
          <w:sz w:val="20"/>
          <w:szCs w:val="20"/>
        </w:rPr>
        <w:t xml:space="preserve"> on the Companies Act 71 of 2008,</w:t>
      </w:r>
      <w:r>
        <w:rPr>
          <w:sz w:val="20"/>
          <w:szCs w:val="20"/>
        </w:rPr>
        <w:t>”</w:t>
      </w:r>
      <w:r w:rsidRPr="00DF25BF">
        <w:rPr>
          <w:sz w:val="20"/>
          <w:szCs w:val="20"/>
        </w:rPr>
        <w:t xml:space="preserve"> LexisNexis 2015 P444</w:t>
      </w:r>
    </w:p>
  </w:footnote>
  <w:footnote w:id="15">
    <w:p w14:paraId="1820BB34" w14:textId="0273C1FE" w:rsidR="00F80CFD" w:rsidRPr="00DF25BF" w:rsidRDefault="00F80CFD" w:rsidP="00F80CFD">
      <w:pPr>
        <w:pStyle w:val="FootnoteText"/>
        <w:rPr>
          <w:sz w:val="20"/>
          <w:szCs w:val="20"/>
        </w:rPr>
      </w:pPr>
      <w:r w:rsidRPr="00DF25BF">
        <w:rPr>
          <w:rStyle w:val="FootnoteReference"/>
          <w:sz w:val="20"/>
          <w:szCs w:val="20"/>
        </w:rPr>
        <w:footnoteRef/>
      </w:r>
      <w:r w:rsidRPr="00DF25BF">
        <w:rPr>
          <w:sz w:val="20"/>
          <w:szCs w:val="20"/>
        </w:rPr>
        <w:t xml:space="preserve">  </w:t>
      </w:r>
      <w:proofErr w:type="spellStart"/>
      <w:r w:rsidRPr="00DF25BF">
        <w:rPr>
          <w:sz w:val="20"/>
          <w:szCs w:val="20"/>
        </w:rPr>
        <w:t>Levestein</w:t>
      </w:r>
      <w:proofErr w:type="spellEnd"/>
      <w:r w:rsidRPr="00DF25BF">
        <w:rPr>
          <w:sz w:val="20"/>
          <w:szCs w:val="20"/>
        </w:rPr>
        <w:t xml:space="preserve"> E, </w:t>
      </w:r>
      <w:r>
        <w:rPr>
          <w:sz w:val="20"/>
          <w:szCs w:val="20"/>
        </w:rPr>
        <w:t>“</w:t>
      </w:r>
      <w:r w:rsidRPr="00DF25BF">
        <w:rPr>
          <w:sz w:val="20"/>
          <w:szCs w:val="20"/>
        </w:rPr>
        <w:t xml:space="preserve">South African </w:t>
      </w:r>
      <w:r>
        <w:rPr>
          <w:sz w:val="20"/>
          <w:szCs w:val="20"/>
        </w:rPr>
        <w:t>b</w:t>
      </w:r>
      <w:r w:rsidRPr="00DF25BF">
        <w:rPr>
          <w:sz w:val="20"/>
          <w:szCs w:val="20"/>
        </w:rPr>
        <w:t xml:space="preserve">usiness </w:t>
      </w:r>
      <w:r>
        <w:rPr>
          <w:sz w:val="20"/>
          <w:szCs w:val="20"/>
        </w:rPr>
        <w:t>r</w:t>
      </w:r>
      <w:r w:rsidRPr="00DF25BF">
        <w:rPr>
          <w:sz w:val="20"/>
          <w:szCs w:val="20"/>
        </w:rPr>
        <w:t xml:space="preserve">escue </w:t>
      </w:r>
      <w:r>
        <w:rPr>
          <w:sz w:val="20"/>
          <w:szCs w:val="20"/>
        </w:rPr>
        <w:t>p</w:t>
      </w:r>
      <w:r w:rsidRPr="00DF25BF">
        <w:rPr>
          <w:sz w:val="20"/>
          <w:szCs w:val="20"/>
        </w:rPr>
        <w:t>rocedure,</w:t>
      </w:r>
      <w:r>
        <w:rPr>
          <w:sz w:val="20"/>
          <w:szCs w:val="20"/>
        </w:rPr>
        <w:t>”</w:t>
      </w:r>
      <w:r w:rsidRPr="00DF25BF">
        <w:rPr>
          <w:sz w:val="20"/>
          <w:szCs w:val="20"/>
        </w:rPr>
        <w:t xml:space="preserve"> LexisNexis 20</w:t>
      </w:r>
      <w:r>
        <w:rPr>
          <w:sz w:val="20"/>
          <w:szCs w:val="20"/>
        </w:rPr>
        <w:t>21</w:t>
      </w:r>
      <w:r w:rsidRPr="00DF25BF">
        <w:rPr>
          <w:sz w:val="20"/>
          <w:szCs w:val="20"/>
        </w:rPr>
        <w:t xml:space="preserve">, P8-31, </w:t>
      </w:r>
      <w:proofErr w:type="spellStart"/>
      <w:r w:rsidRPr="00DF25BF">
        <w:rPr>
          <w:sz w:val="20"/>
          <w:szCs w:val="20"/>
        </w:rPr>
        <w:t>Delport</w:t>
      </w:r>
      <w:proofErr w:type="spellEnd"/>
      <w:r w:rsidRPr="00DF25BF">
        <w:rPr>
          <w:sz w:val="20"/>
          <w:szCs w:val="20"/>
        </w:rPr>
        <w:t xml:space="preserve"> P,</w:t>
      </w:r>
      <w:r w:rsidR="005B5918">
        <w:rPr>
          <w:sz w:val="20"/>
          <w:szCs w:val="20"/>
        </w:rPr>
        <w:t xml:space="preserve"> </w:t>
      </w:r>
      <w:r w:rsidRPr="00DF25BF">
        <w:rPr>
          <w:sz w:val="20"/>
          <w:szCs w:val="20"/>
        </w:rPr>
        <w:t xml:space="preserve">Vorster, Burdette D, </w:t>
      </w:r>
      <w:proofErr w:type="spellStart"/>
      <w:r w:rsidRPr="00DF25BF">
        <w:rPr>
          <w:sz w:val="20"/>
          <w:szCs w:val="20"/>
        </w:rPr>
        <w:t>Esser</w:t>
      </w:r>
      <w:proofErr w:type="spellEnd"/>
      <w:r w:rsidRPr="00DF25BF">
        <w:rPr>
          <w:sz w:val="20"/>
          <w:szCs w:val="20"/>
        </w:rPr>
        <w:t xml:space="preserve"> I &amp; Lombard S, </w:t>
      </w:r>
      <w:r>
        <w:rPr>
          <w:sz w:val="20"/>
          <w:szCs w:val="20"/>
        </w:rPr>
        <w:t>“</w:t>
      </w:r>
      <w:proofErr w:type="spellStart"/>
      <w:r w:rsidRPr="00DF25BF">
        <w:rPr>
          <w:sz w:val="20"/>
          <w:szCs w:val="20"/>
        </w:rPr>
        <w:t>Henochsberg</w:t>
      </w:r>
      <w:proofErr w:type="spellEnd"/>
      <w:r w:rsidRPr="00DF25BF">
        <w:rPr>
          <w:sz w:val="20"/>
          <w:szCs w:val="20"/>
        </w:rPr>
        <w:t xml:space="preserve"> on the Companies Act 71 of 2008,</w:t>
      </w:r>
      <w:r>
        <w:rPr>
          <w:sz w:val="20"/>
          <w:szCs w:val="20"/>
        </w:rPr>
        <w:t>”</w:t>
      </w:r>
      <w:r w:rsidRPr="00DF25BF">
        <w:rPr>
          <w:sz w:val="20"/>
          <w:szCs w:val="20"/>
        </w:rPr>
        <w:t xml:space="preserve"> LexisNexis 2015 P482[2]</w:t>
      </w:r>
    </w:p>
  </w:footnote>
  <w:footnote w:id="16">
    <w:p w14:paraId="3ABA7FA6" w14:textId="77777777" w:rsidR="00F80CFD" w:rsidRPr="00DF25BF" w:rsidRDefault="00F80CFD" w:rsidP="00F80CFD">
      <w:pPr>
        <w:pStyle w:val="FootnoteText"/>
        <w:rPr>
          <w:sz w:val="20"/>
          <w:szCs w:val="20"/>
        </w:rPr>
      </w:pPr>
      <w:r w:rsidRPr="00DF25BF">
        <w:rPr>
          <w:rStyle w:val="FootnoteReference"/>
          <w:sz w:val="20"/>
          <w:szCs w:val="20"/>
        </w:rPr>
        <w:footnoteRef/>
      </w:r>
      <w:r w:rsidRPr="00DF25BF">
        <w:rPr>
          <w:sz w:val="20"/>
          <w:szCs w:val="20"/>
        </w:rPr>
        <w:t xml:space="preserve"> Taboo Trading 232 [Pty] Ltd v Pro Wreck Scrap Metal CC, Joubert v Pro Wreck Scrap Metal CC &amp; </w:t>
      </w:r>
      <w:proofErr w:type="spellStart"/>
      <w:r w:rsidRPr="00DF25BF">
        <w:rPr>
          <w:sz w:val="20"/>
          <w:szCs w:val="20"/>
        </w:rPr>
        <w:t>Ors</w:t>
      </w:r>
      <w:proofErr w:type="spellEnd"/>
      <w:r w:rsidRPr="00DF25BF">
        <w:rPr>
          <w:sz w:val="20"/>
          <w:szCs w:val="20"/>
        </w:rPr>
        <w:t xml:space="preserve"> 2013 [6] 141 [KZP] Para 11.3</w:t>
      </w:r>
    </w:p>
  </w:footnote>
  <w:footnote w:id="17">
    <w:p w14:paraId="52793FE9" w14:textId="7A17E9DD" w:rsidR="00F80CFD" w:rsidRPr="00DF25BF" w:rsidRDefault="00F80CFD" w:rsidP="00F80CFD">
      <w:pPr>
        <w:pStyle w:val="FootnoteText"/>
        <w:rPr>
          <w:sz w:val="20"/>
          <w:szCs w:val="20"/>
        </w:rPr>
      </w:pPr>
      <w:r>
        <w:rPr>
          <w:rStyle w:val="FootnoteReference"/>
        </w:rPr>
        <w:footnoteRef/>
      </w:r>
      <w:r w:rsidRPr="00DF25BF">
        <w:rPr>
          <w:sz w:val="20"/>
          <w:szCs w:val="20"/>
        </w:rPr>
        <w:t xml:space="preserve"> Merchant West Capital Solutions [Pty] Ltd v Advanced </w:t>
      </w:r>
      <w:r w:rsidR="005B5918" w:rsidRPr="00DF25BF">
        <w:rPr>
          <w:sz w:val="20"/>
          <w:szCs w:val="20"/>
        </w:rPr>
        <w:t>Technologies</w:t>
      </w:r>
      <w:r w:rsidRPr="00DF25BF">
        <w:rPr>
          <w:sz w:val="20"/>
          <w:szCs w:val="20"/>
        </w:rPr>
        <w:t xml:space="preserve"> &amp; Engineering Company [Pty] Ltd  [2013] ZAGPJHC 109 Paras 3</w:t>
      </w:r>
    </w:p>
  </w:footnote>
  <w:footnote w:id="18">
    <w:p w14:paraId="4D1FB289" w14:textId="77777777" w:rsidR="00055B39" w:rsidRDefault="00055B39" w:rsidP="00055B39">
      <w:pPr>
        <w:pStyle w:val="FootnoteText"/>
      </w:pPr>
      <w:r>
        <w:rPr>
          <w:rStyle w:val="FootnoteReference"/>
        </w:rPr>
        <w:footnoteRef/>
      </w:r>
      <w:r>
        <w:t xml:space="preserve"> </w:t>
      </w:r>
      <w:r w:rsidRPr="00464E6F">
        <w:rPr>
          <w:sz w:val="20"/>
          <w:szCs w:val="20"/>
        </w:rPr>
        <w:t>Companies Regulations of 2011</w:t>
      </w:r>
    </w:p>
  </w:footnote>
  <w:footnote w:id="19">
    <w:p w14:paraId="54110C95" w14:textId="77777777" w:rsidR="00055B39" w:rsidRDefault="00055B39" w:rsidP="00055B39">
      <w:pPr>
        <w:pStyle w:val="FootnoteText"/>
      </w:pPr>
      <w:r w:rsidRPr="00DF25BF">
        <w:rPr>
          <w:rStyle w:val="FootnoteReference"/>
          <w:sz w:val="20"/>
          <w:szCs w:val="20"/>
        </w:rPr>
        <w:footnoteRef/>
      </w:r>
      <w:r w:rsidRPr="00DF25BF">
        <w:rPr>
          <w:sz w:val="20"/>
          <w:szCs w:val="20"/>
        </w:rPr>
        <w:t xml:space="preserve"> 2011 [5] SA 600</w:t>
      </w:r>
    </w:p>
  </w:footnote>
  <w:footnote w:id="20">
    <w:p w14:paraId="3BC036F0" w14:textId="77777777" w:rsidR="00055B39" w:rsidRPr="00DF25BF" w:rsidRDefault="00055B39" w:rsidP="00055B39">
      <w:pPr>
        <w:pStyle w:val="FootnoteText"/>
        <w:rPr>
          <w:sz w:val="20"/>
          <w:szCs w:val="20"/>
        </w:rPr>
      </w:pPr>
      <w:r w:rsidRPr="00DF25BF">
        <w:rPr>
          <w:rStyle w:val="FootnoteReference"/>
          <w:sz w:val="20"/>
          <w:szCs w:val="20"/>
        </w:rPr>
        <w:footnoteRef/>
      </w:r>
      <w:r w:rsidRPr="00DF25BF">
        <w:rPr>
          <w:sz w:val="20"/>
          <w:szCs w:val="20"/>
        </w:rPr>
        <w:t xml:space="preserve"> 2012 [3] ALL SA 555 [GSJ]</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1E"/>
    <w:rsid w:val="000155DF"/>
    <w:rsid w:val="00055B39"/>
    <w:rsid w:val="00067B1E"/>
    <w:rsid w:val="00097F1C"/>
    <w:rsid w:val="001807F0"/>
    <w:rsid w:val="003152F7"/>
    <w:rsid w:val="0053770A"/>
    <w:rsid w:val="005963A2"/>
    <w:rsid w:val="005B5918"/>
    <w:rsid w:val="00644A6E"/>
    <w:rsid w:val="008D51FB"/>
    <w:rsid w:val="009E0FB3"/>
    <w:rsid w:val="00B31E5F"/>
    <w:rsid w:val="00F80CF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AD38"/>
  <w15:chartTrackingRefBased/>
  <w15:docId w15:val="{83F004F9-CFE3-D245-BBE0-D777BF9E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W"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Body"/>
    <w:link w:val="Heading2Char"/>
    <w:uiPriority w:val="9"/>
    <w:qFormat/>
    <w:rsid w:val="00F80CFD"/>
    <w:pPr>
      <w:spacing w:line="360" w:lineRule="auto"/>
      <w:jc w:val="both"/>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67B1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styleId="FootnoteText">
    <w:name w:val="footnote text"/>
    <w:link w:val="FootnoteTextChar"/>
    <w:uiPriority w:val="99"/>
    <w:rsid w:val="00067B1E"/>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FootnoteTextChar">
    <w:name w:val="Footnote Text Char"/>
    <w:basedOn w:val="DefaultParagraphFont"/>
    <w:link w:val="FootnoteText"/>
    <w:uiPriority w:val="99"/>
    <w:rsid w:val="00067B1E"/>
    <w:rPr>
      <w:rFonts w:ascii="Calibri" w:eastAsia="Calibri" w:hAnsi="Calibri" w:cs="Calibri"/>
      <w:color w:val="000000"/>
      <w:u w:color="000000"/>
      <w:bdr w:val="nil"/>
      <w:lang w:val="en-US"/>
    </w:rPr>
  </w:style>
  <w:style w:type="character" w:styleId="FootnoteReference">
    <w:name w:val="footnote reference"/>
    <w:basedOn w:val="DefaultParagraphFont"/>
    <w:uiPriority w:val="99"/>
    <w:unhideWhenUsed/>
    <w:rsid w:val="00067B1E"/>
    <w:rPr>
      <w:vertAlign w:val="superscript"/>
    </w:rPr>
  </w:style>
  <w:style w:type="character" w:customStyle="1" w:styleId="Heading2Char">
    <w:name w:val="Heading 2 Char"/>
    <w:basedOn w:val="DefaultParagraphFont"/>
    <w:link w:val="Heading2"/>
    <w:uiPriority w:val="9"/>
    <w:rsid w:val="00F80CFD"/>
    <w:rPr>
      <w:rFonts w:ascii="Arial" w:eastAsia="Calibri" w:hAnsi="Arial" w:cs="Calibri"/>
      <w:b/>
      <w:bC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18736-F163-F84E-AB90-0A0AF297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1335</Words>
  <Characters>7611</Characters>
  <Application>Microsoft Office Word</Application>
  <DocSecurity>0</DocSecurity>
  <Lines>63</Lines>
  <Paragraphs>17</Paragraphs>
  <ScaleCrop>false</ScaleCrop>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Nhemwa, CT, Mr [24652415@sun.ac.za]</dc:creator>
  <cp:keywords/>
  <dc:description/>
  <cp:lastModifiedBy>Nhemwa, CT, Mr [24652415@sun.ac.za]</cp:lastModifiedBy>
  <cp:revision>2</cp:revision>
  <dcterms:created xsi:type="dcterms:W3CDTF">2023-02-13T11:53:00Z</dcterms:created>
  <dcterms:modified xsi:type="dcterms:W3CDTF">2023-02-13T11:53:00Z</dcterms:modified>
</cp:coreProperties>
</file>