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91"/>
        <w:gridCol w:w="1033"/>
        <w:gridCol w:w="1195"/>
        <w:gridCol w:w="973"/>
        <w:gridCol w:w="161"/>
        <w:gridCol w:w="644"/>
        <w:gridCol w:w="705"/>
        <w:gridCol w:w="352"/>
        <w:gridCol w:w="329"/>
        <w:gridCol w:w="680"/>
        <w:gridCol w:w="408"/>
        <w:gridCol w:w="272"/>
      </w:tblGrid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10194.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78.9261"/>
        </w:trPr>
        <w:tc>
          <w:tcPr>
            <w:tcW w:w="10194.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420" w:lineRule="auto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36"/>
                <w:szCs w:val="36"/>
              </w:rPr>
              <w:t> ПОЯСНЮВАЛЬНА ЗАПИСКА</w:t>
            </w:r>
          </w:p>
        </w:tc>
      </w:tr>
      <w:tr>
        <w:trPr>
          <w:trHeight w:hRule="exact" w:val="277.8299"/>
        </w:trPr>
        <w:tc>
          <w:tcPr>
            <w:tcW w:w="10194.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2023 рік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674.73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Комунальний заклад "Піщанський навчально- реабілітаційний центр" Вінницької обласної Ради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29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449.82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4252.5" w:type="dxa"/>
            <w:gridSpan w:val="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449.8201"/>
        </w:trPr>
        <w:tc>
          <w:tcPr>
            <w:tcW w:w="8153.4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</w:p>
        </w:tc>
        <w:tc>
          <w:tcPr>
            <w:tcW w:w="4252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02.0853"/>
        </w:trPr>
        <w:tc>
          <w:tcPr>
            <w:tcW w:w="2552" w:type="dxa"/>
          </w:tcPr>
          <w:p/>
        </w:tc>
        <w:tc>
          <w:tcPr>
            <w:tcW w:w="891" w:type="dxa"/>
          </w:tcPr>
          <w:p/>
        </w:tc>
        <w:tc>
          <w:tcPr>
            <w:tcW w:w="1033" w:type="dxa"/>
          </w:tcPr>
          <w:p/>
        </w:tc>
        <w:tc>
          <w:tcPr>
            <w:tcW w:w="1195" w:type="dxa"/>
          </w:tcPr>
          <w:p/>
        </w:tc>
        <w:tc>
          <w:tcPr>
            <w:tcW w:w="973" w:type="dxa"/>
          </w:tcPr>
          <w:p/>
        </w:tc>
        <w:tc>
          <w:tcPr>
            <w:tcW w:w="161" w:type="dxa"/>
          </w:tcPr>
          <w:p/>
        </w:tc>
        <w:tc>
          <w:tcPr>
            <w:tcW w:w="644" w:type="dxa"/>
          </w:tcPr>
          <w:p/>
        </w:tc>
        <w:tc>
          <w:tcPr>
            <w:tcW w:w="705" w:type="dxa"/>
          </w:tcPr>
          <w:p/>
        </w:tc>
        <w:tc>
          <w:tcPr>
            <w:tcW w:w="352" w:type="dxa"/>
          </w:tcPr>
          <w:p/>
        </w:tc>
        <w:tc>
          <w:tcPr>
            <w:tcW w:w="329" w:type="dxa"/>
          </w:tcPr>
          <w:p/>
        </w:tc>
        <w:tc>
          <w:tcPr>
            <w:tcW w:w="680" w:type="dxa"/>
          </w:tcPr>
          <w:p/>
        </w:tc>
        <w:tc>
          <w:tcPr>
            <w:tcW w:w="408" w:type="dxa"/>
          </w:tcPr>
          <w:p/>
        </w:tc>
        <w:tc>
          <w:tcPr>
            <w:tcW w:w="272" w:type="dxa"/>
          </w:tcPr>
          <w:p/>
        </w:tc>
      </w:tr>
      <w:tr>
        <w:trPr>
          <w:trHeight w:hRule="exact" w:val="329.2799"/>
        </w:trPr>
        <w:tc>
          <w:tcPr>
            <w:tcW w:w="5670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Короткий опис основної діяльності установи</w:t>
            </w:r>
          </w:p>
        </w:tc>
        <w:tc>
          <w:tcPr>
            <w:tcW w:w="28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Найменування органу, якому підпорядкована установа</w:t>
            </w:r>
          </w:p>
        </w:tc>
        <w:tc>
          <w:tcPr>
            <w:tcW w:w="170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Середня чисельність працівників</w:t>
            </w:r>
          </w:p>
        </w:tc>
      </w:tr>
      <w:tr>
        <w:trPr>
          <w:trHeight w:hRule="exact" w:val="166.6979"/>
        </w:trPr>
        <w:tc>
          <w:tcPr>
            <w:tcW w:w="5670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28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70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</w:tr>
      <w:tr>
        <w:trPr>
          <w:trHeight w:hRule="exact" w:val="3845.226"/>
        </w:trPr>
        <w:tc>
          <w:tcPr>
            <w:tcW w:w="5670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Головними завданнями Центру є: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	створення   умов  для  здобуття   освіти  учнями  (вихованцями)  шляхом належного    кадрового, матеріально-технічного    забезпечення,    забезпечення універсального    дизайну    та/або    розумного пристосування,    що    враховує індивідуальні потреби та можливості учнів (вихованців);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	забезпечення    системного    психолого-педагогічного    супроводу   учнів (вихованців), зокрема із складними порушеннями розвитку, з урахуванням їх стану здоров'я, індивідуальних особливостей;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	надання    психолого-педагогічних   та   корекційно-розвиткових   послуг (допомоги) учням (вихованцям) Центру та змінному контингенту;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	забезпечення навчання учнів (вихованців) із  складними порушеннямирозвитку, а також  глухих за допомогою найбільш прийнятних для них методів і способів  спілкування  в  освітньому  середовищі (просторі),  що  максимально сприяє засвоєнню знань і соціальному розвитку, використання в освітньому процесі української жестової мови,   допоміжних засобів для навчання, а також засобів альтернативної комунікації для дітей, які цього потребують;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	викладання навчальних предметів (інтегрованих курсів) способами, що є найбільш прийнятними для учнів із складними порушеннями розвитку, у тому числі шляхом адаптації/модифікації змісту навчальних предметів (інтегрованих курсів), використання допоміжних засобів для навчання;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	організація освітнього процесу, що ґрунтується на загальнолюдських цінностях, визначених Законами України «Про освіту», «Про повну загальну середню освіту», «Про дошкільну освіту» та «Про забезпечення рівних прав та можливостей жінок і чоловіків»;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	сприяння набуттю ключових компетентностей учнями (вихованцями);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	забезпечення здійснення реабілітаційних заходів для учнів (вихованців) центру, а також для змінного контингенту;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	формування  компетентностей для  подальшого  самостійного  життя  та соціалізації учнів (вихованців);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	сприяння всебічному розвитку учнів (вихованців);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	надання  консультацій батькам (іншим законним  представникам) учнів (вихованців) з метою забезпечення їх активної участі в освітньому процесі та соціалізації учнів (вихованців) і змінного контингенту.</w:t>
            </w:r>
          </w:p>
        </w:tc>
        <w:tc>
          <w:tcPr>
            <w:tcW w:w="28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Комунальний заклад «Піщанський навчально- реабілітаційний центр» Вінницької обласної Ради належить до спільної власності територіальних громад Вінницької області управління якою здійснює Вінницька обласна Рада.</w:t>
            </w:r>
          </w:p>
        </w:tc>
        <w:tc>
          <w:tcPr>
            <w:tcW w:w="170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Працює в школі 68 осіб з  них 28 педпрацівників  та обслуговуючого персоналу 40 особи.</w:t>
            </w:r>
          </w:p>
        </w:tc>
      </w:tr>
      <w:tr>
        <w:trPr>
          <w:trHeight w:hRule="exact" w:val="277.8304"/>
        </w:trPr>
        <w:tc>
          <w:tcPr>
            <w:tcW w:w="2552" w:type="dxa"/>
          </w:tcPr>
          <w:p/>
        </w:tc>
        <w:tc>
          <w:tcPr>
            <w:tcW w:w="891" w:type="dxa"/>
          </w:tcPr>
          <w:p/>
        </w:tc>
        <w:tc>
          <w:tcPr>
            <w:tcW w:w="1033" w:type="dxa"/>
          </w:tcPr>
          <w:p/>
        </w:tc>
        <w:tc>
          <w:tcPr>
            <w:tcW w:w="1195" w:type="dxa"/>
          </w:tcPr>
          <w:p/>
        </w:tc>
        <w:tc>
          <w:tcPr>
            <w:tcW w:w="973" w:type="dxa"/>
          </w:tcPr>
          <w:p/>
        </w:tc>
        <w:tc>
          <w:tcPr>
            <w:tcW w:w="161" w:type="dxa"/>
          </w:tcPr>
          <w:p/>
        </w:tc>
        <w:tc>
          <w:tcPr>
            <w:tcW w:w="644" w:type="dxa"/>
          </w:tcPr>
          <w:p/>
        </w:tc>
        <w:tc>
          <w:tcPr>
            <w:tcW w:w="705" w:type="dxa"/>
          </w:tcPr>
          <w:p/>
        </w:tc>
        <w:tc>
          <w:tcPr>
            <w:tcW w:w="352" w:type="dxa"/>
          </w:tcPr>
          <w:p/>
        </w:tc>
        <w:tc>
          <w:tcPr>
            <w:tcW w:w="329" w:type="dxa"/>
          </w:tcPr>
          <w:p/>
        </w:tc>
        <w:tc>
          <w:tcPr>
            <w:tcW w:w="680" w:type="dxa"/>
          </w:tcPr>
          <w:p/>
        </w:tc>
        <w:tc>
          <w:tcPr>
            <w:tcW w:w="408" w:type="dxa"/>
          </w:tcPr>
          <w:p/>
        </w:tc>
        <w:tc>
          <w:tcPr>
            <w:tcW w:w="272" w:type="dxa"/>
          </w:tcPr>
          <w:p/>
        </w:tc>
      </w:tr>
      <w:tr>
        <w:trPr>
          <w:trHeight w:hRule="exact" w:val="690.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На звітний період 2023 рік по комунальному закладі «Піщанський навчально-реабілітаційний центр» Вінницької обласної Ради по КПКВ 0611025 кошти загального фонду затверджені в сумі 10176420,54 грн. Надійшло коштів за звітний період та касові видатки складають 10057551,04 грн.</w:t>
            </w:r>
          </w:p>
        </w:tc>
      </w:tr>
      <w:tr>
        <w:trPr>
          <w:trHeight w:hRule="exact" w:val="465.4016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По КПКВ 0611035 кошти загального фонду затверджені в сумі 7104484,00 грн. та на кінець звітного періоду використані в повному обсязі.</w:t>
            </w:r>
          </w:p>
        </w:tc>
      </w:tr>
      <w:tr>
        <w:trPr>
          <w:trHeight w:hRule="exact" w:val="465.4016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По КПКВ 0611271 кошти загального фонду затверджені в сумі 5645,00 грн. та на кінець звітного періоду використані в повному обсязі.</w:t>
            </w:r>
          </w:p>
        </w:tc>
      </w:tr>
      <w:tr>
        <w:trPr>
          <w:trHeight w:hRule="exact" w:val="916.2521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По формі 4-1м «Звіт про надходження і використання коштів, отриманих як плата за послуги» кошти затверджені в сумі 61770,74 грн. За звітний період надійшло коштів в сумі 29850,00 грн. Видатки за звітний період склали 51204,74 грн., в т.ч.: по КЕКВ 2210 в сумі 22800,00 грн.,  по КЕКВ 2240 в сумі 25864,74 грн., КЕКВ 2282 – 2540,00 грн. Залишок на реєстраційному рахунку по формі 4-1м на 01.01.2024 р. складає  – 10566,00 грн.</w:t>
            </w:r>
          </w:p>
        </w:tc>
      </w:tr>
      <w:tr>
        <w:trPr>
          <w:trHeight w:hRule="exact" w:val="1141.601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По формі 4-2м «Звіт про надходження і використання коштів, отриманих за іншими джерелами власних надходжень» затверджено 506409,31 грн. Залишок коштів на початок звітного року 127098,16 грн., у звітному періоді надійшло коштів 379311,27 грн., з них: 286453,05 грн. - це благодійна допомога в натуральному надходженні, 92858,22 грн. - кошти отримані від підприємств для виконання цільових заходів. Залишок на рахунку по формі 4-2м на кінець звітного періоду складає – 23125,78 грн.</w:t>
            </w:r>
          </w:p>
        </w:tc>
      </w:tr>
      <w:tr>
        <w:trPr>
          <w:trHeight w:hRule="exact" w:val="465.4025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По формі 4-3м «Звіт про надходження і використання інших надходжень спеціального фонду» затверджено затверджено кошти в сумі 13171,00 грн. та на кінець звітного періоду використані в повному обсязі.</w:t>
            </w:r>
          </w:p>
        </w:tc>
      </w:tr>
      <w:tr>
        <w:trPr>
          <w:trHeight w:hRule="exact" w:val="690.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Кредиторська заборгованість на початок звітного року по КПКВ   0611022 в сумі 31908,10 грн. в т.ч. по КЕКВ 2210 – 8940,49 грн., КЕКВ 2240-12967,61 грн., перереєстрована на  КПКВ  0611025 та на кінець звітного періоду оплачена повністю.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1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На кінець звітного періоду по КПКВК 0611025, по КПКВК 0611035  кредиторська заборгованість відсутня.</w:t>
            </w:r>
          </w:p>
        </w:tc>
      </w:tr>
      <w:tr>
        <w:trPr>
          <w:trHeight w:hRule="exact" w:val="1166.886"/>
        </w:trPr>
        <w:tc>
          <w:tcPr>
            <w:tcW w:w="2552" w:type="dxa"/>
          </w:tcPr>
          <w:p/>
        </w:tc>
        <w:tc>
          <w:tcPr>
            <w:tcW w:w="891" w:type="dxa"/>
          </w:tcPr>
          <w:p/>
        </w:tc>
        <w:tc>
          <w:tcPr>
            <w:tcW w:w="1033" w:type="dxa"/>
          </w:tcPr>
          <w:p/>
        </w:tc>
        <w:tc>
          <w:tcPr>
            <w:tcW w:w="1195" w:type="dxa"/>
          </w:tcPr>
          <w:p/>
        </w:tc>
        <w:tc>
          <w:tcPr>
            <w:tcW w:w="973" w:type="dxa"/>
          </w:tcPr>
          <w:p/>
        </w:tc>
        <w:tc>
          <w:tcPr>
            <w:tcW w:w="161" w:type="dxa"/>
          </w:tcPr>
          <w:p/>
        </w:tc>
        <w:tc>
          <w:tcPr>
            <w:tcW w:w="644" w:type="dxa"/>
          </w:tcPr>
          <w:p/>
        </w:tc>
        <w:tc>
          <w:tcPr>
            <w:tcW w:w="705" w:type="dxa"/>
          </w:tcPr>
          <w:p/>
        </w:tc>
        <w:tc>
          <w:tcPr>
            <w:tcW w:w="352" w:type="dxa"/>
          </w:tcPr>
          <w:p/>
        </w:tc>
        <w:tc>
          <w:tcPr>
            <w:tcW w:w="329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" w:type="dxa"/>
          </w:tcPr>
          <w:p/>
        </w:tc>
      </w:tr>
      <w:tr>
        <w:trPr>
          <w:trHeight w:hRule="exact" w:val="276.9484"/>
        </w:trPr>
        <w:tc>
          <w:tcPr>
            <w:tcW w:w="2552" w:type="dxa"/>
          </w:tcPr>
          <w:p/>
        </w:tc>
        <w:tc>
          <w:tcPr>
            <w:tcW w:w="891" w:type="dxa"/>
          </w:tcPr>
          <w:p/>
        </w:tc>
        <w:tc>
          <w:tcPr>
            <w:tcW w:w="1033" w:type="dxa"/>
          </w:tcPr>
          <w:p/>
        </w:tc>
        <w:tc>
          <w:tcPr>
            <w:tcW w:w="1195" w:type="dxa"/>
          </w:tcPr>
          <w:p/>
        </w:tc>
        <w:tc>
          <w:tcPr>
            <w:tcW w:w="973" w:type="dxa"/>
          </w:tcPr>
          <w:p/>
        </w:tc>
        <w:tc>
          <w:tcPr>
            <w:tcW w:w="161" w:type="dxa"/>
          </w:tcPr>
          <w:p/>
        </w:tc>
        <w:tc>
          <w:tcPr>
            <w:tcW w:w="644" w:type="dxa"/>
          </w:tcPr>
          <w:p/>
        </w:tc>
        <w:tc>
          <w:tcPr>
            <w:tcW w:w="705" w:type="dxa"/>
          </w:tcPr>
          <w:p/>
        </w:tc>
        <w:tc>
          <w:tcPr>
            <w:tcW w:w="352" w:type="dxa"/>
          </w:tcPr>
          <w:p/>
        </w:tc>
        <w:tc>
          <w:tcPr>
            <w:tcW w:w="329" w:type="dxa"/>
          </w:tcPr>
          <w:p/>
        </w:tc>
        <w:tc>
          <w:tcPr>
            <w:tcW w:w="680" w:type="dxa"/>
          </w:tcPr>
          <w:p/>
        </w:tc>
        <w:tc>
          <w:tcPr>
            <w:tcW w:w="408" w:type="dxa"/>
          </w:tcPr>
          <w:p/>
        </w:tc>
        <w:tc>
          <w:tcPr>
            <w:tcW w:w="272" w:type="dxa"/>
          </w:tcPr>
          <w:p/>
        </w:tc>
      </w:tr>
      <w:tr>
        <w:trPr>
          <w:trHeight w:hRule="exact" w:val="277.8304"/>
        </w:trPr>
        <w:tc>
          <w:tcPr>
            <w:tcW w:w="3442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202400000042653573</w:t>
            </w:r>
          </w:p>
        </w:tc>
        <w:tc>
          <w:tcPr>
            <w:tcW w:w="1032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67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805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750.7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42"/>
        <w:gridCol w:w="1033"/>
        <w:gridCol w:w="2168"/>
        <w:gridCol w:w="805"/>
        <w:gridCol w:w="1341"/>
        <w:gridCol w:w="1134"/>
        <w:gridCol w:w="284"/>
      </w:tblGrid>
      <w:tr>
        <w:trPr>
          <w:trHeight w:hRule="exact" w:val="465.402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Протоколи про порушення бюджетного законодавства не складалися. Поточні рахунки в інших банках не відкриті.</w:t>
            </w:r>
          </w:p>
        </w:tc>
      </w:tr>
      <w:tr>
        <w:trPr>
          <w:trHeight w:hRule="exact" w:val="465.402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По формі 1-дс БАЛАНС, рядок 1001 на початок звітного періоду первісна вартість основних засобів складала 8214461 грн., на кінець звітного періоду склала 8322575 грн.</w:t>
            </w:r>
          </w:p>
        </w:tc>
      </w:tr>
      <w:tr>
        <w:trPr>
          <w:trHeight w:hRule="exact" w:val="1592.304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Протягом звітного періоду відбувався рух основних засобів, зокрема  придбано основних засобів на загальну суму 331766 грн., в т.ч по загальному фонду на суму – 33362 грн. (бактерицидні рециркулятори 3 шт., бойлер, електроплита, кран, посуд, термометри для холодильника), по спеціальному фонду по формі 4-2  на суму - 285233 грн. (протигази в кількості 103 шт., біотуалет портативний ТМ Thetford Campa potti XGL, 1 шт., гербова печатка, 1 шт., штамп, 1 шт., вивіска на будівлю, 1 шт., табличка вказівка до пожежної водойми, 1 шт., знак протипожежний (пожежна водойма), 1 шт., м’ячі, роутер, одяг, шафи, бібліотека), по формі 4-3 на суму 13171 грн. (дидактичні матеріали для НУШ).  Списано за звітний період основних засобів на суму 223652 грн.</w:t>
            </w:r>
          </w:p>
        </w:tc>
      </w:tr>
      <w:tr>
        <w:trPr>
          <w:trHeight w:hRule="exact" w:val="465.402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«Незавершені капітальні інвестиції» рядок 1030 Балансу на початок та на кінець звітного періоду становлять 56000 грн, це інвестиції минулого періоду на будівництво огорожі закладу, які не введені в експлуатацію.</w:t>
            </w:r>
          </w:p>
        </w:tc>
      </w:tr>
      <w:tr>
        <w:trPr>
          <w:trHeight w:hRule="exact" w:val="465.402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1050 Запаси на кінець звітного періоду становлять – 956165 грн, це залишки товарів та матеріалів, медикаменти, продукти харчування, придбані для потреб установи та не використані на кінець звітного періоду.</w:t>
            </w:r>
          </w:p>
        </w:tc>
      </w:tr>
      <w:tr>
        <w:trPr>
          <w:trHeight w:hRule="exact" w:val="690.9002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В рядку 1162 сума коштів на казначейських рахунках на кінець звітного періоду склала – 34629 грн., з них: спеціальний фонд (надходження від господарської діяльності) – 10566,00 грн, спеціальний фонд (інші джерела власних надходжень) – 23125,78 грн.</w:t>
            </w:r>
          </w:p>
        </w:tc>
      </w:tr>
      <w:tr>
        <w:trPr>
          <w:trHeight w:hRule="exact" w:val="240.0504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Внесений капітал на кінець звітного періоду склав 8322575 грн.</w:t>
            </w:r>
          </w:p>
        </w:tc>
      </w:tr>
      <w:tr>
        <w:trPr>
          <w:trHeight w:hRule="exact" w:val="465.4025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1420 Фінансовий результат на кінець звітного періоду склав мінус -2754541 грн. Цільове фінансування на кінець звітного періоду в сумі 56000 грн на будівництво огорожі закладу, залишок минулих періодів.</w:t>
            </w:r>
          </w:p>
        </w:tc>
      </w:tr>
      <w:tr>
        <w:trPr>
          <w:trHeight w:hRule="exact" w:val="465.402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Поточні зобов’язання на кінець звітного періоду склали - 937 грн., відшкодовані кошти тимчасової непрацездатності Пенсійним фондом України, які надійшли 28 грудня 2023 року.</w:t>
            </w:r>
          </w:p>
        </w:tc>
      </w:tr>
      <w:tr>
        <w:trPr>
          <w:trHeight w:hRule="exact" w:val="240.0504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1540 зобов’язання за платежами до бюджету склали - 183 грн. </w:t>
            </w:r>
          </w:p>
        </w:tc>
      </w:tr>
      <w:tr>
        <w:trPr>
          <w:trHeight w:hRule="exact" w:val="465.4025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1560 зобов’язання за розрахунками з оплати праці склали - 754 грн., допомога по тимчасовій непрацездатності.</w:t>
            </w:r>
          </w:p>
        </w:tc>
      </w:tr>
      <w:tr>
        <w:trPr>
          <w:trHeight w:hRule="exact" w:val="465.402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Форма 2-дс «Звіт про фінансові результати», рядок 2010 - 17134318 грн., складається з  надходжень коштів по формах 2-м в сумі - 17167680 грн.,  мінус придбані основні засоби за звітний період в сумі – 33362 грн.</w:t>
            </w:r>
          </w:p>
        </w:tc>
      </w:tr>
      <w:tr>
        <w:trPr>
          <w:trHeight w:hRule="exact" w:val="465.402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2020 доходи від надання послуг (виконання робіт) - 29850 грн., за звітний період надходження основних засобів небуло.</w:t>
            </w:r>
          </w:p>
        </w:tc>
      </w:tr>
      <w:tr>
        <w:trPr>
          <w:trHeight w:hRule="exact" w:val="465.402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2130 інші доходи від необмінних операцій - 379311 грн за мінусом надходження основних засобів в сумі 285233 грн - становить  - 94078 грн.</w:t>
            </w:r>
          </w:p>
        </w:tc>
      </w:tr>
      <w:tr>
        <w:trPr>
          <w:trHeight w:hRule="exact" w:val="240.0504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2210 витрати на виконання бюджетних програм становлять на кінець звітного періоду - 17556114 грн.</w:t>
            </w:r>
          </w:p>
        </w:tc>
      </w:tr>
      <w:tr>
        <w:trPr>
          <w:trHeight w:hRule="exact" w:val="465.4016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2220 витрати на виготовлення продукції (надання послуг, виконання робіт) становлять на кінець звітного періоду - 25865 грн.</w:t>
            </w:r>
          </w:p>
        </w:tc>
      </w:tr>
      <w:tr>
        <w:trPr>
          <w:trHeight w:hRule="exact" w:val="240.0521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2250 інші витрати за обмінними операціями склав - 36300 грн. (видатки на відрядження).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2310 інші витрати за необмінними операціями – 13000 грн.  кишенькові кошти вихованцям.</w:t>
            </w:r>
          </w:p>
        </w:tc>
      </w:tr>
      <w:tr>
        <w:trPr>
          <w:trHeight w:hRule="exact" w:val="240.0504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2380 Усього витрат склав - 17631279 грн. </w:t>
            </w:r>
          </w:p>
        </w:tc>
      </w:tr>
      <w:tr>
        <w:trPr>
          <w:trHeight w:hRule="exact" w:val="690.9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Рядок 2390 Профіцит/дефіцит за звітний період – мінус 373033 грн., фінансовий результан відкорегований на суму 223652 грн, це списання основних засобів придбаних за минулі роки. Амортизація за звітний період нарахована в сумі 379691 грн.</w:t>
            </w:r>
          </w:p>
        </w:tc>
      </w:tr>
      <w:tr>
        <w:trPr>
          <w:trHeight w:hRule="exact" w:val="465.4016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В додатку 20 відображена заборгованість по тимчасовій непрацездатності на початок звітного періоду по дебету та по кредиту в сумі 4587,87 грн. та на кінець звітного періоду кредитова заборгованість в сумі 936,84 грн.</w:t>
            </w:r>
          </w:p>
        </w:tc>
      </w:tr>
      <w:tr>
        <w:trPr>
          <w:trHeight w:hRule="exact" w:val="916.2512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В ф.3-дс відображені бюджетні асигнування в сумі – 17134318 грн., надходження від надання послуг в сумі – 29850 грн., інші надходження в сумі – 185508 грн.,надходження коштів по тимчасовій непрацездатності,  витрати на виконання бюджетних програм в сумі – 17283068 грн., витрати на виготовлення продукції – 51205 грн., інші витрати за обмінними операціями – 36300 грн., інші витрати за необмінними операціями – 13000 грн.</w:t>
            </w:r>
          </w:p>
        </w:tc>
      </w:tr>
      <w:tr>
        <w:trPr>
          <w:trHeight w:hRule="exact" w:val="690.9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Чистий рух коштів від операційної діяльності – 174014 грн., надходження цільового фінансування – 46533 грн., витрати на придбання основних засобів – 331766 грн. Чистий рух коштів за звітний період -124390 грн. Надходження в натуральній формі – 295865 грн., залишок коштів на кінець року – 34629 грн.</w:t>
            </w:r>
          </w:p>
        </w:tc>
      </w:tr>
      <w:tr>
        <w:trPr>
          <w:trHeight w:hRule="exact" w:val="916.2512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В ф. 4-дс «Звіт про власний капітал» відображено внесений капітал на початок року в сумі 8214461, зміни протягом поточного року на суму – 108114 та залишок на кінець року основних засобів – 8322575 грн., цільове фінансування в сумі 56000 грн., та фінансовий результат на кінець звітного року  -2754541 грн.  В рядку 4290 в сумі 223652 грн  відображено списання основних засобів придбаних за попередні періоди.</w:t>
            </w:r>
          </w:p>
        </w:tc>
      </w:tr>
      <w:tr>
        <w:trPr>
          <w:trHeight w:hRule="exact" w:val="916.2512"/>
        </w:trPr>
        <w:tc>
          <w:tcPr>
            <w:tcW w:w="10206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В ф. 5-дс відображено рух основних засобів протягом звітного року: Надходження основних засобів – 331766 грн, в т.ч. надходження бібліотечного фонду – 525 грн. Незавершене капітальне будівництво на кінець року в сумі – 56000 грн. Залишок виробничих запасів на кінець року – 956165 грн. Поточні зобов’язання на кінець звітного періоду складають – 937 грн., заборгованість по тимчасовій непрацездатності.</w:t>
            </w:r>
          </w:p>
        </w:tc>
      </w:tr>
      <w:tr>
        <w:trPr>
          <w:trHeight w:hRule="exact" w:val="1166.886"/>
        </w:trPr>
        <w:tc>
          <w:tcPr>
            <w:tcW w:w="3442" w:type="dxa"/>
          </w:tcPr>
          <w:p/>
        </w:tc>
        <w:tc>
          <w:tcPr>
            <w:tcW w:w="1033" w:type="dxa"/>
          </w:tcPr>
          <w:p/>
        </w:tc>
        <w:tc>
          <w:tcPr>
            <w:tcW w:w="2168" w:type="dxa"/>
          </w:tcPr>
          <w:p/>
        </w:tc>
        <w:tc>
          <w:tcPr>
            <w:tcW w:w="805" w:type="dxa"/>
          </w:tcPr>
          <w:p/>
        </w:tc>
        <w:tc>
          <w:tcPr>
            <w:tcW w:w="1341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</w:tr>
      <w:tr>
        <w:trPr>
          <w:trHeight w:hRule="exact" w:val="508.1791"/>
        </w:trPr>
        <w:tc>
          <w:tcPr>
            <w:tcW w:w="3442" w:type="dxa"/>
          </w:tcPr>
          <w:p/>
        </w:tc>
        <w:tc>
          <w:tcPr>
            <w:tcW w:w="1033" w:type="dxa"/>
          </w:tcPr>
          <w:p/>
        </w:tc>
        <w:tc>
          <w:tcPr>
            <w:tcW w:w="2168" w:type="dxa"/>
          </w:tcPr>
          <w:p/>
        </w:tc>
        <w:tc>
          <w:tcPr>
            <w:tcW w:w="805" w:type="dxa"/>
          </w:tcPr>
          <w:p/>
        </w:tc>
        <w:tc>
          <w:tcPr>
            <w:tcW w:w="1341" w:type="dxa"/>
          </w:tcPr>
          <w:p/>
        </w:tc>
        <w:tc>
          <w:tcPr>
            <w:tcW w:w="1134" w:type="dxa"/>
          </w:tcPr>
          <w:p/>
        </w:tc>
        <w:tc>
          <w:tcPr>
            <w:tcW w:w="284" w:type="dxa"/>
          </w:tcPr>
          <w:p/>
        </w:tc>
      </w:tr>
      <w:tr>
        <w:trPr>
          <w:trHeight w:hRule="exact" w:val="277.8304"/>
        </w:trPr>
        <w:tc>
          <w:tcPr>
            <w:tcW w:w="3442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202400000042653573</w:t>
            </w:r>
          </w:p>
        </w:tc>
        <w:tc>
          <w:tcPr>
            <w:tcW w:w="1032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67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805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750.7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992"/>
        <w:gridCol w:w="737"/>
        <w:gridCol w:w="1146"/>
        <w:gridCol w:w="203"/>
        <w:gridCol w:w="830"/>
        <w:gridCol w:w="520"/>
        <w:gridCol w:w="1349"/>
        <w:gridCol w:w="298"/>
        <w:gridCol w:w="805"/>
        <w:gridCol w:w="246"/>
        <w:gridCol w:w="1095"/>
        <w:gridCol w:w="255"/>
        <w:gridCol w:w="760"/>
        <w:gridCol w:w="403"/>
      </w:tblGrid>
      <w:tr>
        <w:trPr>
          <w:trHeight w:hRule="exact" w:val="240.051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Укладені договори протягом звітного року на суму – 4166363 грн. </w:t>
            </w:r>
          </w:p>
        </w:tc>
      </w:tr>
      <w:tr>
        <w:trPr>
          <w:trHeight w:hRule="exact" w:val="277.83"/>
        </w:trPr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59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59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28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Олена АЦЕХОВСЬКА</w:t>
            </w:r>
          </w:p>
        </w:tc>
        <w:tc>
          <w:tcPr>
            <w:tcW w:w="759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59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59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28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ЗАРЕМБА</w:t>
            </w:r>
          </w:p>
        </w:tc>
        <w:tc>
          <w:tcPr>
            <w:tcW w:w="759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59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25 " січня 2024р.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59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567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146" w:type="dxa"/>
          </w:tcPr>
          <w:p/>
        </w:tc>
        <w:tc>
          <w:tcPr>
            <w:tcW w:w="203" w:type="dxa"/>
          </w:tcPr>
          <w:p/>
        </w:tc>
        <w:tc>
          <w:tcPr>
            <w:tcW w:w="830" w:type="dxa"/>
          </w:tcPr>
          <w:p/>
        </w:tc>
        <w:tc>
          <w:tcPr>
            <w:tcW w:w="520" w:type="dxa"/>
          </w:tcPr>
          <w:p/>
        </w:tc>
        <w:tc>
          <w:tcPr>
            <w:tcW w:w="1349" w:type="dxa"/>
          </w:tcPr>
          <w:p/>
        </w:tc>
        <w:tc>
          <w:tcPr>
            <w:tcW w:w="298" w:type="dxa"/>
          </w:tcPr>
          <w:p/>
        </w:tc>
        <w:tc>
          <w:tcPr>
            <w:tcW w:w="805" w:type="dxa"/>
          </w:tcPr>
          <w:p/>
        </w:tc>
        <w:tc>
          <w:tcPr>
            <w:tcW w:w="246" w:type="dxa"/>
          </w:tcPr>
          <w:p/>
        </w:tc>
        <w:tc>
          <w:tcPr>
            <w:tcW w:w="109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" w:type="dxa"/>
          </w:tcPr>
          <w:p/>
        </w:tc>
      </w:tr>
      <w:tr>
        <w:trPr>
          <w:trHeight w:hRule="exact" w:val="11484.38"/>
        </w:trPr>
        <w:tc>
          <w:tcPr>
            <w:tcW w:w="567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146" w:type="dxa"/>
          </w:tcPr>
          <w:p/>
        </w:tc>
        <w:tc>
          <w:tcPr>
            <w:tcW w:w="203" w:type="dxa"/>
          </w:tcPr>
          <w:p/>
        </w:tc>
        <w:tc>
          <w:tcPr>
            <w:tcW w:w="830" w:type="dxa"/>
          </w:tcPr>
          <w:p/>
        </w:tc>
        <w:tc>
          <w:tcPr>
            <w:tcW w:w="520" w:type="dxa"/>
          </w:tcPr>
          <w:p/>
        </w:tc>
        <w:tc>
          <w:tcPr>
            <w:tcW w:w="1349" w:type="dxa"/>
          </w:tcPr>
          <w:p/>
        </w:tc>
        <w:tc>
          <w:tcPr>
            <w:tcW w:w="298" w:type="dxa"/>
          </w:tcPr>
          <w:p/>
        </w:tc>
        <w:tc>
          <w:tcPr>
            <w:tcW w:w="805" w:type="dxa"/>
          </w:tcPr>
          <w:p/>
        </w:tc>
        <w:tc>
          <w:tcPr>
            <w:tcW w:w="246" w:type="dxa"/>
          </w:tcPr>
          <w:p/>
        </w:tc>
        <w:tc>
          <w:tcPr>
            <w:tcW w:w="1095" w:type="dxa"/>
          </w:tcPr>
          <w:p/>
        </w:tc>
        <w:tc>
          <w:tcPr>
            <w:tcW w:w="255" w:type="dxa"/>
          </w:tcPr>
          <w:p/>
        </w:tc>
        <w:tc>
          <w:tcPr>
            <w:tcW w:w="760" w:type="dxa"/>
          </w:tcPr>
          <w:p/>
        </w:tc>
        <w:tc>
          <w:tcPr>
            <w:tcW w:w="403" w:type="dxa"/>
          </w:tcPr>
          <w:p/>
        </w:tc>
      </w:tr>
      <w:tr>
        <w:trPr>
          <w:trHeight w:hRule="exact" w:val="277.8304"/>
        </w:trPr>
        <w:tc>
          <w:tcPr>
            <w:tcW w:w="3442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202400000042653573</w:t>
            </w:r>
          </w:p>
        </w:tc>
        <w:tc>
          <w:tcPr>
            <w:tcW w:w="1032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67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805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750.7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Form_f_d10</dc:title>
  <dc:creator>FastReport.NET</dc:creator>
</cp:coreProperties>
</file>