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0611403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харчуванням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учнів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початкових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класів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202500000049217292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202500000049217292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202500000049217292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202500000049217292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