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7668"/>
      </w:tblGrid>
      <w:tr w:rsidR="000F4FDB" w:rsidRPr="00627F52" w:rsidTr="00CE0241">
        <w:trPr>
          <w:jc w:val="center"/>
        </w:trPr>
        <w:tc>
          <w:tcPr>
            <w:tcW w:w="1188" w:type="dxa"/>
          </w:tcPr>
          <w:p w:rsidR="000F4FDB" w:rsidRPr="00726778" w:rsidRDefault="000F4FDB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Tema:</w:t>
            </w:r>
          </w:p>
        </w:tc>
        <w:tc>
          <w:tcPr>
            <w:tcW w:w="7668" w:type="dxa"/>
          </w:tcPr>
          <w:p w:rsidR="000F4FDB" w:rsidRPr="00726778" w:rsidRDefault="000F4FDB" w:rsidP="00CE024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b/>
                <w:sz w:val="20"/>
                <w:szCs w:val="20"/>
                <w:lang w:val="sq-AL"/>
              </w:rPr>
              <w:t xml:space="preserve"> DISKUTIMI PËR INTERVISTË ME MINISTRIN AHMET SHALA</w:t>
            </w:r>
          </w:p>
        </w:tc>
      </w:tr>
      <w:tr w:rsidR="000F4FDB" w:rsidRPr="00627F52" w:rsidTr="00CE0241">
        <w:trPr>
          <w:jc w:val="center"/>
        </w:trPr>
        <w:tc>
          <w:tcPr>
            <w:tcW w:w="1188" w:type="dxa"/>
          </w:tcPr>
          <w:p w:rsidR="000F4FDB" w:rsidRPr="00726778" w:rsidRDefault="000F4FDB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Data:</w:t>
            </w:r>
          </w:p>
        </w:tc>
        <w:tc>
          <w:tcPr>
            <w:tcW w:w="7668" w:type="dxa"/>
          </w:tcPr>
          <w:p w:rsidR="000F4FDB" w:rsidRPr="00726778" w:rsidRDefault="000F4FDB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22 Shtator 2010</w:t>
            </w:r>
          </w:p>
        </w:tc>
      </w:tr>
      <w:tr w:rsidR="000F4FDB" w:rsidRPr="00627F52" w:rsidTr="00CE0241">
        <w:trPr>
          <w:jc w:val="center"/>
        </w:trPr>
        <w:tc>
          <w:tcPr>
            <w:tcW w:w="1188" w:type="dxa"/>
          </w:tcPr>
          <w:p w:rsidR="000F4FDB" w:rsidRPr="00726778" w:rsidRDefault="000F4FDB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Media:</w:t>
            </w:r>
          </w:p>
        </w:tc>
        <w:tc>
          <w:tcPr>
            <w:tcW w:w="7668" w:type="dxa"/>
          </w:tcPr>
          <w:p w:rsidR="000F4FDB" w:rsidRPr="00726778" w:rsidRDefault="000F4FDB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KOSOVA SOT</w:t>
            </w:r>
          </w:p>
        </w:tc>
      </w:tr>
      <w:tr w:rsidR="000F4FDB" w:rsidRPr="00627F52" w:rsidTr="00CE0241">
        <w:trPr>
          <w:jc w:val="center"/>
        </w:trPr>
        <w:tc>
          <w:tcPr>
            <w:tcW w:w="8856" w:type="dxa"/>
            <w:gridSpan w:val="2"/>
          </w:tcPr>
          <w:p w:rsidR="000F4FDB" w:rsidRPr="00726778" w:rsidRDefault="000F4FDB" w:rsidP="00CE0241">
            <w:pPr>
              <w:rPr>
                <w:lang w:val="sq-AL"/>
              </w:rPr>
            </w:pPr>
          </w:p>
          <w:p w:rsidR="000F4FDB" w:rsidRPr="00726778" w:rsidRDefault="000F4FDB" w:rsidP="00CE0241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Qeverisja me ndërmarrjet publike - qeveria është aksionar, si aksionar ka përgjegjësi ligjore për mirë-menaxhim. Qeveria respektivisht MEF cakton bordet dhe anëtaret e bordit të këtyre ndërmarrjeve. Kur këto ndërmarrje nuk punojnë me efektivitet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atëhere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bordet janë përgjegjëse. Kur bordet nuk ndërmarrin masa, duhet që MEF-i të ndërmarr masa ndaj bordeve. Menaxhimi jo i mirë i këtyre ndërmarrjeve dëshmohet për çdo ditë në mënyra të ndryshme, pse MEF-i nuk ka ndërmarrë asnjë masë deri tani? Po ashtu MEF-i ka obligim ligjor që anëtar bordi të jenë profesionistet kurse MEF-i ka emëruar njerëz nga politika, sa e ndjenë veten përgjegjës ministri.</w:t>
            </w:r>
          </w:p>
          <w:p w:rsidR="000F4FDB" w:rsidRPr="00726778" w:rsidRDefault="000F4FDB" w:rsidP="00CE0241">
            <w:pPr>
              <w:ind w:left="360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  <w:p w:rsidR="000F4FDB" w:rsidRPr="00726778" w:rsidRDefault="000F4FDB" w:rsidP="00CE0241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MEF ka përgjegjësi për punën e trustit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pensional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, dhe emëron bordin. Ky bord është përgjegjës për investimet, pse ministri nuk ka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ndermarrë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asnjë mase ndaj këtij bordi dhe a ndihet ministri përgjegjës për punën e trustit?</w:t>
            </w:r>
          </w:p>
          <w:p w:rsidR="000F4FDB" w:rsidRPr="00726778" w:rsidRDefault="000F4FDB" w:rsidP="00CE0241">
            <w:pPr>
              <w:ind w:left="360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  <w:p w:rsidR="000F4FDB" w:rsidRPr="00726778" w:rsidRDefault="000F4FDB" w:rsidP="00CE0241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Menaxhimi i parasë publike është përgjegjësi ligjore e MEF. Investimi në autostradë i bie si me e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pasë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shtepinë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me rrasa e veturën 7 metra. Po të investohej në zgjerimin e rrugës ekzistuese deri në Morinë ndoshta maksimumi do të duheshin 200 milion euro. Dallimi në kohe në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rrugen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ekzistuese të zgjeruar dhe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autostrades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që po ndërtohet mund të jetë 10 - 15 min. Si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aresytohet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menaxhim i mire i parasë publike vendimi për të shpenzuar ndoshta 800 milion për ta shkurtuar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rrugen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15 min? Po të investoheshin këto 800 mil në zgjerimin e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rrugeve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tjera ekzistuese të brendshme dhe në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hekurudhen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ekzistuese (përfshi lidhjen hekurudhore me Shqipërinë) nuk do të shpenzoheshin ma tepër se 500 mil. Do të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mbetëshin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edhe 300 mil për ndërmarrjet tjera publike si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ujesjellesat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, arsimi, shëndetësia etj.</w:t>
            </w:r>
          </w:p>
          <w:p w:rsidR="000F4FDB" w:rsidRPr="00726778" w:rsidRDefault="000F4FDB" w:rsidP="00CE0241">
            <w:pPr>
              <w:ind w:left="360"/>
              <w:rPr>
                <w:lang w:val="sq-AL"/>
              </w:rPr>
            </w:pPr>
          </w:p>
          <w:p w:rsidR="000F4FDB" w:rsidRPr="00726778" w:rsidRDefault="000F4FDB" w:rsidP="00CE0241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Për arkat fiskale kemi diskutuar ma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heret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, pse ministria ka shpallë tender për furnizim të bizneseve me arka fiskale në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ndermarrje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tjera e jo këto t'i shpërndaj falas?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473AE"/>
    <w:multiLevelType w:val="hybridMultilevel"/>
    <w:tmpl w:val="234202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4FDB"/>
    <w:rsid w:val="000C0111"/>
    <w:rsid w:val="000D671B"/>
    <w:rsid w:val="000F4FDB"/>
    <w:rsid w:val="001A4BD8"/>
    <w:rsid w:val="002A71B6"/>
    <w:rsid w:val="005434C2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FD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Company>Grizli777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2023-07-04T13:05:00Z</dcterms:created>
  <dcterms:modified xsi:type="dcterms:W3CDTF">2023-07-04T13:05:00Z</dcterms:modified>
</cp:coreProperties>
</file>