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7668"/>
      </w:tblGrid>
      <w:tr w:rsidR="00C271E6" w:rsidRPr="00627F52" w:rsidTr="00CE0241">
        <w:trPr>
          <w:jc w:val="center"/>
        </w:trPr>
        <w:tc>
          <w:tcPr>
            <w:tcW w:w="1188" w:type="dxa"/>
          </w:tcPr>
          <w:p w:rsidR="00C271E6" w:rsidRPr="00726778" w:rsidRDefault="00C271E6" w:rsidP="00CE0241">
            <w:pPr>
              <w:spacing w:before="120" w:after="120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Tema:</w:t>
            </w:r>
          </w:p>
        </w:tc>
        <w:tc>
          <w:tcPr>
            <w:tcW w:w="7668" w:type="dxa"/>
          </w:tcPr>
          <w:p w:rsidR="00C271E6" w:rsidRPr="00726778" w:rsidRDefault="00C271E6" w:rsidP="00C271E6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432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b/>
                <w:sz w:val="20"/>
                <w:szCs w:val="20"/>
                <w:lang w:val="sq-AL"/>
              </w:rPr>
              <w:t>KRIZA EKONOMIKE DHE DËRGESAT E MËRGIMTARËVE</w:t>
            </w:r>
          </w:p>
          <w:p w:rsidR="00C271E6" w:rsidRPr="00726778" w:rsidRDefault="00C271E6" w:rsidP="00C271E6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432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b/>
                <w:sz w:val="20"/>
                <w:szCs w:val="20"/>
                <w:lang w:val="sq-AL"/>
              </w:rPr>
              <w:t>PRIVATIZIMI I NDËRMARRJEVE SHOQËRORE NË KOSOVË</w:t>
            </w:r>
          </w:p>
        </w:tc>
      </w:tr>
      <w:tr w:rsidR="00C271E6" w:rsidRPr="00627F52" w:rsidTr="00CE0241">
        <w:trPr>
          <w:jc w:val="center"/>
        </w:trPr>
        <w:tc>
          <w:tcPr>
            <w:tcW w:w="1188" w:type="dxa"/>
          </w:tcPr>
          <w:p w:rsidR="00C271E6" w:rsidRPr="00726778" w:rsidRDefault="00C271E6" w:rsidP="00CE0241">
            <w:pPr>
              <w:spacing w:before="120" w:after="120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Data:</w:t>
            </w:r>
          </w:p>
        </w:tc>
        <w:tc>
          <w:tcPr>
            <w:tcW w:w="7668" w:type="dxa"/>
          </w:tcPr>
          <w:p w:rsidR="00C271E6" w:rsidRPr="00726778" w:rsidRDefault="00C271E6" w:rsidP="00CE0241">
            <w:pPr>
              <w:spacing w:before="120" w:after="120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27 Korrik 2010</w:t>
            </w:r>
          </w:p>
        </w:tc>
      </w:tr>
      <w:tr w:rsidR="00C271E6" w:rsidRPr="00627F52" w:rsidTr="00CE0241">
        <w:trPr>
          <w:jc w:val="center"/>
        </w:trPr>
        <w:tc>
          <w:tcPr>
            <w:tcW w:w="1188" w:type="dxa"/>
          </w:tcPr>
          <w:p w:rsidR="00C271E6" w:rsidRPr="00726778" w:rsidRDefault="00C271E6" w:rsidP="00CE0241">
            <w:pPr>
              <w:spacing w:before="120" w:after="120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Media:</w:t>
            </w:r>
          </w:p>
        </w:tc>
        <w:tc>
          <w:tcPr>
            <w:tcW w:w="7668" w:type="dxa"/>
          </w:tcPr>
          <w:p w:rsidR="00C271E6" w:rsidRPr="00726778" w:rsidRDefault="00C271E6" w:rsidP="00CE0241">
            <w:pPr>
              <w:spacing w:before="120" w:after="120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KOSOVA SOT</w:t>
            </w:r>
          </w:p>
        </w:tc>
      </w:tr>
      <w:tr w:rsidR="00C271E6" w:rsidRPr="00627F52" w:rsidTr="00CE0241">
        <w:trPr>
          <w:jc w:val="center"/>
        </w:trPr>
        <w:tc>
          <w:tcPr>
            <w:tcW w:w="8856" w:type="dxa"/>
            <w:gridSpan w:val="2"/>
          </w:tcPr>
          <w:p w:rsidR="00C271E6" w:rsidRPr="00726778" w:rsidRDefault="00C271E6" w:rsidP="00CE0241">
            <w:pPr>
              <w:rPr>
                <w:lang w:val="sq-AL"/>
              </w:rPr>
            </w:pPr>
          </w:p>
          <w:p w:rsidR="00C271E6" w:rsidRPr="00726778" w:rsidRDefault="00C271E6" w:rsidP="00CE0241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Të dhënat statistikore të BQK-së janë ato që shkojnë përmes sistemit bankar. Sigurisht se ka edhe dërgesa që shkojnë në forma tjera. Nëse marrim të dhënat e BQK-së si të besueshme, ka logjikë që vitin e kaluar kriza financiare i ka prekur edhe mërgimtarët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tane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. Në bazë të këtyre statistikave, vjet ka qenë  efekti negativ ma i madh dhe ka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patur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rënje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kurse sivjet kemi një përmirësim. Ky përmirësim merr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persiper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bazën nga viti i kaluar që ka qenë ma i ulët se i vitit paraprak. Në bazë të kësaj, ende niveli i dërgesave nuk është i nivelit të vitit 2007. Kur kësaj i shtohet se normalisht çdo vit kemi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patur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një rritje të dërgesave, kjo rritje prej 3.5% si rritje efektive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eshte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ende e ulët mirëpo është sinjal i mirë se mërgimtarët janë në proces të përmirësimit të gjendjes se tyre.</w:t>
            </w:r>
          </w:p>
          <w:p w:rsidR="00C271E6" w:rsidRPr="00726778" w:rsidRDefault="00C271E6" w:rsidP="00CE0241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</w:t>
            </w:r>
          </w:p>
          <w:p w:rsidR="00C271E6" w:rsidRPr="00726778" w:rsidRDefault="00C271E6" w:rsidP="00CE0241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Në lidhje me privatizimin nga AKP, në përgjithësi nga aspekti ekonomik ka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patur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rezultate shumë të dobëta. Nëse shikohet nga aspekti politik, ka rezultate pozitive. Si shpjegohet kjo.</w:t>
            </w:r>
          </w:p>
          <w:p w:rsidR="00C271E6" w:rsidRPr="00726778" w:rsidRDefault="00C271E6" w:rsidP="00CE0241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</w:t>
            </w:r>
          </w:p>
          <w:p w:rsidR="00C271E6" w:rsidRPr="00726778" w:rsidRDefault="00C271E6" w:rsidP="00CE0241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Nga aspekti ekonomik, privatizimi ka tërhequr një shumë të madhe të kapitalit vendor nga aktiviteti ekonomik në Kosovë dhe është deponuar në banka jashtë Kosovës. Këto janë pagesat e bizneseve për blerjen e ndërmarrjeve. Ky privatizim nuk ka sjell kapital nga jashtë, shumat janë minimale. Kur kësaj i shtohet edhe ajo që blerjet në privatizim janë bërë përtej dhe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ate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larg kapaciteteve financiare të bizneseve vendore, mandej shume blerje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jane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bërë me kredi nga bankat vendore me kamata të larta të cilat kanë rritë shpenzimet e bizneseve vendore, mandej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hargjimi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i të gjitha resurseve financiare bile edhe hyrje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borgj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vetem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për ta blerë një pasuri shoqërore gjë që nuk ka lënë mundësi për të gjetur kapital shtesë qoftë si kredi bankare qoftë si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bashkinvestim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me partner nga jashtë për të aktivizuar ndonjë aktivitet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biznesor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nga kjo pasuri e blerë, shumica e blerjeve nuk kanë filluar ndonjë veprimtari por rrinë si pasuri pasive, rrinë kot toka, ndërtesat etj. dhe shume dukuri të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ngjajshme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e bëjnë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privataizimin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si jo produktiv. Krejt këto dëshmojnë edhe për mungesë të njohurive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biznesore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, pa analiza, planifikim financiar e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biznesor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etj. Krejt këto kanë ndikuar që privatizimi të ketë shkaktuar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nje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ngulfatje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të veprimtarisë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biznesore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në Kosovë.</w:t>
            </w:r>
          </w:p>
          <w:p w:rsidR="00C271E6" w:rsidRPr="00726778" w:rsidRDefault="00C271E6" w:rsidP="00CE0241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</w:t>
            </w:r>
          </w:p>
          <w:p w:rsidR="00C271E6" w:rsidRPr="00726778" w:rsidRDefault="00C271E6" w:rsidP="00CE0241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Nga aspekti politik, qëllimi politik ka qenë që të ndërrohet forma e pronësisë: nga pronësia shoqërore të kalohet në pronësi private. Kjo është arritur.</w:t>
            </w:r>
          </w:p>
          <w:p w:rsidR="00C271E6" w:rsidRPr="00726778" w:rsidRDefault="00C271E6" w:rsidP="00CE0241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</w:t>
            </w:r>
          </w:p>
          <w:p w:rsidR="00C271E6" w:rsidRPr="00713A9F" w:rsidRDefault="00C271E6" w:rsidP="00CE0241">
            <w:r>
              <w:rPr>
                <w:rFonts w:ascii="Arial" w:hAnsi="Arial" w:cs="Arial"/>
                <w:sz w:val="20"/>
                <w:szCs w:val="20"/>
                <w:lang w:val="sq-AL"/>
              </w:rPr>
              <w:t>Më</w:t>
            </w: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kujtohet kur jan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ë</w:t>
            </w: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diskutuar politikat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operacionale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para se privatiz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imi të filloj. Në</w:t>
            </w: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diskutime isha aktiv për të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patur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politika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operacionale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të cilat do ta përmirësonin cilësinë e privatizimit. Diskutimi pat shkuar bukur lart deri sa "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ekspertat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" e jashtëm që i kishin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ndërtu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këto politika than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troq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: ne kemi zgjedhur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formen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ma të lehtë të transferimit të pronës, formë e cila është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leht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p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ër</w:t>
            </w: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tu kuptuar dhe menaxhuar. Nuk dëshirojmë të kemi asnjë komplikim. Sigurisht që secila politikë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operacionale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qe do të 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dërgonte</w:t>
            </w: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kah përmirësimi i cilësisë se procesit të privatizimit gjithashtu ka shtuar edhe në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veshtiërsi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të zbatim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it dhe kjo është si komplikim. Është</w:t>
            </w: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zgjedhur rruga më e lehtë e mundshme, nuk janë mërzitë për cilësinë dhe rezultatet.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15257"/>
    <w:multiLevelType w:val="hybridMultilevel"/>
    <w:tmpl w:val="4CAE45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71E6"/>
    <w:rsid w:val="000C0111"/>
    <w:rsid w:val="000D671B"/>
    <w:rsid w:val="001A4BD8"/>
    <w:rsid w:val="002A71B6"/>
    <w:rsid w:val="005434C2"/>
    <w:rsid w:val="00B62FF7"/>
    <w:rsid w:val="00C271E6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1E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2784</Characters>
  <Application>Microsoft Office Word</Application>
  <DocSecurity>0</DocSecurity>
  <Lines>23</Lines>
  <Paragraphs>6</Paragraphs>
  <ScaleCrop>false</ScaleCrop>
  <Company>Grizli777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2023-07-04T13:03:00Z</dcterms:created>
  <dcterms:modified xsi:type="dcterms:W3CDTF">2023-07-04T13:03:00Z</dcterms:modified>
</cp:coreProperties>
</file>