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8" w:rsidRDefault="001A4BD8"/>
    <w:p w:rsidR="001470EA" w:rsidRDefault="001470EA"/>
    <w:p w:rsidR="001470EA" w:rsidRDefault="001470EA"/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2088"/>
        <w:gridCol w:w="7488"/>
      </w:tblGrid>
      <w:tr w:rsidR="001470EA" w:rsidRPr="00A74E09" w:rsidTr="000A16EF">
        <w:tc>
          <w:tcPr>
            <w:tcW w:w="2088" w:type="dxa"/>
          </w:tcPr>
          <w:p w:rsidR="001470EA" w:rsidRPr="00A74E09" w:rsidRDefault="001470EA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A74E09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A74E0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1470EA" w:rsidRPr="00A74E09" w:rsidRDefault="001470EA" w:rsidP="000A16EF">
            <w:pPr>
              <w:rPr>
                <w:rFonts w:ascii="Times New Roman" w:hAnsi="Times New Roman" w:cs="Times New Roman"/>
                <w:b/>
              </w:rPr>
            </w:pPr>
            <w:r w:rsidRPr="00A74E09">
              <w:rPr>
                <w:rFonts w:ascii="Times New Roman" w:hAnsi="Times New Roman" w:cs="Times New Roman"/>
                <w:b/>
              </w:rPr>
              <w:t>KONFERENCA E DONTATORËVE</w:t>
            </w:r>
          </w:p>
        </w:tc>
      </w:tr>
      <w:tr w:rsidR="001470EA" w:rsidRPr="00A74E09" w:rsidTr="000A16EF">
        <w:tc>
          <w:tcPr>
            <w:tcW w:w="2088" w:type="dxa"/>
          </w:tcPr>
          <w:p w:rsidR="001470EA" w:rsidRPr="00A74E09" w:rsidRDefault="001470EA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1470EA" w:rsidRPr="00A74E09" w:rsidRDefault="001470EA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23 MARS 2011</w:t>
            </w:r>
          </w:p>
        </w:tc>
      </w:tr>
      <w:tr w:rsidR="001470EA" w:rsidRPr="00A74E09" w:rsidTr="000A16EF">
        <w:tc>
          <w:tcPr>
            <w:tcW w:w="2088" w:type="dxa"/>
          </w:tcPr>
          <w:p w:rsidR="001470EA" w:rsidRPr="00A74E09" w:rsidRDefault="001470EA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1470EA" w:rsidRPr="00A74E09" w:rsidRDefault="001470EA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KOSOVA SOT</w:t>
            </w:r>
          </w:p>
        </w:tc>
      </w:tr>
      <w:tr w:rsidR="001470EA" w:rsidRPr="00A74E09" w:rsidTr="000A16EF">
        <w:tc>
          <w:tcPr>
            <w:tcW w:w="9576" w:type="dxa"/>
            <w:gridSpan w:val="2"/>
          </w:tcPr>
          <w:p w:rsidR="001470EA" w:rsidRPr="00A74E09" w:rsidRDefault="001470EA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konferenc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doatorë</w:t>
            </w:r>
            <w:r w:rsidRPr="00A74E09">
              <w:rPr>
                <w:rFonts w:ascii="Times New Roman" w:hAnsi="Times New Roman" w:cs="Times New Roman"/>
              </w:rPr>
              <w:t>ve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u paten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premtuar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rreth</w:t>
            </w:r>
            <w:proofErr w:type="spellEnd"/>
            <w:r>
              <w:rPr>
                <w:rFonts w:ascii="Times New Roman" w:hAnsi="Times New Roman" w:cs="Times New Roman"/>
              </w:rPr>
              <w:t xml:space="preserve"> 1.5 </w:t>
            </w:r>
            <w:proofErr w:type="spellStart"/>
            <w:r>
              <w:rPr>
                <w:rFonts w:ascii="Times New Roman" w:hAnsi="Times New Roman" w:cs="Times New Roman"/>
              </w:rPr>
              <w:t>miliard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euro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lidh</w:t>
            </w:r>
            <w:r>
              <w:rPr>
                <w:rFonts w:ascii="Times New Roman" w:hAnsi="Times New Roman" w:cs="Times New Roman"/>
              </w:rPr>
              <w:t>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projektet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prezentuara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konferencë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r w:rsidRPr="00A74E09">
              <w:rPr>
                <w:rFonts w:ascii="Times New Roman" w:hAnsi="Times New Roman" w:cs="Times New Roman"/>
              </w:rPr>
              <w:t>nyrat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financimit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deri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patur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qeverisë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Qeveria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një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depart</w:t>
            </w:r>
            <w:r>
              <w:rPr>
                <w:rFonts w:ascii="Times New Roman" w:hAnsi="Times New Roman" w:cs="Times New Roman"/>
              </w:rPr>
              <w:t>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diç</w:t>
            </w:r>
            <w:r w:rsidRPr="00A74E09">
              <w:rPr>
                <w:rFonts w:ascii="Times New Roman" w:hAnsi="Times New Roman" w:cs="Times New Roman"/>
              </w:rPr>
              <w:t>ka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till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kordinim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punëve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këtyre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donacioneve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dalë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opinion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nga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ky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bur</w:t>
            </w:r>
            <w:r>
              <w:rPr>
                <w:rFonts w:ascii="Times New Roman" w:hAnsi="Times New Roman" w:cs="Times New Roman"/>
              </w:rPr>
              <w:t>im</w:t>
            </w:r>
            <w:proofErr w:type="spellEnd"/>
            <w:r>
              <w:rPr>
                <w:rFonts w:ascii="Times New Roman" w:hAnsi="Times New Roman" w:cs="Times New Roman"/>
              </w:rPr>
              <w:t xml:space="preserve">. Bile </w:t>
            </w:r>
            <w:proofErr w:type="spellStart"/>
            <w:r>
              <w:rPr>
                <w:rFonts w:ascii="Times New Roman" w:hAnsi="Times New Roman" w:cs="Times New Roman"/>
              </w:rPr>
              <w:t>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</w:t>
            </w:r>
            <w:r w:rsidRPr="00A74E09">
              <w:rPr>
                <w:rFonts w:ascii="Times New Roman" w:hAnsi="Times New Roman" w:cs="Times New Roman"/>
              </w:rPr>
              <w:t>ka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ishte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prononcim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nga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ishte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mjaft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pakuptu</w:t>
            </w:r>
            <w:r>
              <w:rPr>
                <w:rFonts w:ascii="Times New Roman" w:hAnsi="Times New Roman" w:cs="Times New Roman"/>
              </w:rPr>
              <w:t>eshme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tyre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shrytëzuar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rreth</w:t>
            </w:r>
            <w:proofErr w:type="spellEnd"/>
            <w:r>
              <w:rPr>
                <w:rFonts w:ascii="Times New Roman" w:hAnsi="Times New Roman" w:cs="Times New Roman"/>
              </w:rPr>
              <w:t xml:space="preserve"> 80%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</w:t>
            </w:r>
            <w:r w:rsidRPr="00A74E09">
              <w:rPr>
                <w:rFonts w:ascii="Times New Roman" w:hAnsi="Times New Roman" w:cs="Times New Roman"/>
              </w:rPr>
              <w:t>tyre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mj</w:t>
            </w:r>
            <w:r>
              <w:rPr>
                <w:rFonts w:ascii="Times New Roman" w:hAnsi="Times New Roman" w:cs="Times New Roman"/>
              </w:rPr>
              <w:t>eteve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konferencë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periudh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vjeçare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invest</w:t>
            </w:r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800 </w:t>
            </w:r>
            <w:proofErr w:type="spellStart"/>
            <w:r>
              <w:rPr>
                <w:rFonts w:ascii="Times New Roman" w:hAnsi="Times New Roman" w:cs="Times New Roman"/>
              </w:rPr>
              <w:t>milion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Sigurisht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kjo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nuk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ndodh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pagesa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borgjeve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Kosovës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Jugosllavia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paguar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qe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mendoj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periudh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mund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200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dyqind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million) </w:t>
            </w:r>
            <w:proofErr w:type="spellStart"/>
            <w:r>
              <w:rPr>
                <w:rFonts w:ascii="Times New Roman" w:hAnsi="Times New Roman" w:cs="Times New Roman"/>
              </w:rPr>
              <w:t>milion</w:t>
            </w:r>
            <w:proofErr w:type="spellEnd"/>
            <w:r>
              <w:rPr>
                <w:rFonts w:ascii="Times New Roman" w:hAnsi="Times New Roman" w:cs="Times New Roman"/>
              </w:rPr>
              <w:t xml:space="preserve">. Po </w:t>
            </w:r>
            <w:proofErr w:type="spellStart"/>
            <w:r>
              <w:rPr>
                <w:rFonts w:ascii="Times New Roman" w:hAnsi="Times New Roman" w:cs="Times New Roman"/>
              </w:rPr>
              <w:t>ashtu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dhjetëra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miliona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nga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qeveria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ndihmes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drejtpë</w:t>
            </w:r>
            <w:r w:rsidRPr="00A74E09">
              <w:rPr>
                <w:rFonts w:ascii="Times New Roman" w:hAnsi="Times New Roman" w:cs="Times New Roman"/>
              </w:rPr>
              <w:t>rdr</w:t>
            </w:r>
            <w:r>
              <w:rPr>
                <w:rFonts w:ascii="Times New Roman" w:hAnsi="Times New Roman" w:cs="Times New Roman"/>
              </w:rPr>
              <w:t>ejt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Projekte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opinion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kan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herët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pas</w:t>
            </w:r>
            <w:r w:rsidRPr="00A74E09">
              <w:rPr>
                <w:rFonts w:ascii="Times New Roman" w:hAnsi="Times New Roman" w:cs="Times New Roman"/>
              </w:rPr>
              <w:t>ur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formacione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shrytëzimin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këtyre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financimit</w:t>
            </w:r>
            <w:proofErr w:type="spellEnd"/>
            <w:r w:rsidRPr="00A74E09">
              <w:rPr>
                <w:rFonts w:ascii="Times New Roman" w:hAnsi="Times New Roman" w:cs="Times New Roman"/>
              </w:rPr>
              <w:t>.</w:t>
            </w:r>
          </w:p>
        </w:tc>
      </w:tr>
    </w:tbl>
    <w:p w:rsidR="001470EA" w:rsidRDefault="001470EA"/>
    <w:sectPr w:rsidR="001470EA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70EA"/>
    <w:rsid w:val="000C0111"/>
    <w:rsid w:val="001470EA"/>
    <w:rsid w:val="001A4BD8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2023-07-11T06:49:00Z</dcterms:created>
  <dcterms:modified xsi:type="dcterms:W3CDTF">2023-07-11T06:50:00Z</dcterms:modified>
</cp:coreProperties>
</file>