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B66B" w14:textId="01A55CB5" w:rsidR="00025D53" w:rsidRPr="00CC5B4E" w:rsidRDefault="00025D53" w:rsidP="00025D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z w:val="30"/>
          <w:szCs w:val="30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11747DD2" wp14:editId="635066BF">
            <wp:simplePos x="0" y="0"/>
            <wp:positionH relativeFrom="margin">
              <wp:posOffset>5278295</wp:posOffset>
            </wp:positionH>
            <wp:positionV relativeFrom="paragraph">
              <wp:posOffset>548</wp:posOffset>
            </wp:positionV>
            <wp:extent cx="1344857" cy="1355834"/>
            <wp:effectExtent l="0" t="0" r="8255" b="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57" cy="13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B4E">
        <w:rPr>
          <w:rFonts w:ascii="Arial" w:eastAsia="Times New Roman" w:hAnsi="Arial" w:cs="Arial"/>
          <w:b/>
          <w:bCs/>
          <w:color w:val="2D2D2D"/>
          <w:sz w:val="30"/>
          <w:szCs w:val="30"/>
          <w:lang w:eastAsia="fr-FR"/>
        </w:rPr>
        <w:t>Etudier un anticorp</w:t>
      </w:r>
      <w:r>
        <w:rPr>
          <w:rFonts w:ascii="Arial" w:eastAsia="Times New Roman" w:hAnsi="Arial" w:cs="Arial"/>
          <w:b/>
          <w:bCs/>
          <w:color w:val="2D2D2D"/>
          <w:sz w:val="30"/>
          <w:szCs w:val="30"/>
          <w:lang w:eastAsia="fr-FR"/>
        </w:rPr>
        <w:t>s</w:t>
      </w:r>
    </w:p>
    <w:p w14:paraId="38851C36" w14:textId="77777777" w:rsidR="00025D53" w:rsidRDefault="00025D53" w:rsidP="00025D53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18"/>
          <w:szCs w:val="18"/>
          <w:lang w:eastAsia="fr-FR"/>
        </w:rPr>
      </w:pPr>
    </w:p>
    <w:p w14:paraId="5353A928" w14:textId="341C5D4C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bookmarkStart w:id="0" w:name="_Hlk93328025"/>
      <w:bookmarkEnd w:id="0"/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 xml:space="preserve">Le fichier de molécule IGG-TOTAL.pdb correspondant à un d'anticorps circulant anti-lysozyme fait partie des fichiers de la banque de données initiale de </w:t>
      </w:r>
      <w:proofErr w:type="spellStart"/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Ras</w:t>
      </w:r>
      <w:r w:rsidR="008C3BDF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top</w:t>
      </w:r>
      <w:proofErr w:type="spellEnd"/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.</w:t>
      </w:r>
    </w:p>
    <w:p w14:paraId="602DDB26" w14:textId="5A3D195E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13E84149" w14:textId="1FC6A998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Il suffit de choisir le fichier IGGTOTAL.pdb pour voir apparaître la forme globale de la molécule.</w:t>
      </w:r>
    </w:p>
    <w:p w14:paraId="501D5560" w14:textId="24375363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15BCD17F" wp14:editId="4133F951">
            <wp:simplePos x="0" y="0"/>
            <wp:positionH relativeFrom="column">
              <wp:posOffset>5199796</wp:posOffset>
            </wp:positionH>
            <wp:positionV relativeFrom="paragraph">
              <wp:posOffset>208827</wp:posOffset>
            </wp:positionV>
            <wp:extent cx="1466850" cy="1303655"/>
            <wp:effectExtent l="0" t="0" r="0" b="0"/>
            <wp:wrapSquare wrapText="bothSides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Le mode d'affichage par défaut montre uniquement les liaisons. Pour se rapprocher des représentation usuelles en chimie, il est préférable d'afficher en sphères de Van der Waals avec le bouton : </w:t>
      </w: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inline distT="0" distB="0" distL="0" distR="0" wp14:anchorId="10612523" wp14:editId="79DA5A59">
            <wp:extent cx="248920" cy="285115"/>
            <wp:effectExtent l="0" t="0" r="0" b="63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CC3F" w14:textId="6D24B80D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Le résultat montre que chaque couleur correspond à un élément.</w:t>
      </w:r>
    </w:p>
    <w:p w14:paraId="2ACF10BF" w14:textId="48188CBE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 xml:space="preserve">Le Carbone est en gris, l'Oxygène en rouge, l'Azote en bleu et le Souffre en jaune. </w:t>
      </w:r>
    </w:p>
    <w:p w14:paraId="4E3A7CB5" w14:textId="565C6AB2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On notera que l'Hydrogène n'est pas représenté.</w:t>
      </w:r>
    </w:p>
    <w:p w14:paraId="02BEA8A1" w14:textId="69DA8610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32A3CD21" w14:textId="67ED1F85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18A22130" wp14:editId="1EE9A1A0">
            <wp:simplePos x="0" y="0"/>
            <wp:positionH relativeFrom="margin">
              <wp:align>left</wp:align>
            </wp:positionH>
            <wp:positionV relativeFrom="paragraph">
              <wp:posOffset>307756</wp:posOffset>
            </wp:positionV>
            <wp:extent cx="2122805" cy="1629410"/>
            <wp:effectExtent l="0" t="0" r="0" b="8890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5A5A40E5" wp14:editId="34D98D70">
            <wp:simplePos x="0" y="0"/>
            <wp:positionH relativeFrom="column">
              <wp:posOffset>5168090</wp:posOffset>
            </wp:positionH>
            <wp:positionV relativeFrom="paragraph">
              <wp:posOffset>308041</wp:posOffset>
            </wp:positionV>
            <wp:extent cx="1740535" cy="1766570"/>
            <wp:effectExtent l="0" t="0" r="0" b="5080"/>
            <wp:wrapSquare wrapText="bothSides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La première approche de la molécule se fera par la mise en évidence des chaînes lourdes et légères</w:t>
      </w:r>
    </w:p>
    <w:p w14:paraId="2D0090DA" w14:textId="7EA86E49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680E9A5E" w14:textId="78852C5A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Les chaines légères sont ici en jaune et en vert tandis que les chaînes colorées en bleu correspondent aux chaînes lourdes. La partie en rouge correspond à un glucide qui n'entre pas dans le cadre de l'étude des anticorps.</w:t>
      </w:r>
    </w:p>
    <w:p w14:paraId="2AF785CB" w14:textId="78197D65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75031FCF" w14:textId="58E1CA68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383AD0F9" w14:textId="4E53FACA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7F0BF329" w14:textId="087C58C5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5C070995" w14:textId="04EC829B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6432" behindDoc="0" locked="0" layoutInCell="1" allowOverlap="1" wp14:anchorId="37729366" wp14:editId="005B31FB">
            <wp:simplePos x="0" y="0"/>
            <wp:positionH relativeFrom="margin">
              <wp:align>right</wp:align>
            </wp:positionH>
            <wp:positionV relativeFrom="paragraph">
              <wp:posOffset>447609</wp:posOffset>
            </wp:positionV>
            <wp:extent cx="1581427" cy="1655379"/>
            <wp:effectExtent l="0" t="0" r="0" b="254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27" cy="165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Pour répondre à la question des liaisons qui assurent la cohésion des chaînes, il est nécessaire d'adopter un autre mode de représentation en utilisant les connaissances de première sur la structure des protéines.</w:t>
      </w:r>
    </w:p>
    <w:p w14:paraId="7BC31B87" w14:textId="3A3B705B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2336" behindDoc="0" locked="0" layoutInCell="1" allowOverlap="1" wp14:anchorId="66008B31" wp14:editId="0F0E53A5">
            <wp:simplePos x="0" y="0"/>
            <wp:positionH relativeFrom="margin">
              <wp:align>left</wp:align>
            </wp:positionH>
            <wp:positionV relativeFrom="paragraph">
              <wp:posOffset>261948</wp:posOffset>
            </wp:positionV>
            <wp:extent cx="1312545" cy="1914525"/>
            <wp:effectExtent l="0" t="0" r="1905" b="9525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On fera donc successivement afficher le squelette carboné,</w:t>
      </w:r>
    </w:p>
    <w:p w14:paraId="4C9578E2" w14:textId="5761E0D9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3360" behindDoc="0" locked="0" layoutInCell="1" allowOverlap="1" wp14:anchorId="670B1E59" wp14:editId="43A2A637">
            <wp:simplePos x="0" y="0"/>
            <wp:positionH relativeFrom="column">
              <wp:posOffset>2866675</wp:posOffset>
            </wp:positionH>
            <wp:positionV relativeFrom="paragraph">
              <wp:posOffset>16050</wp:posOffset>
            </wp:positionV>
            <wp:extent cx="2154555" cy="1000125"/>
            <wp:effectExtent l="0" t="0" r="0" b="9525"/>
            <wp:wrapSquare wrapText="bothSides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D53">
        <w:rPr>
          <w:rFonts w:ascii="Arial" w:eastAsia="Times New Roman" w:hAnsi="Arial" w:cs="Arial"/>
          <w:color w:val="2D2D2D"/>
          <w:sz w:val="18"/>
          <w:szCs w:val="18"/>
          <w:lang w:eastAsia="fr-FR"/>
        </w:rPr>
        <w:t xml:space="preserve"> </w:t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puis effacer les atomes :</w:t>
      </w:r>
      <w:r w:rsidRPr="00025D53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t xml:space="preserve"> </w:t>
      </w:r>
    </w:p>
    <w:p w14:paraId="150775AB" w14:textId="765F50C3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25662E32" w14:textId="2A8E4051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4C884FDC" w14:textId="47CE1F4E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036DEDD2" w14:textId="60266387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5B9F2BD4" w14:textId="77777777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34A0A7B9" w14:textId="09F37369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5408" behindDoc="0" locked="0" layoutInCell="1" allowOverlap="1" wp14:anchorId="00C663AF" wp14:editId="66BDC3B1">
            <wp:simplePos x="0" y="0"/>
            <wp:positionH relativeFrom="margin">
              <wp:posOffset>5511668</wp:posOffset>
            </wp:positionH>
            <wp:positionV relativeFrom="paragraph">
              <wp:posOffset>16970</wp:posOffset>
            </wp:positionV>
            <wp:extent cx="1402715" cy="1455420"/>
            <wp:effectExtent l="0" t="0" r="6985" b="0"/>
            <wp:wrapSquare wrapText="bothSides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1CEF9" w14:textId="2FA8E212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725B4274" wp14:editId="61F83418">
            <wp:simplePos x="0" y="0"/>
            <wp:positionH relativeFrom="column">
              <wp:posOffset>2140672</wp:posOffset>
            </wp:positionH>
            <wp:positionV relativeFrom="paragraph">
              <wp:posOffset>24130</wp:posOffset>
            </wp:positionV>
            <wp:extent cx="2037080" cy="895985"/>
            <wp:effectExtent l="0" t="0" r="1270" b="0"/>
            <wp:wrapSquare wrapText="bothSides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E58774" w14:textId="2384611F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2D2D2D"/>
          <w:sz w:val="18"/>
          <w:szCs w:val="18"/>
          <w:lang w:eastAsia="fr-FR"/>
        </w:rPr>
        <w:t>ON peut afficher l</w:t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es ponts disulfures</w:t>
      </w:r>
      <w:r>
        <w:rPr>
          <w:rFonts w:ascii="Arial" w:eastAsia="Times New Roman" w:hAnsi="Arial" w:cs="Arial"/>
          <w:color w:val="2D2D2D"/>
          <w:sz w:val="18"/>
          <w:szCs w:val="18"/>
          <w:lang w:eastAsia="fr-FR"/>
        </w:rPr>
        <w:t> :</w:t>
      </w:r>
      <w:r w:rsidRPr="00025D53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t xml:space="preserve"> </w:t>
      </w:r>
    </w:p>
    <w:p w14:paraId="071ECE85" w14:textId="19093B57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12362A83" w14:textId="43099604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61CCFAA8" w14:textId="0FB8EBC1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44391418" w14:textId="5CC4B369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0123A30F" w14:textId="4F3316BE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75FC5BE0" w14:textId="6D5D9868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7E0F2824" w14:textId="28A68A98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248A1C52" wp14:editId="1ACA6A36">
            <wp:simplePos x="0" y="0"/>
            <wp:positionH relativeFrom="column">
              <wp:posOffset>5341620</wp:posOffset>
            </wp:positionH>
            <wp:positionV relativeFrom="paragraph">
              <wp:posOffset>460</wp:posOffset>
            </wp:positionV>
            <wp:extent cx="1294765" cy="1801495"/>
            <wp:effectExtent l="0" t="0" r="635" b="8255"/>
            <wp:wrapSquare wrapText="bothSides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 xml:space="preserve">Pour mettre </w:t>
      </w:r>
      <w:r>
        <w:rPr>
          <w:rFonts w:ascii="Arial" w:eastAsia="Times New Roman" w:hAnsi="Arial" w:cs="Arial"/>
          <w:color w:val="2D2D2D"/>
          <w:sz w:val="18"/>
          <w:szCs w:val="18"/>
          <w:lang w:eastAsia="fr-FR"/>
        </w:rPr>
        <w:t xml:space="preserve">les ponts </w:t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en évidence il est possible de les colorer spécifiquement. L'utilisation du bouton </w:t>
      </w: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inline distT="0" distB="0" distL="0" distR="0" wp14:anchorId="2CC2C575" wp14:editId="471DF045">
            <wp:extent cx="257810" cy="285115"/>
            <wp:effectExtent l="0" t="0" r="8890" b="63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 permet d'afficher une palette de coloration.</w:t>
      </w:r>
    </w:p>
    <w:p w14:paraId="3AACCDAF" w14:textId="26EAB73E" w:rsidR="00025D53" w:rsidRDefault="00025D53" w:rsidP="00025D53">
      <w:pPr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Choisir "Ponts disulfures" dans la liste déroulante puis une couleur. Ils sont un peu plus visibles.</w:t>
      </w:r>
      <w:r w:rsidRPr="00025D53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t xml:space="preserve"> </w:t>
      </w:r>
    </w:p>
    <w:p w14:paraId="158484C4" w14:textId="2DDE32C5" w:rsidR="00025D53" w:rsidRDefault="00025D53" w:rsidP="00025D53">
      <w:pPr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8480" behindDoc="0" locked="0" layoutInCell="1" allowOverlap="1" wp14:anchorId="3F4FB7F2" wp14:editId="32C109DE">
            <wp:simplePos x="0" y="0"/>
            <wp:positionH relativeFrom="column">
              <wp:posOffset>3986136</wp:posOffset>
            </wp:positionH>
            <wp:positionV relativeFrom="paragraph">
              <wp:posOffset>222535</wp:posOffset>
            </wp:positionV>
            <wp:extent cx="1000125" cy="1145540"/>
            <wp:effectExtent l="0" t="0" r="9525" b="0"/>
            <wp:wrapSquare wrapText="bothSides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8C870" w14:textId="63FD04B0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La sélection des seuls atomes de souffre se fait dans la liste déroulante la plus à gauche.</w:t>
      </w:r>
    </w:p>
    <w:p w14:paraId="705B7EB5" w14:textId="711EAA40" w:rsidR="00025D53" w:rsidRDefault="00025D53" w:rsidP="00025D53">
      <w:pPr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Une fois l'élément choisi, la sélection n'est effective qu'en actionnant le bouton </w:t>
      </w: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inline distT="0" distB="0" distL="0" distR="0" wp14:anchorId="3695E230" wp14:editId="2F1326E4">
            <wp:extent cx="285115" cy="325755"/>
            <wp:effectExtent l="0" t="0" r="63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 situé à droite.</w:t>
      </w:r>
      <w:r w:rsidRPr="00025D53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t xml:space="preserve"> </w:t>
      </w:r>
    </w:p>
    <w:p w14:paraId="40764419" w14:textId="141F4DD3" w:rsidR="00025D53" w:rsidRDefault="00025D53" w:rsidP="00025D53">
      <w:pPr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</w:pPr>
    </w:p>
    <w:p w14:paraId="699324DB" w14:textId="61530A64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69504" behindDoc="0" locked="0" layoutInCell="1" allowOverlap="1" wp14:anchorId="798AFAB1" wp14:editId="1FEC9F71">
            <wp:simplePos x="0" y="0"/>
            <wp:positionH relativeFrom="column">
              <wp:posOffset>5580380</wp:posOffset>
            </wp:positionH>
            <wp:positionV relativeFrom="paragraph">
              <wp:posOffset>81280</wp:posOffset>
            </wp:positionV>
            <wp:extent cx="1264285" cy="2206625"/>
            <wp:effectExtent l="0" t="0" r="0" b="3175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Les atomes de souffre seront alors affichés en utilisant l'icône "Boules et Bâtonnets" </w:t>
      </w: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inline distT="0" distB="0" distL="0" distR="0" wp14:anchorId="4CF9DEA4" wp14:editId="28DF27CD">
            <wp:extent cx="189865" cy="217170"/>
            <wp:effectExtent l="0" t="0" r="635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49DC" w14:textId="12ABCF08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643225D1" w14:textId="072A458D" w:rsidR="00025D53" w:rsidRDefault="00025D53" w:rsidP="00025D53">
      <w:pPr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59AE7EAB" w14:textId="0CDC907A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Le fichier IGG-LYS.PDB contient la représentation des extrémités des chaînes lourdes et légères (Le fragment FAB) associées à l'antigène constitué par une molécule de lysozyme.</w:t>
      </w:r>
      <w:r w:rsidRPr="00025D53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t xml:space="preserve"> </w:t>
      </w:r>
    </w:p>
    <w:p w14:paraId="049F4AE7" w14:textId="6E092455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</w:pPr>
    </w:p>
    <w:p w14:paraId="4211543A" w14:textId="3011830E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anchor distT="0" distB="0" distL="114300" distR="114300" simplePos="0" relativeHeight="251670528" behindDoc="0" locked="0" layoutInCell="1" allowOverlap="1" wp14:anchorId="2F668DF1" wp14:editId="01F9A799">
            <wp:simplePos x="0" y="0"/>
            <wp:positionH relativeFrom="column">
              <wp:posOffset>2787650</wp:posOffset>
            </wp:positionH>
            <wp:positionV relativeFrom="paragraph">
              <wp:posOffset>132715</wp:posOffset>
            </wp:positionV>
            <wp:extent cx="1497330" cy="2327910"/>
            <wp:effectExtent l="0" t="0" r="7620" b="0"/>
            <wp:wrapSquare wrapText="bothSides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En utilisant l'affichage en sphère VDW </w:t>
      </w: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inline distT="0" distB="0" distL="0" distR="0" wp14:anchorId="7AA517BF" wp14:editId="2A8CE769">
            <wp:extent cx="248920" cy="285115"/>
            <wp:effectExtent l="0" t="0" r="0" b="63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0BC4" w14:textId="729D74A5" w:rsidR="00025D53" w:rsidRPr="002B4216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puis la coloration par chaîne</w:t>
      </w:r>
    </w:p>
    <w:p w14:paraId="6FC3B55B" w14:textId="3C7B7915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noProof/>
          <w:color w:val="2D2D2D"/>
          <w:sz w:val="18"/>
          <w:szCs w:val="18"/>
          <w:lang w:eastAsia="fr-FR"/>
        </w:rPr>
        <w:drawing>
          <wp:inline distT="0" distB="0" distL="0" distR="0" wp14:anchorId="707679C4" wp14:editId="09883F31">
            <wp:extent cx="2122805" cy="1629410"/>
            <wp:effectExtent l="0" t="0" r="0" b="889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FC7C" w14:textId="20745F17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p w14:paraId="2B70B87E" w14:textId="619A7553" w:rsid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>il est possible de distinguer l'antigène en rouge, l'extrémité de la chaîne lourde en bleu et celle de la chaîne légère en vert.</w:t>
      </w:r>
    </w:p>
    <w:p w14:paraId="7CF5F85A" w14:textId="0345931A" w:rsidR="00025D53" w:rsidRPr="002B4216" w:rsidRDefault="00025D53" w:rsidP="00025D53">
      <w:pPr>
        <w:spacing w:after="0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  <w:r w:rsidRPr="002B4216">
        <w:rPr>
          <w:rFonts w:ascii="Arial" w:eastAsia="Times New Roman" w:hAnsi="Arial" w:cs="Arial"/>
          <w:color w:val="2D2D2D"/>
          <w:sz w:val="18"/>
          <w:szCs w:val="18"/>
          <w:lang w:eastAsia="fr-FR"/>
        </w:rPr>
        <w:t xml:space="preserve">A ce stade, l'hypothèse d'une complémentarité géométrique peut être émise. </w:t>
      </w:r>
    </w:p>
    <w:p w14:paraId="7D93EECE" w14:textId="77777777" w:rsidR="00025D53" w:rsidRPr="00025D53" w:rsidRDefault="00025D53" w:rsidP="00025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8"/>
          <w:szCs w:val="18"/>
          <w:lang w:eastAsia="fr-FR"/>
        </w:rPr>
      </w:pPr>
    </w:p>
    <w:sectPr w:rsidR="00025D53" w:rsidRPr="00025D53" w:rsidSect="00025D53">
      <w:pgSz w:w="11906" w:h="16838"/>
      <w:pgMar w:top="426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53"/>
    <w:rsid w:val="00025D53"/>
    <w:rsid w:val="00581C05"/>
    <w:rsid w:val="008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258B"/>
  <w15:chartTrackingRefBased/>
  <w15:docId w15:val="{884BAD72-5E87-4A1B-9B9D-07CB872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poupard</dc:creator>
  <cp:keywords/>
  <dc:description/>
  <cp:lastModifiedBy>caroline poupard</cp:lastModifiedBy>
  <cp:revision>3</cp:revision>
  <dcterms:created xsi:type="dcterms:W3CDTF">2022-01-17T16:39:00Z</dcterms:created>
  <dcterms:modified xsi:type="dcterms:W3CDTF">2023-01-26T16:53:00Z</dcterms:modified>
</cp:coreProperties>
</file>