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67B3" w14:textId="6B699BCB" w:rsidR="000D59B2" w:rsidRPr="000D59B2" w:rsidRDefault="000D59B2" w:rsidP="000D59B2">
      <w:pPr>
        <w:jc w:val="right"/>
        <w:rPr>
          <w:rFonts w:eastAsia="Batang"/>
          <w:b/>
          <w:bCs/>
          <w:i/>
          <w:iCs/>
          <w:sz w:val="50"/>
          <w:szCs w:val="50"/>
        </w:rPr>
      </w:pPr>
      <w:r w:rsidRPr="000D59B2">
        <w:rPr>
          <w:rFonts w:eastAsia="Batang"/>
          <w:b/>
          <w:bCs/>
          <w:i/>
          <w:iCs/>
          <w:sz w:val="50"/>
          <w:szCs w:val="50"/>
        </w:rPr>
        <w:t xml:space="preserve">OBJECTIF </w:t>
      </w:r>
      <w:r w:rsidR="001E53E2">
        <w:rPr>
          <w:rFonts w:eastAsia="Batang"/>
          <w:b/>
          <w:bCs/>
          <w:i/>
          <w:iCs/>
          <w:sz w:val="50"/>
          <w:szCs w:val="50"/>
        </w:rPr>
        <w:t>BA</w:t>
      </w:r>
      <w:r w:rsidRPr="000D59B2">
        <w:rPr>
          <w:rFonts w:eastAsia="Batang"/>
          <w:b/>
          <w:bCs/>
          <w:i/>
          <w:iCs/>
          <w:sz w:val="50"/>
          <w:szCs w:val="50"/>
        </w:rPr>
        <w:t>C N°1</w:t>
      </w:r>
    </w:p>
    <w:p w14:paraId="2CFD1AF1" w14:textId="77777777" w:rsidR="000D59B2" w:rsidRPr="000D59B2" w:rsidRDefault="000D59B2">
      <w:pPr>
        <w:rPr>
          <w:b/>
          <w:bCs/>
          <w:sz w:val="28"/>
          <w:szCs w:val="28"/>
          <w:u w:val="single"/>
        </w:rPr>
      </w:pPr>
      <w:r w:rsidRPr="000D59B2">
        <w:rPr>
          <w:b/>
          <w:bCs/>
          <w:sz w:val="28"/>
          <w:szCs w:val="28"/>
          <w:u w:val="single"/>
        </w:rPr>
        <w:t>1 – Division cellulaire et colchicine</w:t>
      </w:r>
    </w:p>
    <w:p w14:paraId="04FF4C06" w14:textId="77777777" w:rsidR="000D59B2" w:rsidRPr="001E53E2" w:rsidRDefault="000D59B2">
      <w:pPr>
        <w:rPr>
          <w:sz w:val="20"/>
          <w:szCs w:val="20"/>
        </w:rPr>
      </w:pPr>
      <w:r w:rsidRPr="001E53E2">
        <w:rPr>
          <w:sz w:val="20"/>
          <w:szCs w:val="20"/>
        </w:rPr>
        <w:t>La mitose présentée dans le schéma suivant a été réalisée en présence de colchicine. Cette molécule, issue d’une plante, inhibe la formation des microtubules, ce qui empêche la mise en place du fuseau mitotique.</w:t>
      </w:r>
    </w:p>
    <w:p w14:paraId="511425B2" w14:textId="77777777" w:rsidR="00D34929" w:rsidRDefault="00D34929">
      <w:r>
        <w:rPr>
          <w:noProof/>
        </w:rPr>
        <w:drawing>
          <wp:anchor distT="0" distB="0" distL="114300" distR="114300" simplePos="0" relativeHeight="251660288" behindDoc="0" locked="0" layoutInCell="1" allowOverlap="1" wp14:anchorId="084818C9" wp14:editId="50EB8374">
            <wp:simplePos x="0" y="0"/>
            <wp:positionH relativeFrom="page">
              <wp:align>center</wp:align>
            </wp:positionH>
            <wp:positionV relativeFrom="paragraph">
              <wp:posOffset>13970</wp:posOffset>
            </wp:positionV>
            <wp:extent cx="5531145" cy="15716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2014" r="5614" b="52518"/>
                    <a:stretch/>
                  </pic:blipFill>
                  <pic:spPr bwMode="auto">
                    <a:xfrm>
                      <a:off x="0" y="0"/>
                      <a:ext cx="553114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F6FB41" w14:textId="77777777" w:rsidR="00D34929" w:rsidRDefault="00D34929"/>
    <w:p w14:paraId="7A119B11" w14:textId="36850371" w:rsidR="00D34929" w:rsidRDefault="001F463D">
      <w:r>
        <w:rPr>
          <w:noProof/>
        </w:rPr>
        <mc:AlternateContent>
          <mc:Choice Requires="wps">
            <w:drawing>
              <wp:anchor distT="45720" distB="45720" distL="114300" distR="114300" simplePos="0" relativeHeight="251662336" behindDoc="0" locked="0" layoutInCell="1" allowOverlap="1" wp14:anchorId="27E1CA03" wp14:editId="1C0FA544">
                <wp:simplePos x="0" y="0"/>
                <wp:positionH relativeFrom="column">
                  <wp:posOffset>0</wp:posOffset>
                </wp:positionH>
                <wp:positionV relativeFrom="paragraph">
                  <wp:posOffset>330835</wp:posOffset>
                </wp:positionV>
                <wp:extent cx="838200" cy="476250"/>
                <wp:effectExtent l="0" t="0" r="1905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76250"/>
                        </a:xfrm>
                        <a:prstGeom prst="rect">
                          <a:avLst/>
                        </a:prstGeom>
                        <a:solidFill>
                          <a:srgbClr val="FFFFFF"/>
                        </a:solidFill>
                        <a:ln w="9525">
                          <a:solidFill>
                            <a:schemeClr val="bg1"/>
                          </a:solidFill>
                          <a:miter lim="800000"/>
                          <a:headEnd/>
                          <a:tailEnd/>
                        </a:ln>
                      </wps:spPr>
                      <wps:txbx>
                        <w:txbxContent>
                          <w:p w14:paraId="15290243" w14:textId="77777777" w:rsidR="001F463D" w:rsidRPr="000009C2" w:rsidRDefault="001F463D" w:rsidP="001F463D">
                            <w:pPr>
                              <w:rPr>
                                <w:sz w:val="40"/>
                                <w:szCs w:val="40"/>
                              </w:rPr>
                            </w:pPr>
                            <w:r w:rsidRPr="000009C2">
                              <w:rPr>
                                <w:sz w:val="40"/>
                                <w:szCs w:val="40"/>
                              </w:rPr>
                              <w:t xml:space="preserve">Doc </w:t>
                            </w:r>
                            <w:r>
                              <w:rPr>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1CA03" id="_x0000_t202" coordsize="21600,21600" o:spt="202" path="m,l,21600r21600,l21600,xe">
                <v:stroke joinstyle="miter"/>
                <v:path gradientshapeok="t" o:connecttype="rect"/>
              </v:shapetype>
              <v:shape id="Zone de texte 2" o:spid="_x0000_s1026" type="#_x0000_t202" style="position:absolute;margin-left:0;margin-top:26.05pt;width:66pt;height: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" strokecolor="white [3212]">
                <v:textbox>
                  <w:txbxContent>
                    <w:p w14:paraId="15290243" w14:textId="77777777" w:rsidR="001F463D" w:rsidRPr="000009C2" w:rsidRDefault="001F463D" w:rsidP="001F463D">
                      <w:pPr>
                        <w:rPr>
                          <w:sz w:val="40"/>
                          <w:szCs w:val="40"/>
                        </w:rPr>
                      </w:pPr>
                      <w:r w:rsidRPr="000009C2">
                        <w:rPr>
                          <w:sz w:val="40"/>
                          <w:szCs w:val="40"/>
                        </w:rPr>
                        <w:t xml:space="preserve">Doc </w:t>
                      </w:r>
                      <w:r>
                        <w:rPr>
                          <w:sz w:val="40"/>
                          <w:szCs w:val="40"/>
                        </w:rPr>
                        <w:t>1</w:t>
                      </w:r>
                    </w:p>
                  </w:txbxContent>
                </v:textbox>
                <w10:wrap type="square"/>
              </v:shape>
            </w:pict>
          </mc:Fallback>
        </mc:AlternateContent>
      </w:r>
    </w:p>
    <w:p w14:paraId="1076CCB2" w14:textId="77777777" w:rsidR="00D34929" w:rsidRDefault="00D34929"/>
    <w:p w14:paraId="38978355" w14:textId="77777777" w:rsidR="00D34929" w:rsidRDefault="00D34929"/>
    <w:p w14:paraId="27963656" w14:textId="77777777" w:rsidR="00D34929" w:rsidRPr="000D59B2" w:rsidRDefault="00D34929"/>
    <w:p w14:paraId="48AF4EA5" w14:textId="77777777" w:rsidR="000D59B2" w:rsidRPr="001E53E2" w:rsidRDefault="000D59B2">
      <w:pPr>
        <w:rPr>
          <w:sz w:val="20"/>
          <w:szCs w:val="20"/>
        </w:rPr>
      </w:pPr>
      <w:r w:rsidRPr="001E53E2">
        <w:rPr>
          <w:sz w:val="20"/>
          <w:szCs w:val="20"/>
        </w:rPr>
        <w:t>A/ En comparant cette mitose avec une mitose « normale », montrer l’importance du fuseau mitotique dans le déroulement de la division cellulaire.</w:t>
      </w:r>
    </w:p>
    <w:p w14:paraId="398D50FA" w14:textId="43CFBA52" w:rsidR="000D59B2" w:rsidRPr="001E53E2" w:rsidRDefault="000D59B2">
      <w:pPr>
        <w:rPr>
          <w:sz w:val="20"/>
          <w:szCs w:val="20"/>
        </w:rPr>
      </w:pPr>
      <w:r w:rsidRPr="001E53E2">
        <w:rPr>
          <w:sz w:val="20"/>
          <w:szCs w:val="20"/>
        </w:rPr>
        <w:t xml:space="preserve">B/ </w:t>
      </w:r>
    </w:p>
    <w:p w14:paraId="7D6863A7" w14:textId="77777777" w:rsidR="000D59B2" w:rsidRPr="001E53E2" w:rsidRDefault="000D59B2" w:rsidP="000D59B2">
      <w:pPr>
        <w:pStyle w:val="Paragraphedeliste"/>
        <w:numPr>
          <w:ilvl w:val="0"/>
          <w:numId w:val="1"/>
        </w:numPr>
        <w:rPr>
          <w:sz w:val="20"/>
          <w:szCs w:val="20"/>
        </w:rPr>
      </w:pPr>
      <w:r w:rsidRPr="001E53E2">
        <w:rPr>
          <w:sz w:val="20"/>
          <w:szCs w:val="20"/>
        </w:rPr>
        <w:t>Etablir la formule chromosomique de la cellule en métaphase et en télophase en indiquant également le nombre de chromatides des chromosomes.</w:t>
      </w:r>
    </w:p>
    <w:p w14:paraId="28BDB237" w14:textId="77777777" w:rsidR="000D59B2" w:rsidRPr="001E53E2" w:rsidRDefault="000D59B2" w:rsidP="000D59B2">
      <w:pPr>
        <w:pStyle w:val="Paragraphedeliste"/>
        <w:numPr>
          <w:ilvl w:val="0"/>
          <w:numId w:val="1"/>
        </w:numPr>
        <w:rPr>
          <w:sz w:val="20"/>
          <w:szCs w:val="20"/>
        </w:rPr>
      </w:pPr>
      <w:r w:rsidRPr="001E53E2">
        <w:rPr>
          <w:sz w:val="20"/>
          <w:szCs w:val="20"/>
        </w:rPr>
        <w:t>Qu’a permis la colchicine au niveau de la</w:t>
      </w:r>
      <w:r w:rsidRPr="001E53E2">
        <w:rPr>
          <w:b/>
          <w:bCs/>
          <w:i/>
          <w:iCs/>
          <w:sz w:val="20"/>
          <w:szCs w:val="20"/>
        </w:rPr>
        <w:t xml:space="preserve"> ploïdie</w:t>
      </w:r>
      <w:r w:rsidRPr="001E53E2">
        <w:rPr>
          <w:sz w:val="20"/>
          <w:szCs w:val="20"/>
        </w:rPr>
        <w:t>* de la cellule ?</w:t>
      </w:r>
    </w:p>
    <w:p w14:paraId="2930BD2F" w14:textId="77777777" w:rsidR="000D59B2" w:rsidRPr="001E53E2" w:rsidRDefault="000D59B2">
      <w:pPr>
        <w:rPr>
          <w:rFonts w:cs="Arial"/>
          <w:color w:val="444444"/>
          <w:sz w:val="20"/>
          <w:szCs w:val="20"/>
          <w:shd w:val="clear" w:color="auto" w:fill="FFFFFF"/>
        </w:rPr>
      </w:pPr>
      <w:r w:rsidRPr="001E53E2">
        <w:rPr>
          <w:b/>
          <w:bCs/>
          <w:i/>
          <w:iCs/>
          <w:sz w:val="20"/>
          <w:szCs w:val="20"/>
        </w:rPr>
        <w:t xml:space="preserve">Ploïdie : </w:t>
      </w:r>
      <w:r w:rsidRPr="001E53E2">
        <w:rPr>
          <w:rFonts w:cs="Arial"/>
          <w:color w:val="444444"/>
          <w:sz w:val="20"/>
          <w:szCs w:val="20"/>
          <w:shd w:val="clear" w:color="auto" w:fill="FFFFFF"/>
        </w:rPr>
        <w:t>nombre de lots de </w:t>
      </w:r>
      <w:hyperlink r:id="rId8" w:history="1">
        <w:r w:rsidRPr="001E53E2">
          <w:rPr>
            <w:rStyle w:val="Lienhypertexte"/>
            <w:rFonts w:cs="Arial"/>
            <w:color w:val="444444"/>
            <w:sz w:val="20"/>
            <w:szCs w:val="20"/>
            <w:shd w:val="clear" w:color="auto" w:fill="FFFFFF"/>
          </w:rPr>
          <w:t>chromosomes</w:t>
        </w:r>
      </w:hyperlink>
      <w:r w:rsidRPr="001E53E2">
        <w:rPr>
          <w:rFonts w:cs="Arial"/>
          <w:color w:val="444444"/>
          <w:sz w:val="20"/>
          <w:szCs w:val="20"/>
          <w:shd w:val="clear" w:color="auto" w:fill="FFFFFF"/>
        </w:rPr>
        <w:t> d'une </w:t>
      </w:r>
      <w:hyperlink r:id="rId9" w:history="1">
        <w:r w:rsidRPr="001E53E2">
          <w:rPr>
            <w:rStyle w:val="Lienhypertexte"/>
            <w:rFonts w:cs="Arial"/>
            <w:color w:val="444444"/>
            <w:sz w:val="20"/>
            <w:szCs w:val="20"/>
            <w:shd w:val="clear" w:color="auto" w:fill="FFFFFF"/>
          </w:rPr>
          <w:t>cellule</w:t>
        </w:r>
      </w:hyperlink>
      <w:r w:rsidRPr="001E53E2">
        <w:rPr>
          <w:rFonts w:cs="Arial"/>
          <w:color w:val="444444"/>
          <w:sz w:val="20"/>
          <w:szCs w:val="20"/>
          <w:shd w:val="clear" w:color="auto" w:fill="FFFFFF"/>
        </w:rPr>
        <w:t>.</w:t>
      </w:r>
    </w:p>
    <w:p w14:paraId="36ED4B46" w14:textId="77777777" w:rsidR="00F634EC" w:rsidRPr="000D59B2" w:rsidRDefault="00F634EC" w:rsidP="00F634EC">
      <w:pPr>
        <w:rPr>
          <w:b/>
          <w:bCs/>
          <w:sz w:val="28"/>
          <w:szCs w:val="28"/>
          <w:u w:val="single"/>
        </w:rPr>
      </w:pPr>
      <w:r>
        <w:rPr>
          <w:b/>
          <w:bCs/>
          <w:sz w:val="28"/>
          <w:szCs w:val="28"/>
          <w:u w:val="single"/>
        </w:rPr>
        <w:t>2</w:t>
      </w:r>
      <w:r w:rsidRPr="000D59B2">
        <w:rPr>
          <w:b/>
          <w:bCs/>
          <w:sz w:val="28"/>
          <w:szCs w:val="28"/>
          <w:u w:val="single"/>
        </w:rPr>
        <w:t xml:space="preserve"> – </w:t>
      </w:r>
      <w:r>
        <w:rPr>
          <w:b/>
          <w:bCs/>
          <w:sz w:val="28"/>
          <w:szCs w:val="28"/>
          <w:u w:val="single"/>
        </w:rPr>
        <w:t>L’expérience de Meselson et Stahl</w:t>
      </w:r>
    </w:p>
    <w:p w14:paraId="486D83D6" w14:textId="6F48D3E6" w:rsidR="00F634EC" w:rsidRPr="001E53E2" w:rsidRDefault="00F634EC" w:rsidP="00F634EC">
      <w:pPr>
        <w:rPr>
          <w:sz w:val="20"/>
          <w:szCs w:val="20"/>
        </w:rPr>
      </w:pPr>
      <w:r w:rsidRPr="001E53E2">
        <w:rPr>
          <w:b/>
          <w:bCs/>
          <w:sz w:val="20"/>
          <w:szCs w:val="20"/>
        </w:rPr>
        <w:t>A l’aide de vos connaissances et des documents</w:t>
      </w:r>
      <w:r w:rsidRPr="001E53E2">
        <w:rPr>
          <w:sz w:val="20"/>
          <w:szCs w:val="20"/>
        </w:rPr>
        <w:t>, montrer que les résultats de l’expérience de Meselson et Stahl permettent de conclure que la réplication est réalisée selon un mode semi-conservatif.</w:t>
      </w:r>
    </w:p>
    <w:p w14:paraId="49410111" w14:textId="57F622CD" w:rsidR="00F634EC" w:rsidRPr="00F634EC" w:rsidRDefault="001E53E2" w:rsidP="00F634EC">
      <w:pPr>
        <w:rPr>
          <w:b/>
          <w:bCs/>
        </w:rPr>
      </w:pPr>
      <w:r w:rsidRPr="001E53E2">
        <w:rPr>
          <w:noProof/>
          <w:sz w:val="20"/>
          <w:szCs w:val="20"/>
        </w:rPr>
        <w:drawing>
          <wp:anchor distT="0" distB="0" distL="114300" distR="114300" simplePos="0" relativeHeight="251659264" behindDoc="0" locked="0" layoutInCell="1" allowOverlap="1" wp14:anchorId="761EC7F6" wp14:editId="76EAC5AD">
            <wp:simplePos x="0" y="0"/>
            <wp:positionH relativeFrom="margin">
              <wp:align>right</wp:align>
            </wp:positionH>
            <wp:positionV relativeFrom="paragraph">
              <wp:posOffset>12700</wp:posOffset>
            </wp:positionV>
            <wp:extent cx="4638675" cy="1329055"/>
            <wp:effectExtent l="0" t="0" r="9525"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869" b="16747"/>
                    <a:stretch/>
                  </pic:blipFill>
                  <pic:spPr bwMode="auto">
                    <a:xfrm>
                      <a:off x="0" y="0"/>
                      <a:ext cx="4638675" cy="1329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34EC" w:rsidRPr="00F634EC">
        <w:rPr>
          <w:b/>
          <w:bCs/>
        </w:rPr>
        <w:t>Doc</w:t>
      </w:r>
      <w:r w:rsidR="001F463D">
        <w:rPr>
          <w:b/>
          <w:bCs/>
        </w:rPr>
        <w:t>2</w:t>
      </w:r>
      <w:r w:rsidR="00F634EC" w:rsidRPr="00F634EC">
        <w:rPr>
          <w:b/>
          <w:bCs/>
        </w:rPr>
        <w:t> : Les 3 hypothèses des modalités de réplication</w:t>
      </w:r>
    </w:p>
    <w:p w14:paraId="5DD2CB41" w14:textId="17AE6625" w:rsidR="00F634EC" w:rsidRDefault="00F634EC" w:rsidP="00F634EC"/>
    <w:p w14:paraId="7ACC73E5" w14:textId="77777777" w:rsidR="00D34929" w:rsidRDefault="00D34929" w:rsidP="00F634EC"/>
    <w:p w14:paraId="217B8B6D" w14:textId="631CDB65" w:rsidR="00F634EC" w:rsidRDefault="00F634EC" w:rsidP="00F634EC"/>
    <w:p w14:paraId="1BA0994F" w14:textId="77777777" w:rsidR="00F634EC" w:rsidRDefault="00F634EC" w:rsidP="00F634EC"/>
    <w:p w14:paraId="7B2634D3" w14:textId="0CCE7A30" w:rsidR="00F634EC" w:rsidRPr="00F634EC" w:rsidRDefault="00F634EC" w:rsidP="00F634EC">
      <w:pPr>
        <w:rPr>
          <w:b/>
          <w:bCs/>
        </w:rPr>
      </w:pPr>
      <w:r w:rsidRPr="00F634EC">
        <w:rPr>
          <w:b/>
          <w:bCs/>
        </w:rPr>
        <w:t>Doc</w:t>
      </w:r>
      <w:r w:rsidR="001F463D">
        <w:rPr>
          <w:b/>
          <w:bCs/>
        </w:rPr>
        <w:t>3</w:t>
      </w:r>
      <w:r w:rsidRPr="00F634EC">
        <w:rPr>
          <w:b/>
          <w:bCs/>
        </w:rPr>
        <w:t> : Le protocole expérimental de Meselson et Stahl</w:t>
      </w:r>
    </w:p>
    <w:p w14:paraId="03C58DA6" w14:textId="77777777" w:rsidR="00F634EC" w:rsidRPr="001E53E2" w:rsidRDefault="00F634EC" w:rsidP="001E53E2">
      <w:pPr>
        <w:spacing w:after="0" w:line="240" w:lineRule="auto"/>
        <w:rPr>
          <w:sz w:val="20"/>
          <w:szCs w:val="20"/>
        </w:rPr>
      </w:pPr>
      <w:r w:rsidRPr="001E53E2">
        <w:rPr>
          <w:sz w:val="20"/>
          <w:szCs w:val="20"/>
        </w:rPr>
        <w:t xml:space="preserve">Meselson et Stahl réalisent une expérience sur la bactérie E. coli. </w:t>
      </w:r>
    </w:p>
    <w:p w14:paraId="4CD7CAAF" w14:textId="77777777" w:rsidR="00F634EC" w:rsidRPr="001E53E2" w:rsidRDefault="00F634EC" w:rsidP="001E53E2">
      <w:pPr>
        <w:spacing w:after="0" w:line="240" w:lineRule="auto"/>
        <w:rPr>
          <w:sz w:val="20"/>
          <w:szCs w:val="20"/>
        </w:rPr>
      </w:pPr>
      <w:r w:rsidRPr="001E53E2">
        <w:rPr>
          <w:sz w:val="20"/>
          <w:szCs w:val="20"/>
        </w:rPr>
        <w:t xml:space="preserve">Dans un premier temps, elles se reproduisent sur un milieu ne contenant que de l’azote lourd </w:t>
      </w:r>
      <w:r w:rsidRPr="001E53E2">
        <w:rPr>
          <w:sz w:val="20"/>
          <w:szCs w:val="20"/>
          <w:vertAlign w:val="superscript"/>
        </w:rPr>
        <w:t>15</w:t>
      </w:r>
      <w:r w:rsidRPr="001E53E2">
        <w:rPr>
          <w:sz w:val="20"/>
          <w:szCs w:val="20"/>
        </w:rPr>
        <w:t>N. L’ADN contenant de l’azote, tout l’ADN de ces bactéries va être constitué par de l’azote lourd.</w:t>
      </w:r>
    </w:p>
    <w:p w14:paraId="0D8769F4" w14:textId="77777777" w:rsidR="00F634EC" w:rsidRPr="001E53E2" w:rsidRDefault="00F634EC" w:rsidP="001E53E2">
      <w:pPr>
        <w:spacing w:after="0" w:line="240" w:lineRule="auto"/>
        <w:rPr>
          <w:sz w:val="20"/>
          <w:szCs w:val="20"/>
        </w:rPr>
      </w:pPr>
      <w:r w:rsidRPr="001E53E2">
        <w:rPr>
          <w:sz w:val="20"/>
          <w:szCs w:val="20"/>
        </w:rPr>
        <w:t xml:space="preserve">Les bactéries sont ensuite transférées sur un milieu ne contenant que de l’azote léger </w:t>
      </w:r>
      <w:r w:rsidRPr="001E53E2">
        <w:rPr>
          <w:sz w:val="20"/>
          <w:szCs w:val="20"/>
          <w:vertAlign w:val="superscript"/>
        </w:rPr>
        <w:t>14</w:t>
      </w:r>
      <w:r w:rsidRPr="001E53E2">
        <w:rPr>
          <w:sz w:val="20"/>
          <w:szCs w:val="20"/>
        </w:rPr>
        <w:t>N.</w:t>
      </w:r>
    </w:p>
    <w:p w14:paraId="1EF868F8" w14:textId="77777777" w:rsidR="00F634EC" w:rsidRPr="001E53E2" w:rsidRDefault="00F634EC" w:rsidP="001E53E2">
      <w:pPr>
        <w:spacing w:after="0" w:line="240" w:lineRule="auto"/>
        <w:rPr>
          <w:sz w:val="20"/>
          <w:szCs w:val="20"/>
        </w:rPr>
      </w:pPr>
      <w:r w:rsidRPr="001E53E2">
        <w:rPr>
          <w:sz w:val="20"/>
          <w:szCs w:val="20"/>
        </w:rPr>
        <w:t>A des temps variables, des bactéries sont prélevées de ce milieu et leur ADN est analysé par spectrométrie de masse, où il est possible de différencier deux isotopes d’un même élément chimique.</w:t>
      </w:r>
    </w:p>
    <w:p w14:paraId="3ADFB5D4" w14:textId="77777777" w:rsidR="00F634EC" w:rsidRPr="001E53E2" w:rsidRDefault="00F634EC" w:rsidP="001E53E2">
      <w:pPr>
        <w:spacing w:after="0" w:line="240" w:lineRule="auto"/>
        <w:rPr>
          <w:sz w:val="20"/>
          <w:szCs w:val="20"/>
        </w:rPr>
      </w:pPr>
      <w:r w:rsidRPr="001E53E2">
        <w:rPr>
          <w:sz w:val="20"/>
          <w:szCs w:val="20"/>
        </w:rPr>
        <w:t>Les résultats sont présentés ci-dessous :</w:t>
      </w:r>
    </w:p>
    <w:p w14:paraId="334F67A6" w14:textId="77777777" w:rsidR="00F634EC" w:rsidRPr="000D59B2" w:rsidRDefault="00D34929" w:rsidP="00F634EC">
      <w:r>
        <w:rPr>
          <w:noProof/>
        </w:rPr>
        <w:drawing>
          <wp:anchor distT="0" distB="0" distL="114300" distR="114300" simplePos="0" relativeHeight="251658240" behindDoc="0" locked="0" layoutInCell="1" allowOverlap="1" wp14:anchorId="53A1B518" wp14:editId="6D91A5E2">
            <wp:simplePos x="0" y="0"/>
            <wp:positionH relativeFrom="margin">
              <wp:posOffset>354330</wp:posOffset>
            </wp:positionH>
            <wp:positionV relativeFrom="paragraph">
              <wp:posOffset>20320</wp:posOffset>
            </wp:positionV>
            <wp:extent cx="4953000" cy="1770761"/>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38" t="30380" r="41242" b="11392"/>
                    <a:stretch/>
                  </pic:blipFill>
                  <pic:spPr bwMode="auto">
                    <a:xfrm>
                      <a:off x="0" y="0"/>
                      <a:ext cx="4970936" cy="1777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634EC" w:rsidRPr="000D59B2" w:rsidSect="001E53E2">
      <w:footerReference w:type="default" r:id="rId12"/>
      <w:pgSz w:w="11906" w:h="16838"/>
      <w:pgMar w:top="142" w:right="707" w:bottom="1417"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67A3" w14:textId="77777777" w:rsidR="00B23992" w:rsidRDefault="00B23992" w:rsidP="000D59B2">
      <w:pPr>
        <w:spacing w:after="0" w:line="240" w:lineRule="auto"/>
      </w:pPr>
      <w:r>
        <w:separator/>
      </w:r>
    </w:p>
  </w:endnote>
  <w:endnote w:type="continuationSeparator" w:id="0">
    <w:p w14:paraId="1E5005C2" w14:textId="77777777" w:rsidR="00B23992" w:rsidRDefault="00B23992" w:rsidP="000D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100"/>
      <w:gridCol w:w="532"/>
    </w:tblGrid>
    <w:tr w:rsidR="000D59B2" w14:paraId="644C2E4F" w14:textId="77777777">
      <w:trPr>
        <w:jc w:val="right"/>
      </w:trPr>
      <w:tc>
        <w:tcPr>
          <w:tcW w:w="4795" w:type="dxa"/>
          <w:vAlign w:val="center"/>
        </w:tcPr>
        <w:sdt>
          <w:sdtPr>
            <w:rPr>
              <w:caps/>
              <w:color w:val="000000" w:themeColor="text1"/>
            </w:rPr>
            <w:alias w:val="Auteur"/>
            <w:tag w:val=""/>
            <w:id w:val="1534539408"/>
            <w:placeholder>
              <w:docPart w:val="61B6693899EE489F93796E34379D10C3"/>
            </w:placeholder>
            <w:dataBinding w:prefixMappings="xmlns:ns0='http://purl.org/dc/elements/1.1/' xmlns:ns1='http://schemas.openxmlformats.org/package/2006/metadata/core-properties' " w:xpath="/ns1:coreProperties[1]/ns0:creator[1]" w:storeItemID="{6C3C8BC8-F283-45AE-878A-BAB7291924A1}"/>
            <w:text/>
          </w:sdtPr>
          <w:sdtEndPr/>
          <w:sdtContent>
            <w:p w14:paraId="76236966" w14:textId="6C86C950" w:rsidR="000D59B2" w:rsidRDefault="000D59B2">
              <w:pPr>
                <w:pStyle w:val="En-tte"/>
                <w:jc w:val="right"/>
                <w:rPr>
                  <w:caps/>
                  <w:color w:val="000000" w:themeColor="text1"/>
                </w:rPr>
              </w:pPr>
              <w:r>
                <w:rPr>
                  <w:caps/>
                  <w:color w:val="000000" w:themeColor="text1"/>
                </w:rPr>
                <w:t xml:space="preserve">1SPE – OBECTIF </w:t>
              </w:r>
              <w:r w:rsidR="001E53E2">
                <w:rPr>
                  <w:caps/>
                  <w:color w:val="000000" w:themeColor="text1"/>
                </w:rPr>
                <w:t>BA</w:t>
              </w:r>
              <w:r>
                <w:rPr>
                  <w:caps/>
                  <w:color w:val="000000" w:themeColor="text1"/>
                </w:rPr>
                <w:t>C</w:t>
              </w:r>
            </w:p>
          </w:sdtContent>
        </w:sdt>
      </w:tc>
      <w:tc>
        <w:tcPr>
          <w:tcW w:w="250" w:type="pct"/>
          <w:shd w:val="clear" w:color="auto" w:fill="ED7D31" w:themeFill="accent2"/>
          <w:vAlign w:val="center"/>
        </w:tcPr>
        <w:p w14:paraId="478F6CC2" w14:textId="77777777" w:rsidR="000D59B2" w:rsidRDefault="000D59B2">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599972C0" w14:textId="77777777" w:rsidR="000D59B2" w:rsidRDefault="000D59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292B" w14:textId="77777777" w:rsidR="00B23992" w:rsidRDefault="00B23992" w:rsidP="000D59B2">
      <w:pPr>
        <w:spacing w:after="0" w:line="240" w:lineRule="auto"/>
      </w:pPr>
      <w:r>
        <w:separator/>
      </w:r>
    </w:p>
  </w:footnote>
  <w:footnote w:type="continuationSeparator" w:id="0">
    <w:p w14:paraId="4DA9EA55" w14:textId="77777777" w:rsidR="00B23992" w:rsidRDefault="00B23992" w:rsidP="000D5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379BC"/>
    <w:multiLevelType w:val="hybridMultilevel"/>
    <w:tmpl w:val="9320CBDA"/>
    <w:lvl w:ilvl="0" w:tplc="692E8FBC">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6B916A8E"/>
    <w:multiLevelType w:val="hybridMultilevel"/>
    <w:tmpl w:val="88B64006"/>
    <w:lvl w:ilvl="0" w:tplc="E2D0C748">
      <w:start w:val="1"/>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71CB40F1"/>
    <w:multiLevelType w:val="hybridMultilevel"/>
    <w:tmpl w:val="997CAE96"/>
    <w:lvl w:ilvl="0" w:tplc="E8B4ED48">
      <w:start w:val="1"/>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B2"/>
    <w:rsid w:val="000D59B2"/>
    <w:rsid w:val="001E53E2"/>
    <w:rsid w:val="001F463D"/>
    <w:rsid w:val="00B23992"/>
    <w:rsid w:val="00D34929"/>
    <w:rsid w:val="00F63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AC82"/>
  <w15:chartTrackingRefBased/>
  <w15:docId w15:val="{5BB4C6A0-FE35-4BA7-9652-78B05362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9B2"/>
    <w:pPr>
      <w:tabs>
        <w:tab w:val="center" w:pos="4536"/>
        <w:tab w:val="right" w:pos="9072"/>
      </w:tabs>
      <w:spacing w:after="0" w:line="240" w:lineRule="auto"/>
    </w:pPr>
  </w:style>
  <w:style w:type="character" w:customStyle="1" w:styleId="En-tteCar">
    <w:name w:val="En-tête Car"/>
    <w:basedOn w:val="Policepardfaut"/>
    <w:link w:val="En-tte"/>
    <w:uiPriority w:val="99"/>
    <w:rsid w:val="000D59B2"/>
  </w:style>
  <w:style w:type="paragraph" w:styleId="Pieddepage">
    <w:name w:val="footer"/>
    <w:basedOn w:val="Normal"/>
    <w:link w:val="PieddepageCar"/>
    <w:uiPriority w:val="99"/>
    <w:unhideWhenUsed/>
    <w:rsid w:val="000D5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9B2"/>
  </w:style>
  <w:style w:type="paragraph" w:styleId="Paragraphedeliste">
    <w:name w:val="List Paragraph"/>
    <w:basedOn w:val="Normal"/>
    <w:uiPriority w:val="34"/>
    <w:qFormat/>
    <w:rsid w:val="000D59B2"/>
    <w:pPr>
      <w:ind w:left="720"/>
      <w:contextualSpacing/>
    </w:pPr>
  </w:style>
  <w:style w:type="character" w:styleId="Lienhypertexte">
    <w:name w:val="Hyperlink"/>
    <w:basedOn w:val="Policepardfaut"/>
    <w:uiPriority w:val="99"/>
    <w:semiHidden/>
    <w:unhideWhenUsed/>
    <w:rsid w:val="000D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portail.com/definition-1564-chromosom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aquaportail.com/definition-1680-cellul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6693899EE489F93796E34379D10C3"/>
        <w:category>
          <w:name w:val="Général"/>
          <w:gallery w:val="placeholder"/>
        </w:category>
        <w:types>
          <w:type w:val="bbPlcHdr"/>
        </w:types>
        <w:behaviors>
          <w:behavior w:val="content"/>
        </w:behaviors>
        <w:guid w:val="{59DBA6D5-A1D4-4D89-AE55-B60E00DA5DC9}"/>
      </w:docPartPr>
      <w:docPartBody>
        <w:p w:rsidR="00FE4926" w:rsidRDefault="00A55BDF" w:rsidP="00A55BDF">
          <w:pPr>
            <w:pStyle w:val="61B6693899EE489F93796E34379D10C3"/>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DF"/>
    <w:rsid w:val="00287E8C"/>
    <w:rsid w:val="00A55BDF"/>
    <w:rsid w:val="00FE4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1B6693899EE489F93796E34379D10C3">
    <w:name w:val="61B6693899EE489F93796E34379D10C3"/>
    <w:rsid w:val="00A5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273</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1SPE – OBECTIF BAC</dc:creator>
  <cp:keywords/>
  <dc:description/>
  <cp:lastModifiedBy>caroline poupard</cp:lastModifiedBy>
  <cp:revision>3</cp:revision>
  <dcterms:created xsi:type="dcterms:W3CDTF">2019-09-15T15:36:00Z</dcterms:created>
  <dcterms:modified xsi:type="dcterms:W3CDTF">2021-09-13T14:05:00Z</dcterms:modified>
</cp:coreProperties>
</file>