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F0D9" w14:textId="77777777" w:rsidR="00E8551D" w:rsidRDefault="00E8551D">
      <w:pPr>
        <w:spacing w:after="0"/>
        <w:ind w:left="14"/>
      </w:pPr>
    </w:p>
    <w:p w14:paraId="6FF91468" w14:textId="36228976" w:rsidR="000E48EF" w:rsidRDefault="00E855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7E6E6"/>
        <w:spacing w:after="193" w:line="252" w:lineRule="auto"/>
        <w:ind w:left="9" w:hanging="10"/>
      </w:pPr>
      <w:r>
        <w:rPr>
          <w:rFonts w:ascii="Arial" w:eastAsia="Arial" w:hAnsi="Arial" w:cs="Arial"/>
          <w:b/>
          <w:sz w:val="20"/>
        </w:rPr>
        <w:t xml:space="preserve">Expliquez pourquoi les scientifiques lient les caractéristiques du placenta de la lignée humaine à un transfert latéral de gènes.  </w:t>
      </w:r>
    </w:p>
    <w:p w14:paraId="4190C022" w14:textId="77777777" w:rsidR="000E48EF" w:rsidRDefault="00E8551D">
      <w:pPr>
        <w:pStyle w:val="Titre2"/>
        <w:ind w:left="-5"/>
      </w:pPr>
      <w:r>
        <w:t>Démarche</w:t>
      </w:r>
      <w:r>
        <w:rPr>
          <w:u w:val="none" w:color="000000"/>
        </w:rPr>
        <w:t xml:space="preserve"> </w:t>
      </w:r>
    </w:p>
    <w:p w14:paraId="6927B6FC" w14:textId="77777777" w:rsidR="000E48EF" w:rsidRDefault="00E8551D">
      <w:pPr>
        <w:spacing w:after="165" w:line="251" w:lineRule="auto"/>
        <w:ind w:left="24" w:hanging="10"/>
      </w:pPr>
      <w:r>
        <w:rPr>
          <w:rFonts w:ascii="Arial" w:eastAsia="Arial" w:hAnsi="Arial" w:cs="Arial"/>
          <w:sz w:val="20"/>
        </w:rPr>
        <w:t xml:space="preserve">Rappel : Une démarche est considérée comme cohérente si elle est logique et qu’elle permet de répondre au problème posé.  </w:t>
      </w:r>
    </w:p>
    <w:p w14:paraId="33A3CB32" w14:textId="77777777" w:rsidR="000E48EF" w:rsidRDefault="00E8551D">
      <w:pPr>
        <w:pStyle w:val="Titre3"/>
        <w:ind w:left="-5"/>
      </w:pPr>
      <w:r>
        <w:t>Analyse des documents et connaissances - éléments scientifiques</w:t>
      </w:r>
      <w:r>
        <w:rPr>
          <w:u w:val="none"/>
        </w:rPr>
        <w:t xml:space="preserve">  </w:t>
      </w:r>
    </w:p>
    <w:p w14:paraId="2DB71B5A" w14:textId="77777777" w:rsidR="000E48EF" w:rsidRDefault="00E8551D">
      <w:pPr>
        <w:spacing w:after="29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14:paraId="64A10B88" w14:textId="77777777" w:rsidR="000E48EF" w:rsidRDefault="00E8551D">
      <w:pPr>
        <w:spacing w:after="4" w:line="253" w:lineRule="auto"/>
        <w:ind w:left="569" w:hanging="209"/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  <w:b/>
          <w:color w:val="2F5496"/>
          <w:sz w:val="20"/>
        </w:rPr>
        <w:t xml:space="preserve">Informations utiles tirées des documents 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L'ordre d'étude des documents dépendra de la démarche du candidat.</w:t>
      </w:r>
      <w:r>
        <w:rPr>
          <w:rFonts w:ascii="Arial" w:eastAsia="Arial" w:hAnsi="Arial" w:cs="Arial"/>
          <w:sz w:val="20"/>
        </w:rPr>
        <w:t xml:space="preserve"> </w:t>
      </w:r>
    </w:p>
    <w:p w14:paraId="11445752" w14:textId="77777777" w:rsidR="000E48EF" w:rsidRDefault="00E8551D">
      <w:pPr>
        <w:spacing w:after="119" w:line="251" w:lineRule="auto"/>
        <w:ind w:left="1078" w:hanging="10"/>
      </w:pPr>
      <w:r>
        <w:rPr>
          <w:rFonts w:ascii="Arial" w:eastAsia="Arial" w:hAnsi="Arial" w:cs="Arial"/>
          <w:b/>
          <w:sz w:val="20"/>
        </w:rPr>
        <w:t>Document 1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: Les trophoblastes fusionnent pour former un tissu particulier permettant l’implantation de l’embryon. Ce tissu permet les échanges entre la mère et le fœtus. </w:t>
      </w:r>
    </w:p>
    <w:p w14:paraId="05D6A262" w14:textId="77777777" w:rsidR="000E48EF" w:rsidRDefault="00E8551D">
      <w:pPr>
        <w:spacing w:after="125" w:line="251" w:lineRule="auto"/>
        <w:ind w:left="1078" w:hanging="10"/>
      </w:pPr>
      <w:r>
        <w:rPr>
          <w:rFonts w:ascii="Arial" w:eastAsia="Arial" w:hAnsi="Arial" w:cs="Arial"/>
          <w:b/>
          <w:sz w:val="20"/>
        </w:rPr>
        <w:t>Document 2</w:t>
      </w:r>
      <w:r>
        <w:rPr>
          <w:rFonts w:ascii="Arial" w:eastAsia="Arial" w:hAnsi="Arial" w:cs="Arial"/>
          <w:sz w:val="20"/>
        </w:rPr>
        <w:t xml:space="preserve"> : On trouve dans le virus HERV-W et dans la </w:t>
      </w:r>
      <w:proofErr w:type="spellStart"/>
      <w:r>
        <w:rPr>
          <w:rFonts w:ascii="Arial" w:eastAsia="Arial" w:hAnsi="Arial" w:cs="Arial"/>
          <w:sz w:val="20"/>
        </w:rPr>
        <w:t>syncitine</w:t>
      </w:r>
      <w:proofErr w:type="spellEnd"/>
      <w:r>
        <w:rPr>
          <w:rFonts w:ascii="Arial" w:eastAsia="Arial" w:hAnsi="Arial" w:cs="Arial"/>
          <w:sz w:val="20"/>
        </w:rPr>
        <w:t xml:space="preserve"> une séquence presque identique d’acides aminés. C’est cette séquence qui est impliquée lors de l’insertion du virus dans la membrane plasmique. </w:t>
      </w:r>
    </w:p>
    <w:p w14:paraId="162048EB" w14:textId="77777777" w:rsidR="000E48EF" w:rsidRDefault="00E8551D">
      <w:pPr>
        <w:spacing w:after="153" w:line="251" w:lineRule="auto"/>
        <w:ind w:left="1078" w:hanging="10"/>
      </w:pPr>
      <w:r>
        <w:rPr>
          <w:rFonts w:ascii="Arial" w:eastAsia="Arial" w:hAnsi="Arial" w:cs="Arial"/>
          <w:b/>
          <w:sz w:val="20"/>
        </w:rPr>
        <w:t>Document 3</w:t>
      </w:r>
      <w:r>
        <w:rPr>
          <w:rFonts w:ascii="Arial" w:eastAsia="Arial" w:hAnsi="Arial" w:cs="Arial"/>
          <w:sz w:val="20"/>
        </w:rPr>
        <w:t xml:space="preserve"> : Seules les cellules du placenta (1 et 4) expriment le gène qui code pour la </w:t>
      </w:r>
      <w:proofErr w:type="spellStart"/>
      <w:r>
        <w:rPr>
          <w:rFonts w:ascii="Arial" w:eastAsia="Arial" w:hAnsi="Arial" w:cs="Arial"/>
          <w:sz w:val="20"/>
        </w:rPr>
        <w:t>syncitine</w:t>
      </w:r>
      <w:proofErr w:type="spellEnd"/>
      <w:r>
        <w:rPr>
          <w:rFonts w:ascii="Arial" w:eastAsia="Arial" w:hAnsi="Arial" w:cs="Arial"/>
          <w:sz w:val="20"/>
        </w:rPr>
        <w:t xml:space="preserve">. </w:t>
      </w:r>
    </w:p>
    <w:p w14:paraId="6F9A2580" w14:textId="77777777" w:rsidR="000E48EF" w:rsidRDefault="00E8551D">
      <w:pPr>
        <w:spacing w:after="158" w:line="251" w:lineRule="auto"/>
        <w:ind w:left="1078" w:hanging="10"/>
      </w:pPr>
      <w:r>
        <w:rPr>
          <w:rFonts w:ascii="Arial" w:eastAsia="Arial" w:hAnsi="Arial" w:cs="Arial"/>
          <w:b/>
          <w:sz w:val="20"/>
        </w:rPr>
        <w:t>Document 4</w:t>
      </w:r>
      <w:r>
        <w:rPr>
          <w:rFonts w:ascii="Arial" w:eastAsia="Arial" w:hAnsi="Arial" w:cs="Arial"/>
          <w:sz w:val="20"/>
        </w:rPr>
        <w:t xml:space="preserve"> : Le gène de la </w:t>
      </w:r>
      <w:proofErr w:type="spellStart"/>
      <w:r>
        <w:rPr>
          <w:rFonts w:ascii="Arial" w:eastAsia="Arial" w:hAnsi="Arial" w:cs="Arial"/>
          <w:sz w:val="20"/>
        </w:rPr>
        <w:t>syncitine</w:t>
      </w:r>
      <w:proofErr w:type="spellEnd"/>
      <w:r>
        <w:rPr>
          <w:rFonts w:ascii="Arial" w:eastAsia="Arial" w:hAnsi="Arial" w:cs="Arial"/>
          <w:sz w:val="20"/>
        </w:rPr>
        <w:t xml:space="preserve"> est présent chez l’humain et chez le singe rhésus. </w:t>
      </w:r>
    </w:p>
    <w:p w14:paraId="079DA04E" w14:textId="77777777" w:rsidR="000E48EF" w:rsidRDefault="00E8551D">
      <w:pPr>
        <w:spacing w:after="124" w:line="251" w:lineRule="auto"/>
        <w:ind w:left="1078" w:hanging="10"/>
      </w:pPr>
      <w:r>
        <w:rPr>
          <w:rFonts w:ascii="Arial" w:eastAsia="Arial" w:hAnsi="Arial" w:cs="Arial"/>
          <w:b/>
          <w:sz w:val="20"/>
        </w:rPr>
        <w:t>Document 5</w:t>
      </w:r>
      <w:r>
        <w:rPr>
          <w:rFonts w:ascii="Arial" w:eastAsia="Arial" w:hAnsi="Arial" w:cs="Arial"/>
          <w:sz w:val="20"/>
        </w:rPr>
        <w:t xml:space="preserve"> : L’introduction d’un gène fonctionnel de la </w:t>
      </w:r>
      <w:proofErr w:type="spellStart"/>
      <w:r>
        <w:rPr>
          <w:rFonts w:ascii="Arial" w:eastAsia="Arial" w:hAnsi="Arial" w:cs="Arial"/>
          <w:sz w:val="20"/>
        </w:rPr>
        <w:t>syncitine</w:t>
      </w:r>
      <w:proofErr w:type="spellEnd"/>
      <w:r>
        <w:rPr>
          <w:rFonts w:ascii="Arial" w:eastAsia="Arial" w:hAnsi="Arial" w:cs="Arial"/>
          <w:sz w:val="20"/>
        </w:rPr>
        <w:t xml:space="preserve"> provoque des fusions entre cellules. </w:t>
      </w:r>
    </w:p>
    <w:p w14:paraId="451B8D1A" w14:textId="77777777" w:rsidR="000E48EF" w:rsidRDefault="00E8551D">
      <w:pPr>
        <w:spacing w:after="201" w:line="251" w:lineRule="auto"/>
        <w:ind w:left="1078" w:hanging="10"/>
      </w:pPr>
      <w:r>
        <w:rPr>
          <w:rFonts w:ascii="Arial" w:eastAsia="Arial" w:hAnsi="Arial" w:cs="Arial"/>
          <w:b/>
          <w:sz w:val="20"/>
        </w:rPr>
        <w:t>Document 6</w:t>
      </w:r>
      <w:r>
        <w:rPr>
          <w:rFonts w:ascii="Arial" w:eastAsia="Arial" w:hAnsi="Arial" w:cs="Arial"/>
          <w:sz w:val="20"/>
        </w:rPr>
        <w:t xml:space="preserve"> : Le rétrovirus HERV-</w:t>
      </w:r>
      <w:r>
        <w:rPr>
          <w:rFonts w:ascii="Arial" w:eastAsia="Arial" w:hAnsi="Arial" w:cs="Arial"/>
          <w:sz w:val="20"/>
        </w:rPr>
        <w:t xml:space="preserve">W a été intégré au génome des populations ancêtres des humain, chimpanzé, Gorille, Oran outan, Gibbon et singes du vieux monde il y a 40 millions d’années. </w:t>
      </w:r>
    </w:p>
    <w:p w14:paraId="4D010433" w14:textId="77777777" w:rsidR="000E48EF" w:rsidRDefault="00E8551D">
      <w:pPr>
        <w:spacing w:after="0"/>
        <w:ind w:left="516" w:hanging="10"/>
      </w:pP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  <w:b/>
          <w:color w:val="2F5496"/>
          <w:sz w:val="20"/>
        </w:rPr>
        <w:t>Connaissances mobilisées :</w:t>
      </w:r>
      <w:r>
        <w:rPr>
          <w:rFonts w:ascii="Arial" w:eastAsia="Arial" w:hAnsi="Arial" w:cs="Arial"/>
          <w:color w:val="2F5496"/>
          <w:sz w:val="20"/>
        </w:rPr>
        <w:t xml:space="preserve"> </w:t>
      </w:r>
    </w:p>
    <w:p w14:paraId="3B0AE5A1" w14:textId="77777777" w:rsidR="000E48EF" w:rsidRDefault="00E8551D">
      <w:pPr>
        <w:spacing w:after="2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1827CF" w14:textId="77777777" w:rsidR="000E48EF" w:rsidRDefault="00E8551D">
      <w:pPr>
        <w:tabs>
          <w:tab w:val="center" w:pos="756"/>
          <w:tab w:val="center" w:pos="2515"/>
        </w:tabs>
        <w:spacing w:after="4" w:line="251" w:lineRule="auto"/>
      </w:pPr>
      <w:r>
        <w:tab/>
      </w:r>
      <w:r>
        <w:rPr>
          <w:rFonts w:ascii="Arial" w:eastAsia="Arial" w:hAnsi="Arial" w:cs="Arial"/>
          <w:sz w:val="20"/>
        </w:rPr>
        <w:t xml:space="preserve">- </w:t>
      </w:r>
      <w:r>
        <w:rPr>
          <w:rFonts w:ascii="Arial" w:eastAsia="Arial" w:hAnsi="Arial" w:cs="Arial"/>
          <w:sz w:val="20"/>
        </w:rPr>
        <w:tab/>
        <w:t xml:space="preserve">Transferts horizontaux de gènes </w:t>
      </w:r>
    </w:p>
    <w:p w14:paraId="35BBED44" w14:textId="77777777" w:rsidR="000E48EF" w:rsidRDefault="00E8551D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58A24F8" w14:textId="77777777" w:rsidR="000E48EF" w:rsidRDefault="00E8551D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FB8FAB7" w14:textId="77777777" w:rsidR="000E48EF" w:rsidRDefault="00E8551D">
      <w:pPr>
        <w:spacing w:after="10" w:line="245" w:lineRule="auto"/>
        <w:ind w:left="9" w:hanging="10"/>
      </w:pPr>
      <w:r>
        <w:rPr>
          <w:rFonts w:ascii="Arial" w:eastAsia="Arial" w:hAnsi="Arial" w:cs="Arial"/>
          <w:b/>
          <w:color w:val="00B050"/>
          <w:sz w:val="20"/>
          <w:u w:val="single" w:color="00B050"/>
        </w:rPr>
        <w:t>Mise en relation et compréhension globale (la rédaction de cet item ne donne pas un modèle de</w:t>
      </w:r>
      <w:r>
        <w:rPr>
          <w:rFonts w:ascii="Arial" w:eastAsia="Arial" w:hAnsi="Arial" w:cs="Arial"/>
          <w:b/>
          <w:color w:val="00B050"/>
          <w:sz w:val="20"/>
        </w:rPr>
        <w:t xml:space="preserve"> </w:t>
      </w:r>
      <w:r>
        <w:rPr>
          <w:rFonts w:ascii="Arial" w:eastAsia="Arial" w:hAnsi="Arial" w:cs="Arial"/>
          <w:b/>
          <w:color w:val="00B050"/>
          <w:sz w:val="20"/>
          <w:u w:val="single" w:color="00B050"/>
        </w:rPr>
        <w:t>résolution)</w:t>
      </w:r>
      <w:r>
        <w:rPr>
          <w:rFonts w:ascii="Arial" w:eastAsia="Arial" w:hAnsi="Arial" w:cs="Arial"/>
          <w:color w:val="00B050"/>
          <w:sz w:val="20"/>
          <w:u w:val="single" w:color="00B050"/>
        </w:rPr>
        <w:t xml:space="preserve"> :</w:t>
      </w:r>
      <w:r>
        <w:rPr>
          <w:rFonts w:ascii="Arial" w:eastAsia="Arial" w:hAnsi="Arial" w:cs="Arial"/>
          <w:color w:val="00B050"/>
          <w:sz w:val="20"/>
        </w:rPr>
        <w:t xml:space="preserve">  </w:t>
      </w:r>
    </w:p>
    <w:p w14:paraId="1676EFF0" w14:textId="77777777" w:rsidR="000E48EF" w:rsidRDefault="00E8551D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14:paraId="6BDF792A" w14:textId="77777777" w:rsidR="000E48EF" w:rsidRDefault="00E8551D">
      <w:pPr>
        <w:spacing w:after="4" w:line="251" w:lineRule="auto"/>
        <w:ind w:left="24" w:hanging="10"/>
      </w:pPr>
      <w:r>
        <w:rPr>
          <w:rFonts w:ascii="Arial" w:eastAsia="Arial" w:hAnsi="Arial" w:cs="Arial"/>
          <w:sz w:val="20"/>
        </w:rPr>
        <w:t xml:space="preserve">Mise en relation des documents 1, 2, 3 et 5 </w:t>
      </w:r>
      <w:r>
        <w:rPr>
          <w:rFonts w:ascii="Arial" w:eastAsia="Arial" w:hAnsi="Arial" w:cs="Arial"/>
          <w:sz w:val="20"/>
        </w:rPr>
        <w:t xml:space="preserve">: La formation du syncytiotrophoblaste est possible par expression d’un gène codant pour la </w:t>
      </w:r>
      <w:proofErr w:type="spellStart"/>
      <w:r>
        <w:rPr>
          <w:rFonts w:ascii="Arial" w:eastAsia="Arial" w:hAnsi="Arial" w:cs="Arial"/>
          <w:sz w:val="20"/>
        </w:rPr>
        <w:t>syncitine</w:t>
      </w:r>
      <w:proofErr w:type="spellEnd"/>
      <w:r>
        <w:rPr>
          <w:rFonts w:ascii="Arial" w:eastAsia="Arial" w:hAnsi="Arial" w:cs="Arial"/>
          <w:sz w:val="20"/>
        </w:rPr>
        <w:t xml:space="preserve"> qui provoque des fusions cellulaires. Ce gène est issu d’un rétrovirus. </w:t>
      </w:r>
    </w:p>
    <w:p w14:paraId="77383C30" w14:textId="77777777" w:rsidR="000E48EF" w:rsidRDefault="00E8551D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14:paraId="4369E810" w14:textId="77777777" w:rsidR="000E48EF" w:rsidRDefault="00E8551D">
      <w:pPr>
        <w:spacing w:after="4" w:line="251" w:lineRule="auto"/>
        <w:ind w:left="24" w:hanging="10"/>
      </w:pPr>
      <w:r>
        <w:rPr>
          <w:rFonts w:ascii="Arial" w:eastAsia="Arial" w:hAnsi="Arial" w:cs="Arial"/>
          <w:sz w:val="20"/>
        </w:rPr>
        <w:t xml:space="preserve">Mise en relation des documents 4 et 6 : le gène de la </w:t>
      </w:r>
      <w:proofErr w:type="spellStart"/>
      <w:r>
        <w:rPr>
          <w:rFonts w:ascii="Arial" w:eastAsia="Arial" w:hAnsi="Arial" w:cs="Arial"/>
          <w:sz w:val="20"/>
        </w:rPr>
        <w:t>syncitine</w:t>
      </w:r>
      <w:proofErr w:type="spellEnd"/>
      <w:r>
        <w:rPr>
          <w:rFonts w:ascii="Arial" w:eastAsia="Arial" w:hAnsi="Arial" w:cs="Arial"/>
          <w:sz w:val="20"/>
        </w:rPr>
        <w:t xml:space="preserve"> a été intégré il y a 40 Ma chez une espèce (une population) ancêtre de la lignée humaine. </w:t>
      </w:r>
    </w:p>
    <w:p w14:paraId="50F87392" w14:textId="77777777" w:rsidR="000E48EF" w:rsidRDefault="00E8551D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14:paraId="667685FF" w14:textId="77777777" w:rsidR="000E48EF" w:rsidRDefault="00E8551D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14:paraId="6BFF7F4B" w14:textId="77777777" w:rsidR="000E48EF" w:rsidRDefault="00E8551D">
      <w:pPr>
        <w:spacing w:after="0"/>
        <w:ind w:left="745" w:hanging="10"/>
      </w:pPr>
      <w:r>
        <w:rPr>
          <w:rFonts w:ascii="Arial" w:eastAsia="Arial" w:hAnsi="Arial" w:cs="Arial"/>
          <w:b/>
          <w:sz w:val="20"/>
        </w:rPr>
        <w:t xml:space="preserve">Compréhension globale :  </w:t>
      </w:r>
    </w:p>
    <w:p w14:paraId="43C36385" w14:textId="77777777" w:rsidR="000E48EF" w:rsidRDefault="00E8551D">
      <w:pPr>
        <w:spacing w:after="161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14:paraId="39CDC826" w14:textId="77777777" w:rsidR="000E48EF" w:rsidRDefault="00E8551D">
      <w:pPr>
        <w:spacing w:after="4" w:line="251" w:lineRule="auto"/>
        <w:ind w:left="24" w:hanging="10"/>
      </w:pPr>
      <w:r>
        <w:rPr>
          <w:rFonts w:ascii="Arial" w:eastAsia="Arial" w:hAnsi="Arial" w:cs="Arial"/>
          <w:sz w:val="20"/>
        </w:rPr>
        <w:t xml:space="preserve">Dans certaines cellules du placenta (les trophoblastes) un gène s’exprime et produit une protéine qui induit la fusion des cellules. La séquences de cette protéine (la </w:t>
      </w:r>
      <w:proofErr w:type="spellStart"/>
      <w:r>
        <w:rPr>
          <w:rFonts w:ascii="Arial" w:eastAsia="Arial" w:hAnsi="Arial" w:cs="Arial"/>
          <w:sz w:val="20"/>
        </w:rPr>
        <w:t>syncitine</w:t>
      </w:r>
      <w:proofErr w:type="spellEnd"/>
      <w:r>
        <w:rPr>
          <w:rFonts w:ascii="Arial" w:eastAsia="Arial" w:hAnsi="Arial" w:cs="Arial"/>
          <w:sz w:val="20"/>
        </w:rPr>
        <w:t xml:space="preserve">) présentent des points communs avec les protéines virales qui s’intègrent aux membranes plasmiques. Les scientifiques peuvent dont lier cette caractéristique du placenta humain à un transfert de gènes. L’intégration de ce gène est datée de 40 millions d’années donc dans une population (espèce) ancêtre à toute la lignée humaine. </w:t>
      </w:r>
    </w:p>
    <w:sectPr w:rsidR="000E48EF" w:rsidSect="00E8551D">
      <w:footerReference w:type="even" r:id="rId7"/>
      <w:footerReference w:type="default" r:id="rId8"/>
      <w:footerReference w:type="first" r:id="rId9"/>
      <w:footnotePr>
        <w:numRestart w:val="eachPage"/>
      </w:footnotePr>
      <w:pgSz w:w="11899" w:h="16841"/>
      <w:pgMar w:top="426" w:right="846" w:bottom="1473" w:left="1121" w:header="720" w:footer="1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45D6" w14:textId="77777777" w:rsidR="00E8551D" w:rsidRDefault="00E8551D">
      <w:pPr>
        <w:spacing w:after="0" w:line="240" w:lineRule="auto"/>
      </w:pPr>
      <w:r>
        <w:separator/>
      </w:r>
    </w:p>
  </w:endnote>
  <w:endnote w:type="continuationSeparator" w:id="0">
    <w:p w14:paraId="76BD27F8" w14:textId="77777777" w:rsidR="00E8551D" w:rsidRDefault="00E8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95B7" w14:textId="77777777" w:rsidR="000E48EF" w:rsidRDefault="00E8551D">
    <w:pPr>
      <w:spacing w:after="0"/>
      <w:ind w:left="14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sur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  <w:r>
      <w:t xml:space="preserve"> </w:t>
    </w:r>
  </w:p>
  <w:p w14:paraId="359E6C57" w14:textId="77777777" w:rsidR="000E48EF" w:rsidRDefault="00E8551D">
    <w:pPr>
      <w:spacing w:after="0"/>
      <w:ind w:left="61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ECEE" w14:textId="77777777" w:rsidR="000E48EF" w:rsidRDefault="00E8551D">
    <w:pPr>
      <w:spacing w:after="0"/>
      <w:ind w:left="14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sur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  <w:r>
      <w:t xml:space="preserve"> </w:t>
    </w:r>
  </w:p>
  <w:p w14:paraId="008C4DCB" w14:textId="77777777" w:rsidR="000E48EF" w:rsidRDefault="00E8551D">
    <w:pPr>
      <w:spacing w:after="0"/>
      <w:ind w:left="61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3685" w14:textId="77777777" w:rsidR="000E48EF" w:rsidRDefault="00E8551D">
    <w:pPr>
      <w:spacing w:after="0"/>
      <w:ind w:left="14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sur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fldChar w:fldCharType="end"/>
    </w:r>
    <w:r>
      <w:t xml:space="preserve"> </w:t>
    </w:r>
  </w:p>
  <w:p w14:paraId="468C7EFE" w14:textId="77777777" w:rsidR="000E48EF" w:rsidRDefault="00E8551D">
    <w:pPr>
      <w:spacing w:after="0"/>
      <w:ind w:left="61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CE29" w14:textId="77777777" w:rsidR="000E48EF" w:rsidRDefault="00E8551D">
      <w:pPr>
        <w:spacing w:after="0"/>
        <w:ind w:left="14" w:right="152"/>
      </w:pPr>
      <w:r>
        <w:separator/>
      </w:r>
    </w:p>
  </w:footnote>
  <w:footnote w:type="continuationSeparator" w:id="0">
    <w:p w14:paraId="6D9B6AA2" w14:textId="77777777" w:rsidR="000E48EF" w:rsidRDefault="00E8551D">
      <w:pPr>
        <w:spacing w:after="0"/>
        <w:ind w:left="14" w:right="15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1CBD"/>
    <w:multiLevelType w:val="hybridMultilevel"/>
    <w:tmpl w:val="839C7DDC"/>
    <w:lvl w:ilvl="0" w:tplc="C9265130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F254F2">
      <w:start w:val="1"/>
      <w:numFmt w:val="bullet"/>
      <w:lvlText w:val=""/>
      <w:lvlJc w:val="left"/>
      <w:pPr>
        <w:ind w:left="2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DAD5FC">
      <w:start w:val="1"/>
      <w:numFmt w:val="bullet"/>
      <w:lvlText w:val="▪"/>
      <w:lvlJc w:val="left"/>
      <w:pPr>
        <w:ind w:left="3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207B58">
      <w:start w:val="1"/>
      <w:numFmt w:val="bullet"/>
      <w:lvlText w:val="•"/>
      <w:lvlJc w:val="left"/>
      <w:pPr>
        <w:ind w:left="4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9A22B4">
      <w:start w:val="1"/>
      <w:numFmt w:val="bullet"/>
      <w:lvlText w:val="o"/>
      <w:lvlJc w:val="left"/>
      <w:pPr>
        <w:ind w:left="5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B4F9A0">
      <w:start w:val="1"/>
      <w:numFmt w:val="bullet"/>
      <w:lvlText w:val="▪"/>
      <w:lvlJc w:val="left"/>
      <w:pPr>
        <w:ind w:left="5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1A34F4">
      <w:start w:val="1"/>
      <w:numFmt w:val="bullet"/>
      <w:lvlText w:val="•"/>
      <w:lvlJc w:val="left"/>
      <w:pPr>
        <w:ind w:left="6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E2519A">
      <w:start w:val="1"/>
      <w:numFmt w:val="bullet"/>
      <w:lvlText w:val="o"/>
      <w:lvlJc w:val="left"/>
      <w:pPr>
        <w:ind w:left="72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241BD6">
      <w:start w:val="1"/>
      <w:numFmt w:val="bullet"/>
      <w:lvlText w:val="▪"/>
      <w:lvlJc w:val="left"/>
      <w:pPr>
        <w:ind w:left="79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C03330"/>
    <w:multiLevelType w:val="hybridMultilevel"/>
    <w:tmpl w:val="C84CA66C"/>
    <w:lvl w:ilvl="0" w:tplc="2E40C01E">
      <w:start w:val="1"/>
      <w:numFmt w:val="bullet"/>
      <w:lvlText w:val="•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EFCD6">
      <w:start w:val="1"/>
      <w:numFmt w:val="bullet"/>
      <w:lvlText w:val="-"/>
      <w:lvlJc w:val="left"/>
      <w:pPr>
        <w:ind w:left="1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403292">
      <w:start w:val="1"/>
      <w:numFmt w:val="bullet"/>
      <w:lvlText w:val="▪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68C6BA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85EF8">
      <w:start w:val="1"/>
      <w:numFmt w:val="bullet"/>
      <w:lvlText w:val="o"/>
      <w:lvlJc w:val="left"/>
      <w:pPr>
        <w:ind w:left="3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9C6D6C">
      <w:start w:val="1"/>
      <w:numFmt w:val="bullet"/>
      <w:lvlText w:val="▪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D01D2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765F48">
      <w:start w:val="1"/>
      <w:numFmt w:val="bullet"/>
      <w:lvlText w:val="o"/>
      <w:lvlJc w:val="left"/>
      <w:pPr>
        <w:ind w:left="6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8E8A58">
      <w:start w:val="1"/>
      <w:numFmt w:val="bullet"/>
      <w:lvlText w:val="▪"/>
      <w:lvlJc w:val="left"/>
      <w:pPr>
        <w:ind w:left="6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8E3D0D"/>
    <w:multiLevelType w:val="hybridMultilevel"/>
    <w:tmpl w:val="BE88E6FC"/>
    <w:lvl w:ilvl="0" w:tplc="0792B542">
      <w:start w:val="1"/>
      <w:numFmt w:val="bullet"/>
      <w:lvlText w:val="-"/>
      <w:lvlJc w:val="left"/>
      <w:pPr>
        <w:ind w:left="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2206BC">
      <w:start w:val="1"/>
      <w:numFmt w:val="bullet"/>
      <w:lvlText w:val="o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320DBA">
      <w:start w:val="1"/>
      <w:numFmt w:val="bullet"/>
      <w:lvlText w:val="▪"/>
      <w:lvlJc w:val="left"/>
      <w:pPr>
        <w:ind w:left="2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06EE00">
      <w:start w:val="1"/>
      <w:numFmt w:val="bullet"/>
      <w:lvlText w:val="•"/>
      <w:lvlJc w:val="left"/>
      <w:pPr>
        <w:ind w:left="3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462968">
      <w:start w:val="1"/>
      <w:numFmt w:val="bullet"/>
      <w:lvlText w:val="o"/>
      <w:lvlJc w:val="left"/>
      <w:pPr>
        <w:ind w:left="3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CAD6A">
      <w:start w:val="1"/>
      <w:numFmt w:val="bullet"/>
      <w:lvlText w:val="▪"/>
      <w:lvlJc w:val="left"/>
      <w:pPr>
        <w:ind w:left="4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7A5AB2">
      <w:start w:val="1"/>
      <w:numFmt w:val="bullet"/>
      <w:lvlText w:val="•"/>
      <w:lvlJc w:val="left"/>
      <w:pPr>
        <w:ind w:left="5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EAB67E">
      <w:start w:val="1"/>
      <w:numFmt w:val="bullet"/>
      <w:lvlText w:val="o"/>
      <w:lvlJc w:val="left"/>
      <w:pPr>
        <w:ind w:left="6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08047C">
      <w:start w:val="1"/>
      <w:numFmt w:val="bullet"/>
      <w:lvlText w:val="▪"/>
      <w:lvlJc w:val="left"/>
      <w:pPr>
        <w:ind w:left="6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CE04F2"/>
    <w:multiLevelType w:val="hybridMultilevel"/>
    <w:tmpl w:val="D9902A42"/>
    <w:lvl w:ilvl="0" w:tplc="A0149444">
      <w:start w:val="1"/>
      <w:numFmt w:val="bullet"/>
      <w:lvlText w:val="-"/>
      <w:lvlJc w:val="left"/>
      <w:pPr>
        <w:ind w:left="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D8D4A4">
      <w:start w:val="1"/>
      <w:numFmt w:val="bullet"/>
      <w:lvlText w:val="o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447F4">
      <w:start w:val="1"/>
      <w:numFmt w:val="bullet"/>
      <w:lvlText w:val="▪"/>
      <w:lvlJc w:val="left"/>
      <w:pPr>
        <w:ind w:left="2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83A64">
      <w:start w:val="1"/>
      <w:numFmt w:val="bullet"/>
      <w:lvlText w:val="•"/>
      <w:lvlJc w:val="left"/>
      <w:pPr>
        <w:ind w:left="3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7A6F36">
      <w:start w:val="1"/>
      <w:numFmt w:val="bullet"/>
      <w:lvlText w:val="o"/>
      <w:lvlJc w:val="left"/>
      <w:pPr>
        <w:ind w:left="3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6AB4F0">
      <w:start w:val="1"/>
      <w:numFmt w:val="bullet"/>
      <w:lvlText w:val="▪"/>
      <w:lvlJc w:val="left"/>
      <w:pPr>
        <w:ind w:left="4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40CD0">
      <w:start w:val="1"/>
      <w:numFmt w:val="bullet"/>
      <w:lvlText w:val="•"/>
      <w:lvlJc w:val="left"/>
      <w:pPr>
        <w:ind w:left="5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C25812">
      <w:start w:val="1"/>
      <w:numFmt w:val="bullet"/>
      <w:lvlText w:val="o"/>
      <w:lvlJc w:val="left"/>
      <w:pPr>
        <w:ind w:left="6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CEBCE8">
      <w:start w:val="1"/>
      <w:numFmt w:val="bullet"/>
      <w:lvlText w:val="▪"/>
      <w:lvlJc w:val="left"/>
      <w:pPr>
        <w:ind w:left="6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B620C4"/>
    <w:multiLevelType w:val="hybridMultilevel"/>
    <w:tmpl w:val="4F8E9436"/>
    <w:lvl w:ilvl="0" w:tplc="831E8432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D85D22">
      <w:start w:val="1"/>
      <w:numFmt w:val="bullet"/>
      <w:lvlText w:val="o"/>
      <w:lvlJc w:val="left"/>
      <w:pPr>
        <w:ind w:left="1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1424B2">
      <w:start w:val="1"/>
      <w:numFmt w:val="bullet"/>
      <w:lvlText w:val="▪"/>
      <w:lvlJc w:val="left"/>
      <w:pPr>
        <w:ind w:left="2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CA1EEE">
      <w:start w:val="1"/>
      <w:numFmt w:val="bullet"/>
      <w:lvlText w:val="•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3E5898">
      <w:start w:val="1"/>
      <w:numFmt w:val="bullet"/>
      <w:lvlText w:val="o"/>
      <w:lvlJc w:val="left"/>
      <w:pPr>
        <w:ind w:left="3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7EA1A8">
      <w:start w:val="1"/>
      <w:numFmt w:val="bullet"/>
      <w:lvlText w:val="▪"/>
      <w:lvlJc w:val="left"/>
      <w:pPr>
        <w:ind w:left="4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883286">
      <w:start w:val="1"/>
      <w:numFmt w:val="bullet"/>
      <w:lvlText w:val="•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049810">
      <w:start w:val="1"/>
      <w:numFmt w:val="bullet"/>
      <w:lvlText w:val="o"/>
      <w:lvlJc w:val="left"/>
      <w:pPr>
        <w:ind w:left="6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98320E">
      <w:start w:val="1"/>
      <w:numFmt w:val="bullet"/>
      <w:lvlText w:val="▪"/>
      <w:lvlJc w:val="left"/>
      <w:pPr>
        <w:ind w:left="6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079272">
    <w:abstractNumId w:val="0"/>
  </w:num>
  <w:num w:numId="2" w16cid:durableId="1768041442">
    <w:abstractNumId w:val="3"/>
  </w:num>
  <w:num w:numId="3" w16cid:durableId="1353457607">
    <w:abstractNumId w:val="4"/>
  </w:num>
  <w:num w:numId="4" w16cid:durableId="22220153">
    <w:abstractNumId w:val="2"/>
  </w:num>
  <w:num w:numId="5" w16cid:durableId="199059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EF"/>
    <w:rsid w:val="000E48EF"/>
    <w:rsid w:val="00AD5336"/>
    <w:rsid w:val="00E8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2C07"/>
  <w15:docId w15:val="{11A2F4C5-C7B2-4C32-8089-5D3987D8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5" w:line="259" w:lineRule="auto"/>
      <w:ind w:left="24" w:hanging="10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35" w:line="259" w:lineRule="auto"/>
      <w:ind w:left="10" w:hanging="10"/>
      <w:outlineLvl w:val="1"/>
    </w:pPr>
    <w:rPr>
      <w:rFonts w:ascii="Arial" w:eastAsia="Arial" w:hAnsi="Arial" w:cs="Arial"/>
      <w:b/>
      <w:color w:val="806000"/>
      <w:sz w:val="20"/>
      <w:u w:val="single" w:color="80600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5" w:line="259" w:lineRule="auto"/>
      <w:ind w:left="10" w:hanging="10"/>
      <w:outlineLvl w:val="2"/>
    </w:pPr>
    <w:rPr>
      <w:rFonts w:ascii="Arial" w:eastAsia="Arial" w:hAnsi="Arial" w:cs="Arial"/>
      <w:b/>
      <w:color w:val="0070C0"/>
      <w:sz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70C0"/>
      <w:sz w:val="20"/>
      <w:u w:val="single" w:color="000000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806000"/>
      <w:sz w:val="20"/>
      <w:u w:val="single" w:color="80600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14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Corrigé du bac Spécialité SVT 2021 - Spécimen-1</dc:title>
  <dc:subject>Corrigé officiel complet de l'épreuve de Spécialité - Sciences de la Vie et de la Terre (SVT) du bac général 2021 en Spécimen-1</dc:subject>
  <dc:creator>https://www.sujetdebac.fr</dc:creator>
  <cp:keywords>corrigé officiel complet bac général spécialité svt 2021 spécimen 1 terminale annale pdf gratuit baccalauréat sujetdebac www.sujetdebac.fr</cp:keywords>
  <cp:lastModifiedBy>jp HNN</cp:lastModifiedBy>
  <cp:revision>2</cp:revision>
  <dcterms:created xsi:type="dcterms:W3CDTF">2025-10-03T08:35:00Z</dcterms:created>
  <dcterms:modified xsi:type="dcterms:W3CDTF">2025-10-03T08:35:00Z</dcterms:modified>
</cp:coreProperties>
</file>