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160FC" w14:textId="77777777" w:rsidR="007915EB" w:rsidRDefault="002C64D2">
      <w:pPr>
        <w:spacing w:after="196"/>
        <w:ind w:left="56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TP6- Comment s’exprime une mutation au sein d’un organisme ?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1E26BA1" w14:textId="77777777" w:rsidR="007915EB" w:rsidRDefault="002C64D2">
      <w:pPr>
        <w:spacing w:after="0"/>
        <w:ind w:left="55"/>
      </w:pPr>
      <w:r>
        <w:rPr>
          <w:rFonts w:ascii="Arial" w:eastAsia="Arial" w:hAnsi="Arial" w:cs="Arial"/>
          <w:sz w:val="20"/>
        </w:rPr>
        <w:t xml:space="preserve"> </w:t>
      </w:r>
    </w:p>
    <w:p w14:paraId="0647CF4A" w14:textId="77777777" w:rsidR="007915EB" w:rsidRDefault="002C64D2">
      <w:pPr>
        <w:tabs>
          <w:tab w:val="right" w:pos="10970"/>
        </w:tabs>
        <w:spacing w:after="4" w:line="249" w:lineRule="auto"/>
        <w:ind w:right="-1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Les mutations sont à l'origine de la formation des allèles. Le bagage allélique d'un individu représente son génotype. </w:t>
      </w:r>
    </w:p>
    <w:p w14:paraId="0BE80E85" w14:textId="77777777" w:rsidR="007915EB" w:rsidRDefault="002C64D2">
      <w:pPr>
        <w:spacing w:after="4" w:line="249" w:lineRule="auto"/>
        <w:ind w:left="50" w:right="-10" w:hanging="10"/>
      </w:pPr>
      <w:r>
        <w:rPr>
          <w:rFonts w:ascii="Arial" w:eastAsia="Arial" w:hAnsi="Arial" w:cs="Arial"/>
          <w:sz w:val="20"/>
        </w:rPr>
        <w:t xml:space="preserve">Les deux allèles d'un même gène, pour un individu diploïde, sont à l'origine de l'apparition d'un caractère appelé phénotype. Le phénotype peut être observé à différentes échelles : moléculaire, cellulaire, physiologique ou macroscopique.  </w:t>
      </w:r>
    </w:p>
    <w:p w14:paraId="6081C67A" w14:textId="77777777" w:rsidR="007915EB" w:rsidRDefault="002C64D2">
      <w:pPr>
        <w:spacing w:after="12"/>
        <w:ind w:left="55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DA81F11" w14:textId="77777777" w:rsidR="007915EB" w:rsidRDefault="002C6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 w:line="244" w:lineRule="auto"/>
        <w:ind w:left="55"/>
      </w:pPr>
      <w:r>
        <w:rPr>
          <w:rFonts w:ascii="Arial" w:eastAsia="Arial" w:hAnsi="Arial" w:cs="Arial"/>
          <w:b/>
          <w:sz w:val="20"/>
        </w:rPr>
        <w:t xml:space="preserve">En prenant l'exemple de la mucoviscidose, nous allons étudier les relations existantes entre le génotype et le phénotype d'un individu et ce à différentes échelles. </w:t>
      </w:r>
    </w:p>
    <w:p w14:paraId="65BCCCD4" w14:textId="77777777" w:rsidR="007915EB" w:rsidRDefault="002C64D2">
      <w:pPr>
        <w:spacing w:after="161"/>
        <w:ind w:left="55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70AD263" w14:textId="77777777" w:rsidR="007915EB" w:rsidRDefault="002C64D2">
      <w:pPr>
        <w:pStyle w:val="Titre1"/>
        <w:ind w:left="174" w:hanging="134"/>
      </w:pPr>
      <w:r>
        <w:t>– Les relations entre génotype et environnement</w:t>
      </w:r>
      <w:r>
        <w:rPr>
          <w:u w:val="none"/>
        </w:rPr>
        <w:t xml:space="preserve"> </w:t>
      </w:r>
    </w:p>
    <w:p w14:paraId="1535CCA0" w14:textId="75F34CBB" w:rsidR="007915EB" w:rsidRDefault="002C64D2">
      <w:pPr>
        <w:numPr>
          <w:ilvl w:val="0"/>
          <w:numId w:val="1"/>
        </w:numPr>
        <w:spacing w:after="112" w:line="250" w:lineRule="auto"/>
        <w:ind w:hanging="360"/>
      </w:pPr>
      <w:r>
        <w:rPr>
          <w:rFonts w:ascii="Arial" w:eastAsia="Arial" w:hAnsi="Arial" w:cs="Arial"/>
          <w:b/>
          <w:sz w:val="20"/>
        </w:rPr>
        <w:t>Écrire le génotype et le phénotype des individus présentés sur l'arbre. I1, I2, II6, III3, III5, IV1, IV3 en utilisant les conventions d’écriture présentées dans la re</w:t>
      </w:r>
      <w:r w:rsidR="002F5F9F">
        <w:rPr>
          <w:rFonts w:ascii="Arial" w:eastAsia="Arial" w:hAnsi="Arial" w:cs="Arial"/>
          <w:b/>
          <w:sz w:val="20"/>
        </w:rPr>
        <w:t>s</w:t>
      </w:r>
      <w:r>
        <w:rPr>
          <w:rFonts w:ascii="Arial" w:eastAsia="Arial" w:hAnsi="Arial" w:cs="Arial"/>
          <w:b/>
          <w:sz w:val="20"/>
        </w:rPr>
        <w:t xml:space="preserve">source 1. </w:t>
      </w:r>
    </w:p>
    <w:p w14:paraId="4BF7D37E" w14:textId="77777777" w:rsidR="007915EB" w:rsidRDefault="002C64D2">
      <w:pPr>
        <w:spacing w:after="0"/>
        <w:ind w:left="775" w:right="427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AC606F3" wp14:editId="3A055C17">
            <wp:simplePos x="0" y="0"/>
            <wp:positionH relativeFrom="column">
              <wp:posOffset>2723388</wp:posOffset>
            </wp:positionH>
            <wp:positionV relativeFrom="paragraph">
              <wp:posOffset>8699</wp:posOffset>
            </wp:positionV>
            <wp:extent cx="3971290" cy="2490470"/>
            <wp:effectExtent l="0" t="0" r="0" b="0"/>
            <wp:wrapSquare wrapText="bothSides"/>
            <wp:docPr id="285" name="Picture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1290" cy="249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 xml:space="preserve"> </w:t>
      </w:r>
    </w:p>
    <w:p w14:paraId="7D79598B" w14:textId="77777777" w:rsidR="007915EB" w:rsidRDefault="002C64D2">
      <w:pPr>
        <w:spacing w:after="0"/>
        <w:ind w:left="775" w:right="427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336D225B" w14:textId="77777777" w:rsidR="007915EB" w:rsidRDefault="002C64D2">
      <w:pPr>
        <w:spacing w:after="0"/>
        <w:ind w:left="775" w:right="427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7CCBD672" w14:textId="77777777" w:rsidR="007915EB" w:rsidRDefault="002C64D2">
      <w:pPr>
        <w:spacing w:after="0"/>
        <w:ind w:left="775" w:right="427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32EEC801" w14:textId="77777777" w:rsidR="007915EB" w:rsidRDefault="002C64D2">
      <w:pPr>
        <w:spacing w:after="0"/>
        <w:ind w:left="775" w:right="427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0D7B9A1F" w14:textId="77777777" w:rsidR="007915EB" w:rsidRDefault="002C64D2">
      <w:pPr>
        <w:spacing w:after="0"/>
        <w:ind w:left="775" w:right="427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59D43CE0" w14:textId="77777777" w:rsidR="007915EB" w:rsidRDefault="002C64D2">
      <w:pPr>
        <w:spacing w:after="0"/>
        <w:ind w:left="775" w:right="427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3E303E42" w14:textId="77777777" w:rsidR="007915EB" w:rsidRDefault="002C64D2">
      <w:pPr>
        <w:spacing w:after="0"/>
        <w:ind w:left="775" w:right="427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5BD13E7F" w14:textId="77777777" w:rsidR="007915EB" w:rsidRDefault="002C64D2">
      <w:pPr>
        <w:spacing w:after="0"/>
        <w:ind w:left="775" w:right="427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055763C9" w14:textId="77777777" w:rsidR="007915EB" w:rsidRDefault="002C64D2">
      <w:pPr>
        <w:spacing w:after="40" w:line="241" w:lineRule="auto"/>
        <w:ind w:left="775" w:right="427"/>
        <w:jc w:val="both"/>
      </w:pPr>
      <w:r>
        <w:rPr>
          <w:rFonts w:ascii="Arial" w:eastAsia="Arial" w:hAnsi="Arial" w:cs="Arial"/>
          <w:b/>
          <w:sz w:val="18"/>
          <w:u w:val="single" w:color="000000"/>
        </w:rPr>
        <w:t>Arbre généalogique d’une famille dont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  <w:u w:val="single" w:color="000000"/>
        </w:rPr>
        <w:t>certains membres sont touchés par la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  <w:u w:val="single" w:color="000000"/>
        </w:rPr>
        <w:t>mucoviscidose</w:t>
      </w:r>
      <w:r>
        <w:rPr>
          <w:rFonts w:ascii="Arial" w:eastAsia="Arial" w:hAnsi="Arial" w:cs="Arial"/>
          <w:b/>
          <w:sz w:val="18"/>
        </w:rPr>
        <w:t xml:space="preserve"> </w:t>
      </w:r>
    </w:p>
    <w:p w14:paraId="049BBABD" w14:textId="77777777" w:rsidR="007915EB" w:rsidRDefault="002C64D2">
      <w:pPr>
        <w:spacing w:after="158"/>
        <w:ind w:left="55" w:right="427"/>
      </w:pPr>
      <w:r>
        <w:t xml:space="preserve"> </w:t>
      </w:r>
    </w:p>
    <w:p w14:paraId="65579849" w14:textId="77777777" w:rsidR="007915EB" w:rsidRDefault="002C64D2">
      <w:pPr>
        <w:spacing w:after="119"/>
        <w:ind w:left="55" w:right="427"/>
      </w:pPr>
      <w:r>
        <w:t xml:space="preserve"> </w:t>
      </w:r>
    </w:p>
    <w:p w14:paraId="6C7A0820" w14:textId="77777777" w:rsidR="007915EB" w:rsidRDefault="002C64D2">
      <w:pPr>
        <w:spacing w:after="103"/>
        <w:ind w:left="55" w:right="427"/>
      </w:pPr>
      <w:r>
        <w:rPr>
          <w:rFonts w:ascii="Arial" w:eastAsia="Arial" w:hAnsi="Arial" w:cs="Arial"/>
          <w:b/>
          <w:sz w:val="18"/>
        </w:rPr>
        <w:t xml:space="preserve"> </w:t>
      </w:r>
    </w:p>
    <w:tbl>
      <w:tblPr>
        <w:tblStyle w:val="TableGrid"/>
        <w:tblW w:w="11028" w:type="dxa"/>
        <w:tblInd w:w="0" w:type="dxa"/>
        <w:tblCellMar>
          <w:top w:w="32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11028"/>
      </w:tblGrid>
      <w:tr w:rsidR="007915EB" w14:paraId="0B569814" w14:textId="77777777">
        <w:trPr>
          <w:trHeight w:val="5830"/>
        </w:trPr>
        <w:tc>
          <w:tcPr>
            <w:tcW w:w="1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2242D" w14:textId="47352EDF" w:rsidR="007915EB" w:rsidRDefault="002C64D2"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RESSOURCE 1 :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7B52A67D" w14:textId="77777777" w:rsidR="007915EB" w:rsidRDefault="002C64D2">
            <w:pPr>
              <w:spacing w:after="14"/>
            </w:pPr>
            <w:r>
              <w:rPr>
                <w:rFonts w:ascii="Arial" w:eastAsia="Arial" w:hAnsi="Arial" w:cs="Arial"/>
                <w:b/>
                <w:sz w:val="18"/>
              </w:rPr>
              <w:t xml:space="preserve">I- Les allèles : </w:t>
            </w:r>
          </w:p>
          <w:p w14:paraId="2CCA08F1" w14:textId="77777777" w:rsidR="007915EB" w:rsidRDefault="002C64D2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18"/>
              </w:rPr>
              <w:t xml:space="preserve">Les allèles d’un gène sont désignés par des lettres. </w:t>
            </w:r>
          </w:p>
          <w:p w14:paraId="5DC5BF05" w14:textId="77777777" w:rsidR="007915EB" w:rsidRDefault="002C64D2">
            <w:pPr>
              <w:numPr>
                <w:ilvl w:val="0"/>
                <w:numId w:val="3"/>
              </w:numPr>
              <w:spacing w:after="27" w:line="242" w:lineRule="auto"/>
            </w:pPr>
            <w:r>
              <w:rPr>
                <w:rFonts w:ascii="Arial" w:eastAsia="Arial" w:hAnsi="Arial" w:cs="Arial"/>
                <w:sz w:val="18"/>
              </w:rPr>
              <w:t>Pour un même gène, on désigne l'</w:t>
            </w:r>
            <w:r>
              <w:rPr>
                <w:rFonts w:ascii="Arial" w:eastAsia="Arial" w:hAnsi="Arial" w:cs="Arial"/>
                <w:b/>
                <w:sz w:val="18"/>
              </w:rPr>
              <w:t>allèle dominant (souvent le sauvage)</w:t>
            </w:r>
            <w:r>
              <w:rPr>
                <w:rFonts w:ascii="Arial" w:eastAsia="Arial" w:hAnsi="Arial" w:cs="Arial"/>
                <w:sz w:val="18"/>
              </w:rPr>
              <w:t xml:space="preserve"> par une </w:t>
            </w:r>
            <w:r>
              <w:rPr>
                <w:rFonts w:ascii="Arial" w:eastAsia="Arial" w:hAnsi="Arial" w:cs="Arial"/>
                <w:b/>
                <w:sz w:val="18"/>
              </w:rPr>
              <w:t>majuscule</w:t>
            </w:r>
            <w:r>
              <w:rPr>
                <w:rFonts w:ascii="Arial" w:eastAsia="Arial" w:hAnsi="Arial" w:cs="Arial"/>
                <w:sz w:val="18"/>
              </w:rPr>
              <w:t>, l'</w:t>
            </w:r>
            <w:r>
              <w:rPr>
                <w:rFonts w:ascii="Arial" w:eastAsia="Arial" w:hAnsi="Arial" w:cs="Arial"/>
                <w:b/>
                <w:sz w:val="18"/>
              </w:rPr>
              <w:t>allèle récessif (souvent le muté)</w:t>
            </w:r>
            <w:r>
              <w:rPr>
                <w:rFonts w:ascii="Arial" w:eastAsia="Arial" w:hAnsi="Arial" w:cs="Arial"/>
                <w:sz w:val="18"/>
              </w:rPr>
              <w:t xml:space="preserve"> par une </w:t>
            </w:r>
            <w:r>
              <w:rPr>
                <w:rFonts w:ascii="Arial" w:eastAsia="Arial" w:hAnsi="Arial" w:cs="Arial"/>
                <w:b/>
                <w:sz w:val="18"/>
              </w:rPr>
              <w:t>minuscule</w:t>
            </w:r>
            <w:r>
              <w:rPr>
                <w:rFonts w:ascii="Arial" w:eastAsia="Arial" w:hAnsi="Arial" w:cs="Arial"/>
                <w:sz w:val="18"/>
              </w:rPr>
              <w:t xml:space="preserve">.  </w:t>
            </w:r>
          </w:p>
          <w:p w14:paraId="063E08DF" w14:textId="77777777" w:rsidR="007915EB" w:rsidRDefault="002C64D2">
            <w:r>
              <w:rPr>
                <w:rFonts w:ascii="Arial" w:eastAsia="Arial" w:hAnsi="Arial" w:cs="Arial"/>
                <w:sz w:val="18"/>
                <w:u w:val="single" w:color="000000"/>
              </w:rPr>
              <w:t>Exemple</w:t>
            </w:r>
            <w:r>
              <w:rPr>
                <w:rFonts w:ascii="Arial" w:eastAsia="Arial" w:hAnsi="Arial" w:cs="Arial"/>
                <w:sz w:val="18"/>
              </w:rPr>
              <w:t xml:space="preserve"> : Pour un gène A responsable de la couleur rouge chez l’œil de drosophile. A est l’allèle sauvage et a est l’allèle muté.      </w:t>
            </w:r>
          </w:p>
          <w:p w14:paraId="14E715A0" w14:textId="77777777" w:rsidR="007915EB" w:rsidRDefault="002C64D2">
            <w:r>
              <w:rPr>
                <w:rFonts w:ascii="Arial" w:eastAsia="Arial" w:hAnsi="Arial" w:cs="Arial"/>
                <w:sz w:val="18"/>
              </w:rPr>
              <w:t xml:space="preserve">          </w:t>
            </w:r>
          </w:p>
          <w:p w14:paraId="003560F6" w14:textId="77777777" w:rsidR="007915EB" w:rsidRDefault="002C64D2">
            <w:r>
              <w:rPr>
                <w:rFonts w:ascii="Arial" w:eastAsia="Arial" w:hAnsi="Arial" w:cs="Arial"/>
                <w:b/>
                <w:sz w:val="18"/>
              </w:rPr>
              <w:t xml:space="preserve">II-Les génotypes : </w:t>
            </w:r>
          </w:p>
          <w:p w14:paraId="1AD57BEF" w14:textId="77777777" w:rsidR="007915EB" w:rsidRDefault="002C64D2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18"/>
              </w:rPr>
              <w:t xml:space="preserve">Le génotype est conventionnellement représenté par les seuls couples d'allèles étudiés. </w:t>
            </w:r>
          </w:p>
          <w:p w14:paraId="0B004D01" w14:textId="77777777" w:rsidR="007915EB" w:rsidRDefault="002C64D2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18"/>
              </w:rPr>
              <w:t xml:space="preserve">La présentation du génotype </w:t>
            </w:r>
            <w:r>
              <w:rPr>
                <w:rFonts w:ascii="Arial" w:eastAsia="Arial" w:hAnsi="Arial" w:cs="Arial"/>
                <w:b/>
                <w:sz w:val="18"/>
              </w:rPr>
              <w:t>sous forme de fraction et entre parenthèse</w:t>
            </w:r>
            <w:r>
              <w:rPr>
                <w:rFonts w:ascii="Arial" w:eastAsia="Arial" w:hAnsi="Arial" w:cs="Arial"/>
                <w:sz w:val="18"/>
              </w:rPr>
              <w:t xml:space="preserve"> est obligatoire.  </w:t>
            </w:r>
          </w:p>
          <w:p w14:paraId="2596E4AD" w14:textId="77777777" w:rsidR="007915EB" w:rsidRDefault="002C64D2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b/>
                <w:sz w:val="18"/>
              </w:rPr>
              <w:t xml:space="preserve">Chaque paire de chromosomes homologues est donc symbolisée par un double trait. </w:t>
            </w:r>
          </w:p>
          <w:p w14:paraId="28CF7500" w14:textId="77777777" w:rsidR="007915EB" w:rsidRDefault="002C64D2">
            <w:pPr>
              <w:spacing w:after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9C844A9" w14:textId="77777777" w:rsidR="007915EB" w:rsidRDefault="002C64D2">
            <w:pPr>
              <w:ind w:right="5582"/>
            </w:pPr>
            <w:r>
              <w:rPr>
                <w:rFonts w:ascii="Arial" w:eastAsia="Arial" w:hAnsi="Arial" w:cs="Arial"/>
                <w:sz w:val="18"/>
                <w:u w:val="single" w:color="000000"/>
              </w:rPr>
              <w:t>Exemple</w:t>
            </w:r>
            <w:r>
              <w:rPr>
                <w:rFonts w:ascii="Arial" w:eastAsia="Arial" w:hAnsi="Arial" w:cs="Arial"/>
                <w:sz w:val="18"/>
              </w:rPr>
              <w:t xml:space="preserve"> : génotype d’une drosophile aux yeux rouges : (</w:t>
            </w:r>
            <w:r>
              <w:rPr>
                <w:rFonts w:ascii="Arial" w:eastAsia="Arial" w:hAnsi="Arial" w:cs="Arial"/>
                <w:b/>
                <w:sz w:val="18"/>
              </w:rPr>
              <w:t>A//a)</w:t>
            </w:r>
            <w:r>
              <w:rPr>
                <w:rFonts w:ascii="Arial" w:eastAsia="Arial" w:hAnsi="Arial" w:cs="Arial"/>
                <w:sz w:val="18"/>
              </w:rPr>
              <w:t xml:space="preserve">. On distingue alors les individus :  </w:t>
            </w:r>
          </w:p>
          <w:p w14:paraId="52FEE20F" w14:textId="77777777" w:rsidR="007915EB" w:rsidRDefault="002C64D2">
            <w:pPr>
              <w:spacing w:after="2" w:line="239" w:lineRule="auto"/>
              <w:ind w:right="5394"/>
            </w:pPr>
            <w:r>
              <w:rPr>
                <w:rFonts w:ascii="Arial" w:eastAsia="Arial" w:hAnsi="Arial" w:cs="Arial"/>
                <w:sz w:val="18"/>
              </w:rPr>
              <w:t xml:space="preserve">Homozygote si les deux allèles sont identiques : (A//A) Hétérozygote si les deux allèles sont différents : (A//a) </w:t>
            </w:r>
          </w:p>
          <w:p w14:paraId="17332B0D" w14:textId="77777777" w:rsidR="007915EB" w:rsidRDefault="002C64D2">
            <w:pPr>
              <w:spacing w:after="1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1073DC8" w14:textId="77777777" w:rsidR="007915EB" w:rsidRDefault="002C64D2">
            <w:pPr>
              <w:numPr>
                <w:ilvl w:val="0"/>
                <w:numId w:val="3"/>
              </w:numPr>
              <w:spacing w:line="271" w:lineRule="auto"/>
            </w:pPr>
            <w:r>
              <w:rPr>
                <w:rFonts w:ascii="Arial" w:eastAsia="Arial" w:hAnsi="Arial" w:cs="Arial"/>
                <w:sz w:val="18"/>
              </w:rPr>
              <w:t xml:space="preserve">Un allèle est dominant s’il permet l’expression du phénotype en étant présent seulement en un seul exemplaire. - Un allèle est récessif si pour s’exprimer il doit être présent en 2 exemplaires. - On parle de codominance quand les deux allèles s’expriment en même temps </w:t>
            </w:r>
          </w:p>
          <w:p w14:paraId="2DD9F401" w14:textId="77777777" w:rsidR="007915EB" w:rsidRDefault="002C64D2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D7295BE" w14:textId="77777777" w:rsidR="007915EB" w:rsidRDefault="002C64D2">
            <w:r>
              <w:rPr>
                <w:rFonts w:ascii="Arial" w:eastAsia="Arial" w:hAnsi="Arial" w:cs="Arial"/>
                <w:b/>
                <w:sz w:val="18"/>
              </w:rPr>
              <w:t xml:space="preserve">III-Les phénotypes : </w:t>
            </w:r>
          </w:p>
          <w:p w14:paraId="4FE76986" w14:textId="77777777" w:rsidR="007915EB" w:rsidRDefault="002C64D2">
            <w:r>
              <w:rPr>
                <w:rFonts w:ascii="Arial" w:eastAsia="Arial" w:hAnsi="Arial" w:cs="Arial"/>
                <w:sz w:val="18"/>
              </w:rPr>
              <w:t xml:space="preserve">    On place entre crochets la lettre correspondant à l'allèle qui s'exprime. </w:t>
            </w:r>
          </w:p>
          <w:p w14:paraId="7BC808CD" w14:textId="77777777" w:rsidR="007915EB" w:rsidRDefault="002C64D2">
            <w:pPr>
              <w:spacing w:after="32" w:line="239" w:lineRule="auto"/>
              <w:ind w:right="5925"/>
            </w:pPr>
            <w:r>
              <w:rPr>
                <w:rFonts w:ascii="Arial" w:eastAsia="Arial" w:hAnsi="Arial" w:cs="Arial"/>
                <w:sz w:val="18"/>
              </w:rPr>
              <w:t xml:space="preserve">              </w:t>
            </w:r>
            <w:r>
              <w:rPr>
                <w:rFonts w:ascii="Arial" w:eastAsia="Arial" w:hAnsi="Arial" w:cs="Arial"/>
                <w:sz w:val="18"/>
                <w:u w:val="single" w:color="000000"/>
              </w:rPr>
              <w:t xml:space="preserve">Exemple </w:t>
            </w:r>
            <w:r>
              <w:rPr>
                <w:rFonts w:ascii="Arial" w:eastAsia="Arial" w:hAnsi="Arial" w:cs="Arial"/>
                <w:sz w:val="18"/>
              </w:rPr>
              <w:t>: [A] si le phénotype est rouge (sauvage)                                [a] si le phénotype est blanc (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muté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) </w:t>
            </w:r>
          </w:p>
          <w:p w14:paraId="4406997B" w14:textId="77777777" w:rsidR="007915EB" w:rsidRDefault="002C64D2">
            <w:pPr>
              <w:spacing w:line="239" w:lineRule="auto"/>
              <w:ind w:right="4032"/>
            </w:pPr>
            <w:r>
              <w:rPr>
                <w:rFonts w:ascii="Arial" w:eastAsia="Arial" w:hAnsi="Arial" w:cs="Arial"/>
                <w:sz w:val="18"/>
              </w:rPr>
              <w:t xml:space="preserve">      Dans le cas d’une codominance on note entre crochets les deux allèles.                </w:t>
            </w:r>
            <w:r>
              <w:rPr>
                <w:rFonts w:ascii="Arial" w:eastAsia="Arial" w:hAnsi="Arial" w:cs="Arial"/>
                <w:sz w:val="18"/>
                <w:u w:val="single" w:color="000000"/>
              </w:rPr>
              <w:t xml:space="preserve">Exemple </w:t>
            </w:r>
            <w:r>
              <w:rPr>
                <w:rFonts w:ascii="Arial" w:eastAsia="Arial" w:hAnsi="Arial" w:cs="Arial"/>
                <w:sz w:val="18"/>
              </w:rPr>
              <w:t xml:space="preserve">: [AB] pour le groupe sanguin AB </w:t>
            </w:r>
          </w:p>
          <w:p w14:paraId="4C3AEB02" w14:textId="77777777" w:rsidR="007915EB" w:rsidRDefault="002C64D2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1414DD68" w14:textId="77777777" w:rsidR="007915EB" w:rsidRDefault="002C64D2">
      <w:pPr>
        <w:spacing w:after="123"/>
        <w:ind w:left="55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7F7EA3B6" w14:textId="77777777" w:rsidR="007915EB" w:rsidRDefault="002C64D2">
      <w:pPr>
        <w:numPr>
          <w:ilvl w:val="0"/>
          <w:numId w:val="1"/>
        </w:numPr>
        <w:spacing w:after="112" w:line="250" w:lineRule="auto"/>
        <w:ind w:hanging="360"/>
      </w:pPr>
      <w:r>
        <w:rPr>
          <w:rFonts w:ascii="Arial" w:eastAsia="Arial" w:hAnsi="Arial" w:cs="Arial"/>
          <w:b/>
          <w:sz w:val="20"/>
        </w:rPr>
        <w:t xml:space="preserve">Proposer une démarche expérimentale en vous aidant des documents du verso et du diaporama 1 qui permettrait de donner le génotype de ces individus avec certitude. </w:t>
      </w:r>
    </w:p>
    <w:p w14:paraId="385B8184" w14:textId="77777777" w:rsidR="007915EB" w:rsidRDefault="002C64D2">
      <w:pPr>
        <w:spacing w:after="0"/>
        <w:ind w:left="775"/>
      </w:pPr>
      <w:r>
        <w:rPr>
          <w:rFonts w:ascii="Arial" w:eastAsia="Arial" w:hAnsi="Arial" w:cs="Arial"/>
          <w:b/>
          <w:sz w:val="20"/>
        </w:rPr>
        <w:lastRenderedPageBreak/>
        <w:t xml:space="preserve"> </w:t>
      </w:r>
    </w:p>
    <w:p w14:paraId="29847D4C" w14:textId="77777777" w:rsidR="007915EB" w:rsidRDefault="002C64D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6" w:line="221" w:lineRule="auto"/>
        <w:ind w:left="-5" w:right="40" w:hanging="10"/>
      </w:pPr>
      <w:r>
        <w:rPr>
          <w:rFonts w:ascii="Arial" w:eastAsia="Arial" w:hAnsi="Arial" w:cs="Arial"/>
          <w:b/>
          <w:color w:val="002A45"/>
          <w:sz w:val="20"/>
          <w:u w:val="single" w:color="002A45"/>
        </w:rPr>
        <w:t>Principe de l’électrophorèse :</w:t>
      </w:r>
      <w:r>
        <w:rPr>
          <w:rFonts w:ascii="Arial" w:eastAsia="Arial" w:hAnsi="Arial" w:cs="Arial"/>
          <w:color w:val="002A45"/>
          <w:sz w:val="20"/>
        </w:rPr>
        <w:t xml:space="preserve"> Des particules ayant une charge électrique et soumises à l’action d’un champ électrique se déplacent dans la direction du champ vers le pôle de signe opposé à leur charge, à une vitesse proportionnelle à cette charge. </w:t>
      </w:r>
      <w:r>
        <w:rPr>
          <w:rFonts w:ascii="Arial" w:eastAsia="Arial" w:hAnsi="Arial" w:cs="Arial"/>
          <w:b/>
          <w:sz w:val="37"/>
          <w:vertAlign w:val="superscript"/>
        </w:rPr>
        <w:t xml:space="preserve"> </w:t>
      </w:r>
      <w:r>
        <w:rPr>
          <w:rFonts w:ascii="Arial" w:eastAsia="Arial" w:hAnsi="Arial" w:cs="Arial"/>
          <w:b/>
          <w:sz w:val="37"/>
          <w:vertAlign w:val="superscript"/>
        </w:rPr>
        <w:tab/>
      </w:r>
      <w:r>
        <w:rPr>
          <w:rFonts w:ascii="Arial" w:eastAsia="Arial" w:hAnsi="Arial" w:cs="Arial"/>
          <w:color w:val="002A45"/>
          <w:sz w:val="20"/>
        </w:rPr>
        <w:t xml:space="preserve"> </w:t>
      </w:r>
    </w:p>
    <w:p w14:paraId="5AC78601" w14:textId="77777777" w:rsidR="007915EB" w:rsidRDefault="002C64D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3" w:line="285" w:lineRule="auto"/>
        <w:ind w:left="-5" w:right="40" w:hanging="10"/>
      </w:pPr>
      <w:r>
        <w:rPr>
          <w:rFonts w:ascii="Arial" w:eastAsia="Arial" w:hAnsi="Arial" w:cs="Arial"/>
          <w:color w:val="002A45"/>
          <w:sz w:val="20"/>
        </w:rPr>
        <w:t xml:space="preserve">Des molécules chargées dans le tampon comme les protéines ou les acides nucléiques (ADN, ARN) peuvent être 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color w:val="002A45"/>
          <w:sz w:val="31"/>
          <w:vertAlign w:val="superscript"/>
        </w:rPr>
        <w:t>séparées de cette manière.</w:t>
      </w:r>
      <w:r>
        <w:rPr>
          <w:rFonts w:ascii="Arial" w:eastAsia="Arial" w:hAnsi="Arial" w:cs="Arial"/>
          <w:b/>
          <w:sz w:val="21"/>
          <w:vertAlign w:val="subscript"/>
        </w:rPr>
        <w:t xml:space="preserve">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b/>
          <w:sz w:val="21"/>
          <w:vertAlign w:val="subscript"/>
        </w:rPr>
        <w:t xml:space="preserve"> </w:t>
      </w:r>
      <w:r>
        <w:rPr>
          <w:rFonts w:ascii="Arial" w:eastAsia="Arial" w:hAnsi="Arial" w:cs="Arial"/>
          <w:b/>
          <w:sz w:val="14"/>
        </w:rPr>
        <w:t xml:space="preserve">          </w:t>
      </w:r>
      <w:r>
        <w:rPr>
          <w:rFonts w:ascii="Arial" w:eastAsia="Arial" w:hAnsi="Arial" w:cs="Arial"/>
          <w:b/>
          <w:i/>
          <w:sz w:val="14"/>
        </w:rPr>
        <w:t xml:space="preserve">Localisation du gène « CFTR » impliqué dans la mucoviscidose </w:t>
      </w:r>
    </w:p>
    <w:p w14:paraId="336CB373" w14:textId="77777777" w:rsidR="007915EB" w:rsidRDefault="002C64D2">
      <w:pPr>
        <w:spacing w:after="103"/>
        <w:ind w:right="566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AAA097" wp14:editId="7EDFB092">
                <wp:simplePos x="0" y="0"/>
                <wp:positionH relativeFrom="column">
                  <wp:posOffset>3947033</wp:posOffset>
                </wp:positionH>
                <wp:positionV relativeFrom="paragraph">
                  <wp:posOffset>-103377</wp:posOffset>
                </wp:positionV>
                <wp:extent cx="3105150" cy="4100703"/>
                <wp:effectExtent l="0" t="0" r="0" b="0"/>
                <wp:wrapSquare wrapText="bothSides"/>
                <wp:docPr id="3628" name="Group 3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0" cy="4100703"/>
                          <a:chOff x="0" y="0"/>
                          <a:chExt cx="3105150" cy="4100703"/>
                        </a:xfrm>
                      </wpg:grpSpPr>
                      <pic:pic xmlns:pic="http://schemas.openxmlformats.org/drawingml/2006/picture">
                        <pic:nvPicPr>
                          <pic:cNvPr id="428" name="Picture 4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0"/>
                            <a:ext cx="2628265" cy="2133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0" name="Picture 4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176653"/>
                            <a:ext cx="3105150" cy="1924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628" style="width:244.5pt;height:322.89pt;position:absolute;mso-position-horizontal-relative:text;mso-position-horizontal:absolute;margin-left:310.79pt;mso-position-vertical-relative:text;margin-top:-8.13997pt;" coordsize="31051,41007">
                <v:shape id="Picture 428" style="position:absolute;width:26282;height:21336;left:3905;top:0;" filled="f">
                  <v:imagedata r:id="rId8"/>
                </v:shape>
                <v:shape id="Picture 430" style="position:absolute;width:31051;height:19240;left:0;top:21766;" filled="f">
                  <v:imagedata r:id="rId9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685CAA5" wp14:editId="35BC14A7">
                <wp:extent cx="3256788" cy="2078990"/>
                <wp:effectExtent l="0" t="0" r="0" b="0"/>
                <wp:docPr id="3627" name="Group 3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6788" cy="2078990"/>
                          <a:chOff x="0" y="0"/>
                          <a:chExt cx="3256788" cy="2078990"/>
                        </a:xfrm>
                      </wpg:grpSpPr>
                      <pic:pic xmlns:pic="http://schemas.openxmlformats.org/drawingml/2006/picture">
                        <pic:nvPicPr>
                          <pic:cNvPr id="376" name="Picture 3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788" cy="2078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3" name="Rectangle 423"/>
                        <wps:cNvSpPr/>
                        <wps:spPr>
                          <a:xfrm>
                            <a:off x="1289177" y="701040"/>
                            <a:ext cx="45321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4C52B" w14:textId="77777777" w:rsidR="007915EB" w:rsidRDefault="002C64D2">
                              <w:r>
                                <w:rPr>
                                  <w:sz w:val="24"/>
                                </w:rPr>
                                <w:t>Porte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1629029" y="701040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6D65B" w14:textId="77777777" w:rsidR="007915EB" w:rsidRDefault="002C64D2"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1676273" y="701040"/>
                            <a:ext cx="74550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2FEDE" w14:textId="77777777" w:rsidR="007915EB" w:rsidRDefault="002C64D2">
                              <w:proofErr w:type="gramStart"/>
                              <w:r>
                                <w:rPr>
                                  <w:sz w:val="24"/>
                                </w:rPr>
                                <w:t>gel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et gel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2235962" y="7010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E380B" w14:textId="77777777" w:rsidR="007915EB" w:rsidRDefault="002C64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85CAA5" id="Group 3627" o:spid="_x0000_s1026" style="width:256.45pt;height:163.7pt;mso-position-horizontal-relative:char;mso-position-vertical-relative:line" coordsize="32567,20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6" o:spid="_x0000_s1027" type="#_x0000_t75" style="position:absolute;width:32567;height:2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">
                  <v:imagedata r:id="rId11" o:title=""/>
                </v:shape>
                <v:rect id="Rectangle 423" o:spid="_x0000_s1028" style="position:absolute;left:12891;top:7010;width:453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3Z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AZMo3ZxQAAANwAAAAP&#10;AAAAAAAAAAAAAAAAAAcCAABkcnMvZG93bnJldi54bWxQSwUGAAAAAAMAAwC3AAAA+QIAAAAA&#10;" filled="f" stroked="f">
                  <v:textbox inset="0,0,0,0">
                    <w:txbxContent>
                      <w:p w14:paraId="6AB4C52B" w14:textId="77777777" w:rsidR="007915EB" w:rsidRDefault="002C64D2">
                        <w:r>
                          <w:rPr>
                            <w:sz w:val="24"/>
                          </w:rPr>
                          <w:t>Porte</w:t>
                        </w:r>
                      </w:p>
                    </w:txbxContent>
                  </v:textbox>
                </v:rect>
                <v:rect id="Rectangle 424" o:spid="_x0000_s1029" style="position:absolute;left:16290;top:7010;width:62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Wt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ltsVrcYAAADcAAAA&#10;DwAAAAAAAAAAAAAAAAAHAgAAZHJzL2Rvd25yZXYueG1sUEsFBgAAAAADAAMAtwAAAPoCAAAAAA==&#10;" filled="f" stroked="f">
                  <v:textbox inset="0,0,0,0">
                    <w:txbxContent>
                      <w:p w14:paraId="0B56D65B" w14:textId="77777777" w:rsidR="007915EB" w:rsidRDefault="002C64D2"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425" o:spid="_x0000_s1030" style="position:absolute;left:16762;top:7010;width:745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A2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D5l7A2xQAAANwAAAAP&#10;AAAAAAAAAAAAAAAAAAcCAABkcnMvZG93bnJldi54bWxQSwUGAAAAAAMAAwC3AAAA+QIAAAAA&#10;" filled="f" stroked="f">
                  <v:textbox inset="0,0,0,0">
                    <w:txbxContent>
                      <w:p w14:paraId="0982FEDE" w14:textId="77777777" w:rsidR="007915EB" w:rsidRDefault="002C64D2">
                        <w:r>
                          <w:rPr>
                            <w:sz w:val="24"/>
                          </w:rPr>
                          <w:t>gel et gel</w:t>
                        </w:r>
                      </w:p>
                    </w:txbxContent>
                  </v:textbox>
                </v:rect>
                <v:rect id="Rectangle 426" o:spid="_x0000_s1031" style="position:absolute;left:22359;top:701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5B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AlFLkHEAAAA3AAAAA8A&#10;AAAAAAAAAAAAAAAABwIAAGRycy9kb3ducmV2LnhtbFBLBQYAAAAAAwADALcAAAD4AgAAAAA=&#10;" filled="f" stroked="f">
                  <v:textbox inset="0,0,0,0">
                    <w:txbxContent>
                      <w:p w14:paraId="7DEE380B" w14:textId="77777777" w:rsidR="007915EB" w:rsidRDefault="002C64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C2D0982" w14:textId="77777777" w:rsidR="007915EB" w:rsidRDefault="002C64D2">
      <w:pPr>
        <w:spacing w:after="135"/>
        <w:ind w:left="55"/>
      </w:pPr>
      <w:r>
        <w:rPr>
          <w:rFonts w:ascii="Arial" w:eastAsia="Arial" w:hAnsi="Arial" w:cs="Arial"/>
          <w:b/>
          <w:sz w:val="24"/>
        </w:rPr>
        <w:t xml:space="preserve">                                                    </w:t>
      </w:r>
    </w:p>
    <w:p w14:paraId="16D2AC0D" w14:textId="77777777" w:rsidR="007915EB" w:rsidRDefault="002C64D2">
      <w:pPr>
        <w:numPr>
          <w:ilvl w:val="0"/>
          <w:numId w:val="1"/>
        </w:numPr>
        <w:spacing w:after="112" w:line="250" w:lineRule="auto"/>
        <w:ind w:hanging="360"/>
      </w:pPr>
      <w:r>
        <w:rPr>
          <w:rFonts w:ascii="Arial" w:eastAsia="Arial" w:hAnsi="Arial" w:cs="Arial"/>
          <w:b/>
          <w:sz w:val="20"/>
        </w:rPr>
        <w:t xml:space="preserve">Schématiser les résultats obtenus </w:t>
      </w:r>
      <w:r>
        <w:rPr>
          <w:rFonts w:ascii="Wingdings" w:eastAsia="Wingdings" w:hAnsi="Wingdings" w:cs="Wingdings"/>
          <w:sz w:val="20"/>
        </w:rPr>
        <w:t>→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2B1F30E3" w14:textId="77777777" w:rsidR="007915EB" w:rsidRDefault="002C64D2">
      <w:pPr>
        <w:numPr>
          <w:ilvl w:val="0"/>
          <w:numId w:val="1"/>
        </w:numPr>
        <w:spacing w:after="228" w:line="250" w:lineRule="auto"/>
        <w:ind w:hanging="360"/>
      </w:pPr>
      <w:r>
        <w:rPr>
          <w:rFonts w:ascii="Arial" w:eastAsia="Arial" w:hAnsi="Arial" w:cs="Arial"/>
          <w:b/>
          <w:sz w:val="20"/>
        </w:rPr>
        <w:t xml:space="preserve">Conclure concernant les 2 génotypes hypothétiques  </w:t>
      </w:r>
    </w:p>
    <w:p w14:paraId="66A336D9" w14:textId="77777777" w:rsidR="007915EB" w:rsidRDefault="002C64D2">
      <w:pPr>
        <w:spacing w:after="254" w:line="250" w:lineRule="auto"/>
        <w:ind w:left="778" w:hanging="10"/>
      </w:pPr>
      <w:r>
        <w:rPr>
          <w:rFonts w:ascii="Arial" w:eastAsia="Arial" w:hAnsi="Arial" w:cs="Arial"/>
          <w:b/>
          <w:sz w:val="20"/>
        </w:rPr>
        <w:t>(</w:t>
      </w:r>
      <w:proofErr w:type="gramStart"/>
      <w:r>
        <w:rPr>
          <w:rFonts w:ascii="Arial" w:eastAsia="Arial" w:hAnsi="Arial" w:cs="Arial"/>
          <w:b/>
          <w:sz w:val="20"/>
        </w:rPr>
        <w:t>individus</w:t>
      </w:r>
      <w:proofErr w:type="gramEnd"/>
      <w:r>
        <w:rPr>
          <w:rFonts w:ascii="Arial" w:eastAsia="Arial" w:hAnsi="Arial" w:cs="Arial"/>
          <w:b/>
          <w:sz w:val="20"/>
        </w:rPr>
        <w:t xml:space="preserve"> III5 et IV3) de l'arbre. </w:t>
      </w:r>
    </w:p>
    <w:p w14:paraId="1E7C207D" w14:textId="77777777" w:rsidR="007915EB" w:rsidRDefault="002C64D2">
      <w:pPr>
        <w:numPr>
          <w:ilvl w:val="0"/>
          <w:numId w:val="1"/>
        </w:numPr>
        <w:spacing w:after="31" w:line="250" w:lineRule="auto"/>
        <w:ind w:hanging="360"/>
      </w:pPr>
      <w:r>
        <w:rPr>
          <w:rFonts w:ascii="Arial" w:eastAsia="Arial" w:hAnsi="Arial" w:cs="Arial"/>
          <w:b/>
          <w:sz w:val="20"/>
        </w:rPr>
        <w:t xml:space="preserve">Schématiser le résultat d’une électrophorèse réalisée avec un individu homozygote « malade » </w:t>
      </w:r>
    </w:p>
    <w:p w14:paraId="1AF72657" w14:textId="77777777" w:rsidR="007915EB" w:rsidRDefault="002C64D2">
      <w:pPr>
        <w:spacing w:after="197"/>
        <w:ind w:left="55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686A3A9" w14:textId="77777777" w:rsidR="007915EB" w:rsidRDefault="002C64D2">
      <w:pPr>
        <w:pStyle w:val="Titre1"/>
        <w:ind w:left="50"/>
      </w:pPr>
      <w:r>
        <w:t>– Les différentes échelles d’expression d’une</w:t>
      </w:r>
      <w:r>
        <w:rPr>
          <w:u w:val="none"/>
        </w:rPr>
        <w:t xml:space="preserve"> </w:t>
      </w:r>
      <w:r>
        <w:t>mutation</w:t>
      </w:r>
      <w:r>
        <w:rPr>
          <w:u w:val="none"/>
        </w:rPr>
        <w:t xml:space="preserve">                        </w:t>
      </w:r>
    </w:p>
    <w:p w14:paraId="46414BE2" w14:textId="544BCFE2" w:rsidR="007915EB" w:rsidRDefault="002C64D2">
      <w:pPr>
        <w:spacing w:after="207" w:line="250" w:lineRule="auto"/>
        <w:ind w:left="65" w:hanging="10"/>
      </w:pPr>
      <w:r w:rsidRPr="00AF460B">
        <w:rPr>
          <w:rFonts w:ascii="Arial" w:eastAsia="Arial" w:hAnsi="Arial" w:cs="Arial"/>
          <w:b/>
          <w:sz w:val="20"/>
          <w:highlight w:val="yellow"/>
        </w:rPr>
        <w:t>En utilisant Anagène</w:t>
      </w:r>
      <w:r w:rsidR="00AF460B" w:rsidRPr="00AF460B">
        <w:rPr>
          <w:rFonts w:ascii="Arial" w:eastAsia="Arial" w:hAnsi="Arial" w:cs="Arial"/>
          <w:b/>
          <w:sz w:val="20"/>
          <w:highlight w:val="yellow"/>
        </w:rPr>
        <w:t xml:space="preserve"> ou Géniegen2</w:t>
      </w:r>
      <w:r w:rsidRPr="00AF460B">
        <w:rPr>
          <w:rFonts w:ascii="Arial" w:eastAsia="Arial" w:hAnsi="Arial" w:cs="Arial"/>
          <w:b/>
          <w:sz w:val="20"/>
          <w:highlight w:val="yellow"/>
        </w:rPr>
        <w:t xml:space="preserve"> et le fichier </w:t>
      </w:r>
      <w:proofErr w:type="gramStart"/>
      <w:r w:rsidRPr="00AF460B">
        <w:rPr>
          <w:rFonts w:ascii="Arial" w:eastAsia="Arial" w:hAnsi="Arial" w:cs="Arial"/>
          <w:b/>
          <w:sz w:val="20"/>
          <w:highlight w:val="yellow"/>
        </w:rPr>
        <w:t>CFTR ,</w:t>
      </w:r>
      <w:proofErr w:type="gramEnd"/>
      <w:r w:rsidRPr="00AF460B">
        <w:rPr>
          <w:rFonts w:ascii="Arial" w:eastAsia="Arial" w:hAnsi="Arial" w:cs="Arial"/>
          <w:b/>
          <w:sz w:val="20"/>
          <w:highlight w:val="yellow"/>
        </w:rPr>
        <w:t xml:space="preserve"> ainsi que le document suivant :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 xml:space="preserve"> </w:t>
      </w:r>
    </w:p>
    <w:p w14:paraId="5208ED80" w14:textId="77777777" w:rsidR="007915EB" w:rsidRDefault="002C64D2">
      <w:pPr>
        <w:numPr>
          <w:ilvl w:val="0"/>
          <w:numId w:val="2"/>
        </w:numPr>
        <w:spacing w:after="230" w:line="250" w:lineRule="auto"/>
        <w:ind w:right="391" w:hanging="360"/>
      </w:pPr>
      <w:r>
        <w:rPr>
          <w:rFonts w:ascii="Arial" w:eastAsia="Arial" w:hAnsi="Arial" w:cs="Arial"/>
          <w:b/>
          <w:sz w:val="20"/>
        </w:rPr>
        <w:t xml:space="preserve">Préciser l’origine génétique de la mucoviscidose. </w:t>
      </w:r>
    </w:p>
    <w:p w14:paraId="3B8C1D85" w14:textId="77777777" w:rsidR="007915EB" w:rsidRDefault="002C64D2">
      <w:pPr>
        <w:numPr>
          <w:ilvl w:val="0"/>
          <w:numId w:val="2"/>
        </w:numPr>
        <w:spacing w:after="0" w:line="356" w:lineRule="auto"/>
        <w:ind w:right="391" w:hanging="360"/>
      </w:pPr>
      <w:r>
        <w:rPr>
          <w:rFonts w:ascii="Arial" w:eastAsia="Arial" w:hAnsi="Arial" w:cs="Arial"/>
          <w:b/>
          <w:sz w:val="20"/>
        </w:rPr>
        <w:t>Proposer un tableau afin de préciser les différentes échelles d'études d'un phénotype (moléculaire, cellulaire. Physiologique et/ou macroscopique) 8- Expliquer pourquoi les hétérozygotes ne sont pas malades.</w:t>
      </w:r>
      <w:r>
        <w:rPr>
          <w:rFonts w:ascii="Verdana" w:eastAsia="Verdana" w:hAnsi="Verdana" w:cs="Verdana"/>
          <w:b/>
          <w:sz w:val="20"/>
        </w:rPr>
        <w:t xml:space="preserve">                                 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09553EE0" w14:textId="77777777" w:rsidR="007915EB" w:rsidRDefault="002C64D2">
      <w:pPr>
        <w:spacing w:after="0"/>
        <w:ind w:left="1607"/>
      </w:pPr>
      <w:r>
        <w:rPr>
          <w:noProof/>
        </w:rPr>
        <w:drawing>
          <wp:inline distT="0" distB="0" distL="0" distR="0" wp14:anchorId="0B71160D" wp14:editId="0C6799DD">
            <wp:extent cx="5308601" cy="3582671"/>
            <wp:effectExtent l="0" t="0" r="0" b="0"/>
            <wp:docPr id="434" name="Picture 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Picture 43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08601" cy="358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9DCC3" w14:textId="77777777" w:rsidR="007915EB" w:rsidRDefault="002C64D2">
      <w:pPr>
        <w:spacing w:after="235"/>
        <w:ind w:left="55"/>
      </w:pPr>
      <w:r>
        <w:lastRenderedPageBreak/>
        <w:t xml:space="preserve"> </w:t>
      </w:r>
    </w:p>
    <w:p w14:paraId="6076DFF5" w14:textId="77777777" w:rsidR="007915EB" w:rsidRDefault="002C64D2">
      <w:pPr>
        <w:pStyle w:val="Titre1"/>
        <w:numPr>
          <w:ilvl w:val="0"/>
          <w:numId w:val="0"/>
        </w:numPr>
        <w:spacing w:after="81"/>
        <w:ind w:left="48"/>
        <w:jc w:val="center"/>
      </w:pPr>
      <w:r>
        <w:rPr>
          <w:sz w:val="30"/>
          <w:u w:val="none"/>
        </w:rPr>
        <w:t xml:space="preserve">Exercice de monohybridisme (croisements concernant un seul gène) </w:t>
      </w:r>
    </w:p>
    <w:p w14:paraId="4B7A9FE8" w14:textId="77777777" w:rsidR="007915EB" w:rsidRDefault="002C64D2">
      <w:pPr>
        <w:spacing w:after="208"/>
        <w:ind w:left="55"/>
      </w:pPr>
      <w:r>
        <w:rPr>
          <w:rFonts w:ascii="Arial" w:eastAsia="Arial" w:hAnsi="Arial" w:cs="Arial"/>
        </w:rPr>
        <w:t xml:space="preserve"> </w:t>
      </w:r>
    </w:p>
    <w:p w14:paraId="3A556252" w14:textId="77777777" w:rsidR="007915EB" w:rsidRDefault="002C64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1" w:line="257" w:lineRule="auto"/>
        <w:ind w:left="55"/>
      </w:pPr>
      <w:r>
        <w:rPr>
          <w:rFonts w:ascii="Arial" w:eastAsia="Arial" w:hAnsi="Arial" w:cs="Arial"/>
          <w:b/>
        </w:rPr>
        <w:t>Question :</w:t>
      </w:r>
      <w:r>
        <w:rPr>
          <w:rFonts w:ascii="Arial" w:eastAsia="Arial" w:hAnsi="Arial" w:cs="Arial"/>
        </w:rPr>
        <w:t xml:space="preserve"> A l’aide des conventions d’écriture proposées ci-dessus, </w:t>
      </w:r>
      <w:r>
        <w:rPr>
          <w:rFonts w:ascii="Arial" w:eastAsia="Arial" w:hAnsi="Arial" w:cs="Arial"/>
          <w:b/>
        </w:rPr>
        <w:t xml:space="preserve">expliquer </w:t>
      </w:r>
      <w:r>
        <w:rPr>
          <w:rFonts w:ascii="Arial" w:eastAsia="Arial" w:hAnsi="Arial" w:cs="Arial"/>
        </w:rPr>
        <w:t xml:space="preserve">les résultats des croisements de souris proposés </w:t>
      </w:r>
    </w:p>
    <w:p w14:paraId="78A9B1DC" w14:textId="77777777" w:rsidR="007915EB" w:rsidRDefault="002C64D2">
      <w:pPr>
        <w:spacing w:after="98"/>
        <w:ind w:right="1363"/>
        <w:jc w:val="right"/>
      </w:pPr>
      <w:r>
        <w:rPr>
          <w:noProof/>
        </w:rPr>
        <w:drawing>
          <wp:inline distT="0" distB="0" distL="0" distR="0" wp14:anchorId="7D865C0B" wp14:editId="26860B02">
            <wp:extent cx="5133594" cy="3643630"/>
            <wp:effectExtent l="0" t="0" r="0" b="0"/>
            <wp:docPr id="477" name="Picture 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Picture 47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33594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1194F77" w14:textId="77777777" w:rsidR="007915EB" w:rsidRDefault="002C64D2">
      <w:pPr>
        <w:spacing w:after="158"/>
        <w:ind w:left="108"/>
        <w:jc w:val="center"/>
      </w:pPr>
      <w:r>
        <w:t xml:space="preserve"> </w:t>
      </w:r>
    </w:p>
    <w:p w14:paraId="630A5C86" w14:textId="77777777" w:rsidR="007915EB" w:rsidRDefault="002C64D2">
      <w:pPr>
        <w:ind w:left="55"/>
      </w:pPr>
      <w:r>
        <w:rPr>
          <w:rFonts w:ascii="Arial" w:eastAsia="Arial" w:hAnsi="Arial" w:cs="Arial"/>
          <w:i/>
        </w:rPr>
        <w:t xml:space="preserve">Deuxième série de croisements : </w:t>
      </w:r>
    </w:p>
    <w:p w14:paraId="1F8C67C9" w14:textId="77777777" w:rsidR="007915EB" w:rsidRDefault="002C64D2">
      <w:pPr>
        <w:spacing w:after="115"/>
        <w:ind w:left="108"/>
        <w:jc w:val="center"/>
      </w:pPr>
      <w:r>
        <w:t xml:space="preserve"> </w:t>
      </w:r>
    </w:p>
    <w:p w14:paraId="68763B18" w14:textId="77777777" w:rsidR="007915EB" w:rsidRDefault="002C64D2">
      <w:pPr>
        <w:spacing w:after="0"/>
        <w:ind w:right="1371"/>
        <w:jc w:val="right"/>
      </w:pPr>
      <w:r>
        <w:rPr>
          <w:noProof/>
        </w:rPr>
        <w:drawing>
          <wp:inline distT="0" distB="0" distL="0" distR="0" wp14:anchorId="7F610CB0" wp14:editId="4930A849">
            <wp:extent cx="6007989" cy="2538095"/>
            <wp:effectExtent l="0" t="0" r="0" b="0"/>
            <wp:docPr id="479" name="Picture 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Picture 47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07989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7915EB">
      <w:pgSz w:w="11906" w:h="16838"/>
      <w:pgMar w:top="241" w:right="426" w:bottom="436" w:left="5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3286"/>
    <w:multiLevelType w:val="hybridMultilevel"/>
    <w:tmpl w:val="1348243C"/>
    <w:lvl w:ilvl="0" w:tplc="673E1CA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C81AE">
      <w:start w:val="1"/>
      <w:numFmt w:val="bullet"/>
      <w:lvlText w:val="o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DE3152">
      <w:start w:val="1"/>
      <w:numFmt w:val="bullet"/>
      <w:lvlText w:val="▪"/>
      <w:lvlJc w:val="left"/>
      <w:pPr>
        <w:ind w:left="1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DAFFA0">
      <w:start w:val="1"/>
      <w:numFmt w:val="bullet"/>
      <w:lvlText w:val="•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DA7148">
      <w:start w:val="1"/>
      <w:numFmt w:val="bullet"/>
      <w:lvlText w:val="o"/>
      <w:lvlJc w:val="left"/>
      <w:pPr>
        <w:ind w:left="3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04EA8A">
      <w:start w:val="1"/>
      <w:numFmt w:val="bullet"/>
      <w:lvlText w:val="▪"/>
      <w:lvlJc w:val="left"/>
      <w:pPr>
        <w:ind w:left="4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2C56DA">
      <w:start w:val="1"/>
      <w:numFmt w:val="bullet"/>
      <w:lvlText w:val="•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5CE014">
      <w:start w:val="1"/>
      <w:numFmt w:val="bullet"/>
      <w:lvlText w:val="o"/>
      <w:lvlJc w:val="left"/>
      <w:pPr>
        <w:ind w:left="5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C4DEEC">
      <w:start w:val="1"/>
      <w:numFmt w:val="bullet"/>
      <w:lvlText w:val="▪"/>
      <w:lvlJc w:val="left"/>
      <w:pPr>
        <w:ind w:left="6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AF490C"/>
    <w:multiLevelType w:val="hybridMultilevel"/>
    <w:tmpl w:val="4CCEC87C"/>
    <w:lvl w:ilvl="0" w:tplc="C62030A8">
      <w:start w:val="1"/>
      <w:numFmt w:val="upperRoman"/>
      <w:pStyle w:val="Titre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E4D8D922">
      <w:start w:val="1"/>
      <w:numFmt w:val="lowerLetter"/>
      <w:lvlText w:val="%2"/>
      <w:lvlJc w:val="left"/>
      <w:pPr>
        <w:ind w:left="1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66868F8A">
      <w:start w:val="1"/>
      <w:numFmt w:val="lowerRoman"/>
      <w:lvlText w:val="%3"/>
      <w:lvlJc w:val="left"/>
      <w:pPr>
        <w:ind w:left="1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2100429E">
      <w:start w:val="1"/>
      <w:numFmt w:val="decimal"/>
      <w:lvlText w:val="%4"/>
      <w:lvlJc w:val="left"/>
      <w:pPr>
        <w:ind w:left="25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1A2ED378">
      <w:start w:val="1"/>
      <w:numFmt w:val="lowerLetter"/>
      <w:lvlText w:val="%5"/>
      <w:lvlJc w:val="left"/>
      <w:pPr>
        <w:ind w:left="3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3FB443E4">
      <w:start w:val="1"/>
      <w:numFmt w:val="lowerRoman"/>
      <w:lvlText w:val="%6"/>
      <w:lvlJc w:val="left"/>
      <w:pPr>
        <w:ind w:left="39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0E7E3D00">
      <w:start w:val="1"/>
      <w:numFmt w:val="decimal"/>
      <w:lvlText w:val="%7"/>
      <w:lvlJc w:val="left"/>
      <w:pPr>
        <w:ind w:left="4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A1CCABAA">
      <w:start w:val="1"/>
      <w:numFmt w:val="lowerLetter"/>
      <w:lvlText w:val="%8"/>
      <w:lvlJc w:val="left"/>
      <w:pPr>
        <w:ind w:left="5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10EA5E04">
      <w:start w:val="1"/>
      <w:numFmt w:val="lowerRoman"/>
      <w:lvlText w:val="%9"/>
      <w:lvlJc w:val="left"/>
      <w:pPr>
        <w:ind w:left="6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C14B8D"/>
    <w:multiLevelType w:val="hybridMultilevel"/>
    <w:tmpl w:val="43D8011A"/>
    <w:lvl w:ilvl="0" w:tplc="8294F78C">
      <w:start w:val="6"/>
      <w:numFmt w:val="decimal"/>
      <w:lvlText w:val="%1-"/>
      <w:lvlJc w:val="left"/>
      <w:pPr>
        <w:ind w:left="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867426">
      <w:start w:val="1"/>
      <w:numFmt w:val="lowerLetter"/>
      <w:lvlText w:val="%2"/>
      <w:lvlJc w:val="left"/>
      <w:pPr>
        <w:ind w:left="14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306532">
      <w:start w:val="1"/>
      <w:numFmt w:val="lowerRoman"/>
      <w:lvlText w:val="%3"/>
      <w:lvlJc w:val="left"/>
      <w:pPr>
        <w:ind w:left="22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A830AE">
      <w:start w:val="1"/>
      <w:numFmt w:val="decimal"/>
      <w:lvlText w:val="%4"/>
      <w:lvlJc w:val="left"/>
      <w:pPr>
        <w:ind w:left="29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FAE570">
      <w:start w:val="1"/>
      <w:numFmt w:val="lowerLetter"/>
      <w:lvlText w:val="%5"/>
      <w:lvlJc w:val="left"/>
      <w:pPr>
        <w:ind w:left="36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485A5C">
      <w:start w:val="1"/>
      <w:numFmt w:val="lowerRoman"/>
      <w:lvlText w:val="%6"/>
      <w:lvlJc w:val="left"/>
      <w:pPr>
        <w:ind w:left="43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34CF54">
      <w:start w:val="1"/>
      <w:numFmt w:val="decimal"/>
      <w:lvlText w:val="%7"/>
      <w:lvlJc w:val="left"/>
      <w:pPr>
        <w:ind w:left="50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B61068">
      <w:start w:val="1"/>
      <w:numFmt w:val="lowerLetter"/>
      <w:lvlText w:val="%8"/>
      <w:lvlJc w:val="left"/>
      <w:pPr>
        <w:ind w:left="58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CA8BF0">
      <w:start w:val="1"/>
      <w:numFmt w:val="lowerRoman"/>
      <w:lvlText w:val="%9"/>
      <w:lvlJc w:val="left"/>
      <w:pPr>
        <w:ind w:left="65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0A782F"/>
    <w:multiLevelType w:val="hybridMultilevel"/>
    <w:tmpl w:val="E30E123C"/>
    <w:lvl w:ilvl="0" w:tplc="0CEAEF9A">
      <w:start w:val="1"/>
      <w:numFmt w:val="decimal"/>
      <w:lvlText w:val="%1-"/>
      <w:lvlJc w:val="left"/>
      <w:pPr>
        <w:ind w:left="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949CEA">
      <w:start w:val="1"/>
      <w:numFmt w:val="lowerLetter"/>
      <w:lvlText w:val="%2"/>
      <w:lvlJc w:val="left"/>
      <w:pPr>
        <w:ind w:left="14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6092C2">
      <w:start w:val="1"/>
      <w:numFmt w:val="lowerRoman"/>
      <w:lvlText w:val="%3"/>
      <w:lvlJc w:val="left"/>
      <w:pPr>
        <w:ind w:left="21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D83E">
      <w:start w:val="1"/>
      <w:numFmt w:val="decimal"/>
      <w:lvlText w:val="%4"/>
      <w:lvlJc w:val="left"/>
      <w:pPr>
        <w:ind w:left="29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96E72A">
      <w:start w:val="1"/>
      <w:numFmt w:val="lowerLetter"/>
      <w:lvlText w:val="%5"/>
      <w:lvlJc w:val="left"/>
      <w:pPr>
        <w:ind w:left="36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429C72">
      <w:start w:val="1"/>
      <w:numFmt w:val="lowerRoman"/>
      <w:lvlText w:val="%6"/>
      <w:lvlJc w:val="left"/>
      <w:pPr>
        <w:ind w:left="43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3E9582">
      <w:start w:val="1"/>
      <w:numFmt w:val="decimal"/>
      <w:lvlText w:val="%7"/>
      <w:lvlJc w:val="left"/>
      <w:pPr>
        <w:ind w:left="50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CC8282">
      <w:start w:val="1"/>
      <w:numFmt w:val="lowerLetter"/>
      <w:lvlText w:val="%8"/>
      <w:lvlJc w:val="left"/>
      <w:pPr>
        <w:ind w:left="5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0613B0">
      <w:start w:val="1"/>
      <w:numFmt w:val="lowerRoman"/>
      <w:lvlText w:val="%9"/>
      <w:lvlJc w:val="left"/>
      <w:pPr>
        <w:ind w:left="6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EB"/>
    <w:rsid w:val="002C64D2"/>
    <w:rsid w:val="002F5F9F"/>
    <w:rsid w:val="007915EB"/>
    <w:rsid w:val="00A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68A7"/>
  <w15:docId w15:val="{4041E4F2-3592-43CC-B8B8-DAEFED02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numPr>
        <w:numId w:val="4"/>
      </w:numPr>
      <w:spacing w:after="121"/>
      <w:ind w:left="66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0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jph</dc:creator>
  <cp:keywords/>
  <cp:lastModifiedBy>HENON JEAN-PIERRE</cp:lastModifiedBy>
  <cp:revision>3</cp:revision>
  <dcterms:created xsi:type="dcterms:W3CDTF">2020-10-15T12:48:00Z</dcterms:created>
  <dcterms:modified xsi:type="dcterms:W3CDTF">2024-11-06T11:06:00Z</dcterms:modified>
</cp:coreProperties>
</file>