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CC3E" w14:textId="6A45B43C" w:rsidR="00EB1AEC" w:rsidRPr="00EB1AEC" w:rsidRDefault="00EB1AEC" w:rsidP="00EB1AEC">
      <w:pPr>
        <w:pStyle w:val="Sansinterligne"/>
        <w:jc w:val="center"/>
        <w:rPr>
          <w:b/>
          <w:bCs/>
          <w:sz w:val="24"/>
        </w:rPr>
      </w:pPr>
      <w:r w:rsidRPr="00EB1AEC">
        <w:rPr>
          <w:b/>
          <w:bCs/>
          <w:sz w:val="24"/>
        </w:rPr>
        <w:t>Devoir : La domestication du Maïs : de la Téosinte au Maïs</w:t>
      </w:r>
    </w:p>
    <w:p w14:paraId="0FB02FCE" w14:textId="77777777" w:rsidR="00EB1AEC" w:rsidRPr="00EB1AEC" w:rsidRDefault="00EB1AEC" w:rsidP="00EB1AEC">
      <w:pPr>
        <w:pStyle w:val="Sansinterligne"/>
        <w:rPr>
          <w:sz w:val="16"/>
        </w:rPr>
      </w:pPr>
    </w:p>
    <w:p w14:paraId="7526BE09" w14:textId="77777777" w:rsidR="00EB1AEC" w:rsidRPr="00EB1AEC" w:rsidRDefault="00EB1AEC" w:rsidP="00EB1AEC">
      <w:pPr>
        <w:pStyle w:val="Sansinterligne"/>
        <w:jc w:val="center"/>
        <w:rPr>
          <w:sz w:val="20"/>
        </w:rPr>
      </w:pPr>
      <w:r w:rsidRPr="00EB1AEC">
        <w:rPr>
          <w:b/>
          <w:sz w:val="20"/>
        </w:rPr>
        <w:t>Identifier</w:t>
      </w:r>
      <w:r w:rsidRPr="00EB1AEC">
        <w:rPr>
          <w:sz w:val="20"/>
        </w:rPr>
        <w:t xml:space="preserve"> le lieu, l’âge approximatif et les modifications génétiques à l’origine de la domestication du Maïs à partir de son ancêtre sauvage la Téosinte</w:t>
      </w:r>
    </w:p>
    <w:p w14:paraId="6A55550E" w14:textId="77777777" w:rsidR="00EB1AEC" w:rsidRPr="00EB1AEC" w:rsidRDefault="00EB1AEC" w:rsidP="00EB1AEC">
      <w:pPr>
        <w:pStyle w:val="Sansinterligne"/>
        <w:rPr>
          <w:b/>
          <w:bCs/>
          <w:sz w:val="16"/>
          <w:szCs w:val="16"/>
        </w:rPr>
      </w:pPr>
    </w:p>
    <w:p w14:paraId="66ACE89A" w14:textId="77777777" w:rsidR="00EB1AEC" w:rsidRPr="00EB1AEC" w:rsidRDefault="00EB1AEC" w:rsidP="00EB1AEC">
      <w:pPr>
        <w:pStyle w:val="Sansinterligne"/>
        <w:rPr>
          <w:b/>
          <w:bCs/>
          <w:sz w:val="20"/>
        </w:rPr>
      </w:pPr>
      <w:r w:rsidRPr="00EB1AEC">
        <w:rPr>
          <w:b/>
          <w:bCs/>
          <w:sz w:val="20"/>
        </w:rPr>
        <w:t>Question 1:</w:t>
      </w:r>
    </w:p>
    <w:p w14:paraId="12645914" w14:textId="77777777" w:rsidR="00EB1AEC" w:rsidRPr="00EB1AEC" w:rsidRDefault="00EB1AEC" w:rsidP="00EB1AEC">
      <w:pPr>
        <w:pStyle w:val="Sansinterligne"/>
        <w:rPr>
          <w:sz w:val="20"/>
        </w:rPr>
      </w:pPr>
      <w:r w:rsidRPr="00EB1AEC">
        <w:rPr>
          <w:b/>
          <w:sz w:val="20"/>
        </w:rPr>
        <w:t>Expliquer</w:t>
      </w:r>
      <w:r w:rsidRPr="00EB1AEC">
        <w:rPr>
          <w:sz w:val="20"/>
        </w:rPr>
        <w:t xml:space="preserve"> comment le lieu et l’âge de la domestication du Maïs ont été établis.</w:t>
      </w:r>
    </w:p>
    <w:p w14:paraId="2EBA14C8" w14:textId="77777777" w:rsidR="00EB1AEC" w:rsidRPr="00EB1AEC" w:rsidRDefault="00C00825" w:rsidP="00EB1AEC">
      <w:pPr>
        <w:pStyle w:val="Sansinterligne"/>
        <w:rPr>
          <w:sz w:val="16"/>
          <w:szCs w:val="16"/>
        </w:rPr>
      </w:pPr>
      <w:r>
        <w:rPr>
          <w:b/>
          <w:bCs/>
          <w:noProof/>
          <w:sz w:val="20"/>
          <w:lang w:eastAsia="fr-FR"/>
        </w:rPr>
        <w:pict w14:anchorId="36FB27B6">
          <v:rect id="_x0000_s1026" style="position:absolute;margin-left:-6.75pt;margin-top:5.5pt;width:538.6pt;height:138.9pt;z-index:251663360" filled="f">
            <v:stroke dashstyle="longDash"/>
          </v:rect>
        </w:pict>
      </w:r>
    </w:p>
    <w:p w14:paraId="33BBFF32" w14:textId="77777777" w:rsidR="00EB1AEC" w:rsidRPr="00EB1AEC" w:rsidRDefault="00EB1AEC" w:rsidP="00EB1AEC">
      <w:pPr>
        <w:pStyle w:val="Sansinterligne"/>
        <w:rPr>
          <w:b/>
          <w:bCs/>
          <w:sz w:val="20"/>
        </w:rPr>
      </w:pPr>
      <w:r w:rsidRPr="00EB1AEC">
        <w:rPr>
          <w:b/>
          <w:bCs/>
          <w:sz w:val="20"/>
        </w:rPr>
        <w:t>Document 1 :</w:t>
      </w:r>
    </w:p>
    <w:p w14:paraId="4E39E007" w14:textId="77777777" w:rsidR="00EB1AEC" w:rsidRPr="00EB1AEC" w:rsidRDefault="00EB1AEC" w:rsidP="00EB1AEC">
      <w:pPr>
        <w:pStyle w:val="Sansinterligne"/>
        <w:rPr>
          <w:sz w:val="20"/>
        </w:rPr>
      </w:pPr>
      <w:r w:rsidRPr="00EB1AEC">
        <w:rPr>
          <w:sz w:val="20"/>
        </w:rPr>
        <w:t xml:space="preserve">Au début du XXe siècle, un botaniste, le Russe Nicolaï Ivanovich Vavilov, parcourt le monde à la recherche de plantes cultivables utiles. Au cours de ses voyages, il comprend que la zone d'origine d'une plante est probablement celle où poussent le plus grand nombre de variétés de celle-ci. En suivant ce raisonnement, il situe en particulier l'origine du maïs en Mésoamérique (du Mexique au Costa-Rica). Après Vavilov, plusieurs botanistes américains s'intéressent à l'origine du maïs, et certains émettent l'hypothèse que son ancêtre sauvage est la Téosinte, une plante fourragère qui pousse notamment au Mexique et au Guatemala. Dolores Piperno, de la </w:t>
      </w:r>
      <w:proofErr w:type="spellStart"/>
      <w:r w:rsidRPr="00EB1AEC">
        <w:rPr>
          <w:sz w:val="20"/>
        </w:rPr>
        <w:t>Smithsonian</w:t>
      </w:r>
      <w:proofErr w:type="spellEnd"/>
      <w:r w:rsidRPr="00EB1AEC">
        <w:rPr>
          <w:sz w:val="20"/>
        </w:rPr>
        <w:t xml:space="preserve"> Institution, et Kent Flannery, de l'université du Michigan, ont daté de 4250 avant notre ère environ trois spécimens de maïs très primitifs trouvés à Guila Naquitz, un abri sous roche de la vallée d'Oaxaca au Mexique. Le rachis rigide de ces trois spécimens prouve, sans contestation possible, qu'ils appartiennent à une espèce qui dépend de l'homme pour sa survie. La domestication de la Téosinte était donc déjà bien avancée il y a plus de 6 000 ans.</w:t>
      </w:r>
    </w:p>
    <w:p w14:paraId="1D545598" w14:textId="77777777" w:rsidR="00EB1AEC" w:rsidRPr="00EB1AEC" w:rsidRDefault="00EB1AEC" w:rsidP="00EB1AEC">
      <w:pPr>
        <w:pStyle w:val="Sansinterligne"/>
        <w:jc w:val="right"/>
        <w:rPr>
          <w:i/>
          <w:sz w:val="18"/>
        </w:rPr>
      </w:pPr>
      <w:r w:rsidRPr="00EB1AEC">
        <w:rPr>
          <w:i/>
          <w:sz w:val="18"/>
        </w:rPr>
        <w:t>www.larecherche.fr/content/recherche/article?id=12260</w:t>
      </w:r>
    </w:p>
    <w:p w14:paraId="47647505" w14:textId="77777777" w:rsidR="00EB1AEC" w:rsidRPr="00EB1AEC" w:rsidRDefault="00EB1AEC" w:rsidP="00EB1AEC">
      <w:pPr>
        <w:pStyle w:val="Sansinterligne"/>
        <w:rPr>
          <w:b/>
          <w:bCs/>
          <w:sz w:val="20"/>
        </w:rPr>
      </w:pPr>
      <w:r w:rsidRPr="00EB1AEC">
        <w:rPr>
          <w:b/>
          <w:bCs/>
          <w:sz w:val="20"/>
        </w:rPr>
        <w:t>Question 2:</w:t>
      </w:r>
    </w:p>
    <w:p w14:paraId="73EA219F" w14:textId="77777777" w:rsidR="00EB1AEC" w:rsidRPr="00EB1AEC" w:rsidRDefault="00EB1AEC" w:rsidP="00EB1AEC">
      <w:pPr>
        <w:pStyle w:val="Sansinterligne"/>
        <w:rPr>
          <w:sz w:val="20"/>
        </w:rPr>
      </w:pPr>
      <w:r w:rsidRPr="00EB1AEC">
        <w:rPr>
          <w:sz w:val="20"/>
        </w:rPr>
        <w:t xml:space="preserve">Identifier le nombre de gènes impliqués dans la domestication du Maïs en utilisant la méthode de George Beadle puis préciser ces conclusions à l’aide la carte génétique établie par M John Doebley </w:t>
      </w:r>
    </w:p>
    <w:p w14:paraId="7818C4AC" w14:textId="77777777" w:rsidR="00EB1AEC" w:rsidRPr="00EB1AEC" w:rsidRDefault="00C00825" w:rsidP="00EB1AEC">
      <w:pPr>
        <w:pStyle w:val="Sansinterligne"/>
      </w:pPr>
      <w:r>
        <w:rPr>
          <w:b/>
          <w:bCs/>
          <w:noProof/>
          <w:sz w:val="20"/>
          <w:lang w:eastAsia="fr-FR"/>
        </w:rPr>
        <w:pict w14:anchorId="5C2F54B2">
          <v:rect id="_x0000_s1027" style="position:absolute;margin-left:-5.25pt;margin-top:10.2pt;width:538.6pt;height:104.25pt;z-index:251664384" filled="f">
            <v:stroke dashstyle="longDash"/>
          </v:rect>
        </w:pict>
      </w:r>
    </w:p>
    <w:p w14:paraId="693DFAAF" w14:textId="77777777" w:rsidR="00EB1AEC" w:rsidRPr="00EB1AEC" w:rsidRDefault="00EB1AEC" w:rsidP="00EB1AEC">
      <w:pPr>
        <w:pStyle w:val="Sansinterligne"/>
        <w:rPr>
          <w:b/>
          <w:bCs/>
          <w:sz w:val="20"/>
        </w:rPr>
      </w:pPr>
      <w:r w:rsidRPr="00EB1AEC">
        <w:rPr>
          <w:b/>
          <w:bCs/>
          <w:sz w:val="20"/>
        </w:rPr>
        <w:t>Document 2 : La position et le nombre de gènes impliqués dans les différences morphologiques entre la Téosinte et le Maïs</w:t>
      </w:r>
    </w:p>
    <w:p w14:paraId="09C703B0" w14:textId="77777777" w:rsidR="00EB1AEC" w:rsidRPr="00EB1AEC" w:rsidRDefault="00EB1AEC" w:rsidP="00EB1AEC">
      <w:pPr>
        <w:pStyle w:val="Sansinterligne"/>
        <w:rPr>
          <w:sz w:val="20"/>
        </w:rPr>
      </w:pPr>
      <w:r w:rsidRPr="00EB1AEC">
        <w:rPr>
          <w:sz w:val="20"/>
        </w:rPr>
        <w:t>Dans les années 1930, le généticien George Beadle en apporte les premiers indices : en croisant les deux plantes, il obtient des hybrides fertiles. Dans les années 1970, il collecte plus de 70 kilogrammes de graines de Téosinte, Il utilise ces graines dans des cultures expérimentales, où il réalise des milliers de croisements, grâce auxquels il conclut le nombre de gènes impliqués dans les différences morphologiques entre la Téosinte et le Maïs. A partir des années 1980, John Doebley, aujourd'hui à l'université du Minnesota, entreprend des études génétiques qui confirment et précisent les conclusions de Beadle.</w:t>
      </w:r>
    </w:p>
    <w:p w14:paraId="32E530EF" w14:textId="77777777" w:rsidR="00EB1AEC" w:rsidRPr="00EB1AEC" w:rsidRDefault="00EB1AEC" w:rsidP="00EB1AEC">
      <w:pPr>
        <w:pStyle w:val="Sansinterligne"/>
        <w:jc w:val="right"/>
        <w:rPr>
          <w:i/>
          <w:sz w:val="18"/>
        </w:rPr>
      </w:pPr>
      <w:r w:rsidRPr="00EB1AEC">
        <w:rPr>
          <w:i/>
          <w:sz w:val="18"/>
        </w:rPr>
        <w:t>www.larecherche.fr/content/recherche/article?id=12260</w:t>
      </w:r>
    </w:p>
    <w:p w14:paraId="1D930AEE" w14:textId="77777777" w:rsidR="00EB1AEC" w:rsidRPr="00EB1AEC" w:rsidRDefault="00EB1AEC" w:rsidP="00EB1AEC">
      <w:pPr>
        <w:pStyle w:val="Sansinterligne"/>
        <w:rPr>
          <w:b/>
          <w:bCs/>
          <w:sz w:val="20"/>
        </w:rPr>
      </w:pPr>
      <w:r w:rsidRPr="00EB1AEC">
        <w:rPr>
          <w:b/>
          <w:bCs/>
          <w:noProof/>
          <w:sz w:val="20"/>
          <w:lang w:eastAsia="fr-FR"/>
        </w:rPr>
        <w:drawing>
          <wp:anchor distT="0" distB="0" distL="114300" distR="114300" simplePos="0" relativeHeight="251659264" behindDoc="0" locked="0" layoutInCell="1" allowOverlap="1" wp14:anchorId="1ED119DE" wp14:editId="56DA0E06">
            <wp:simplePos x="0" y="0"/>
            <wp:positionH relativeFrom="column">
              <wp:posOffset>3895725</wp:posOffset>
            </wp:positionH>
            <wp:positionV relativeFrom="paragraph">
              <wp:posOffset>33655</wp:posOffset>
            </wp:positionV>
            <wp:extent cx="3076575" cy="2838450"/>
            <wp:effectExtent l="19050" t="0" r="9525"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bright="-10000" contrast="40000"/>
                    </a:blip>
                    <a:srcRect/>
                    <a:stretch>
                      <a:fillRect/>
                    </a:stretch>
                  </pic:blipFill>
                  <pic:spPr bwMode="auto">
                    <a:xfrm>
                      <a:off x="0" y="0"/>
                      <a:ext cx="3076575" cy="2838450"/>
                    </a:xfrm>
                    <a:prstGeom prst="rect">
                      <a:avLst/>
                    </a:prstGeom>
                    <a:noFill/>
                    <a:ln w="9525">
                      <a:noFill/>
                      <a:miter lim="800000"/>
                      <a:headEnd/>
                      <a:tailEnd/>
                    </a:ln>
                  </pic:spPr>
                </pic:pic>
              </a:graphicData>
            </a:graphic>
          </wp:anchor>
        </w:drawing>
      </w:r>
      <w:r w:rsidRPr="00EB1AEC">
        <w:rPr>
          <w:b/>
          <w:bCs/>
          <w:sz w:val="20"/>
        </w:rPr>
        <w:t>Les croisements réalisés par George Beadle</w:t>
      </w:r>
    </w:p>
    <w:p w14:paraId="2D171897" w14:textId="77777777" w:rsidR="00EB1AEC" w:rsidRPr="00EB1AEC" w:rsidRDefault="00EB1AEC" w:rsidP="00EB1AEC">
      <w:pPr>
        <w:pStyle w:val="Sansinterligne"/>
        <w:rPr>
          <w:sz w:val="20"/>
        </w:rPr>
      </w:pPr>
      <w:r w:rsidRPr="00EB1AEC">
        <w:rPr>
          <w:sz w:val="20"/>
        </w:rPr>
        <w:t>À l’issu d’un croisement entre le Maïs et la Téosinte, on obtient de</w:t>
      </w:r>
      <w:r w:rsidR="00726B64">
        <w:rPr>
          <w:sz w:val="20"/>
        </w:rPr>
        <w:t>s</w:t>
      </w:r>
      <w:r w:rsidRPr="00EB1AEC">
        <w:rPr>
          <w:sz w:val="20"/>
        </w:rPr>
        <w:t xml:space="preserve"> hydrides F1. Ils présentent un mélange des caractéristiques entre les deux variétés.</w:t>
      </w:r>
    </w:p>
    <w:p w14:paraId="6A17214F" w14:textId="77777777" w:rsidR="00EB1AEC" w:rsidRPr="00EB1AEC" w:rsidRDefault="00EB1AEC" w:rsidP="00EB1AEC">
      <w:pPr>
        <w:pStyle w:val="Sansinterligne"/>
        <w:rPr>
          <w:sz w:val="20"/>
        </w:rPr>
      </w:pPr>
      <w:r w:rsidRPr="00EB1AEC">
        <w:rPr>
          <w:sz w:val="20"/>
        </w:rPr>
        <w:t>Le croisement des individus F1 entre eux donne naissance à la génération F2où l’on retrouve des individus présentant le phénotype des parents Téosinte ou Maïs.</w:t>
      </w:r>
    </w:p>
    <w:p w14:paraId="1465C658" w14:textId="77777777" w:rsidR="00EB1AEC" w:rsidRPr="00EB1AEC" w:rsidRDefault="00EB1AEC" w:rsidP="00EB1AEC">
      <w:pPr>
        <w:pStyle w:val="Sansinterligne"/>
        <w:rPr>
          <w:sz w:val="20"/>
        </w:rPr>
      </w:pPr>
      <w:r w:rsidRPr="00EB1AEC">
        <w:rPr>
          <w:sz w:val="20"/>
        </w:rPr>
        <w:t>Les résultats de Beadle : sur 50 000 individus F2, environ 1/500 présentent le phénotype des parents, les autres présentent des phénotypes intermédiaires.</w:t>
      </w:r>
    </w:p>
    <w:p w14:paraId="1F76CE00" w14:textId="77777777" w:rsidR="00EB1AEC" w:rsidRPr="00EB1AEC" w:rsidRDefault="00EB1AEC" w:rsidP="00EB1AEC">
      <w:pPr>
        <w:pStyle w:val="Sansinterligne"/>
        <w:rPr>
          <w:b/>
          <w:bCs/>
          <w:sz w:val="12"/>
          <w:szCs w:val="12"/>
        </w:rPr>
      </w:pPr>
    </w:p>
    <w:p w14:paraId="2BC99A09" w14:textId="77777777" w:rsidR="00EB1AEC" w:rsidRPr="00EB1AEC" w:rsidRDefault="00EB1AEC" w:rsidP="00EB1AEC">
      <w:pPr>
        <w:pStyle w:val="Sansinterligne"/>
        <w:rPr>
          <w:b/>
          <w:bCs/>
          <w:sz w:val="20"/>
        </w:rPr>
      </w:pPr>
      <w:r w:rsidRPr="00EB1AEC">
        <w:rPr>
          <w:b/>
          <w:bCs/>
          <w:sz w:val="20"/>
        </w:rPr>
        <w:t xml:space="preserve">Le modèle </w:t>
      </w:r>
      <w:r w:rsidR="002E71AF" w:rsidRPr="00EB1AEC">
        <w:rPr>
          <w:b/>
          <w:bCs/>
          <w:sz w:val="20"/>
        </w:rPr>
        <w:t>mendélien</w:t>
      </w:r>
      <w:r w:rsidRPr="00EB1AEC">
        <w:rPr>
          <w:b/>
          <w:bCs/>
          <w:sz w:val="20"/>
        </w:rPr>
        <w:t xml:space="preserve"> :</w:t>
      </w:r>
    </w:p>
    <w:p w14:paraId="70272269" w14:textId="77777777" w:rsidR="00EB1AEC" w:rsidRPr="00EB1AEC" w:rsidRDefault="00EB1AEC" w:rsidP="00EB1AEC">
      <w:pPr>
        <w:pStyle w:val="Sansinterligne"/>
        <w:rPr>
          <w:sz w:val="20"/>
        </w:rPr>
      </w:pPr>
      <w:r w:rsidRPr="00EB1AEC">
        <w:rPr>
          <w:sz w:val="20"/>
        </w:rPr>
        <w:t>Si les différences morphologiques sont dues à un seul gène, la proportion P des génotypes Téosinte ou Maïs en F2 s’obtient à l’aide d’un échiquier de croisement F1 x F1.</w:t>
      </w:r>
    </w:p>
    <w:p w14:paraId="285FF980" w14:textId="77777777" w:rsidR="00EB1AEC" w:rsidRPr="00EB1AEC" w:rsidRDefault="00EB1AEC" w:rsidP="00EB1AEC">
      <w:pPr>
        <w:pStyle w:val="Sansinterligne"/>
        <w:rPr>
          <w:sz w:val="20"/>
        </w:rPr>
      </w:pPr>
      <w:r w:rsidRPr="00EB1AEC">
        <w:rPr>
          <w:sz w:val="20"/>
        </w:rPr>
        <w:t>Si les différences morphologiques sont dues à deux gènes (non liés) : la proportion pour obtenir des génotypes Téosinte ou Maïs est égale P x P.</w:t>
      </w:r>
    </w:p>
    <w:p w14:paraId="04F377F3" w14:textId="77777777" w:rsidR="00EB1AEC" w:rsidRPr="00EB1AEC" w:rsidRDefault="00EB1AEC" w:rsidP="00EB1AEC">
      <w:pPr>
        <w:pStyle w:val="Sansinterligne"/>
        <w:jc w:val="right"/>
        <w:rPr>
          <w:sz w:val="18"/>
          <w:szCs w:val="18"/>
        </w:rPr>
      </w:pPr>
      <w:r w:rsidRPr="00EB1AEC">
        <w:rPr>
          <w:sz w:val="18"/>
          <w:szCs w:val="18"/>
        </w:rPr>
        <w:t>www.hhmi.org/biointeractive/dvd</w:t>
      </w:r>
    </w:p>
    <w:p w14:paraId="0B4D4D98" w14:textId="77777777" w:rsidR="00EB1AEC" w:rsidRPr="00EB1AEC" w:rsidRDefault="00EB1AEC" w:rsidP="00EB1AEC">
      <w:pPr>
        <w:pStyle w:val="Sansinterligne"/>
        <w:jc w:val="right"/>
        <w:rPr>
          <w:sz w:val="18"/>
          <w:szCs w:val="18"/>
        </w:rPr>
      </w:pPr>
      <w:r w:rsidRPr="00EB1AEC">
        <w:rPr>
          <w:sz w:val="18"/>
          <w:szCs w:val="18"/>
        </w:rPr>
        <w:t>http://learn.genetics.utah.edu/content/variation/corn</w:t>
      </w:r>
    </w:p>
    <w:p w14:paraId="2FA6690E" w14:textId="77777777" w:rsidR="00EB1AEC" w:rsidRPr="00EB1AEC" w:rsidRDefault="00EB1AEC" w:rsidP="00EB1AEC">
      <w:pPr>
        <w:pStyle w:val="Sansinterligne"/>
        <w:rPr>
          <w:b/>
          <w:bCs/>
          <w:sz w:val="20"/>
        </w:rPr>
      </w:pPr>
    </w:p>
    <w:p w14:paraId="1E1917B4" w14:textId="77777777" w:rsidR="00EB1AEC" w:rsidRPr="00EB1AEC" w:rsidRDefault="00EB1AEC" w:rsidP="00EB1AEC">
      <w:pPr>
        <w:pStyle w:val="Sansinterligne"/>
        <w:rPr>
          <w:b/>
          <w:bCs/>
          <w:sz w:val="20"/>
        </w:rPr>
      </w:pPr>
      <w:r>
        <w:rPr>
          <w:b/>
          <w:bCs/>
          <w:noProof/>
          <w:sz w:val="20"/>
          <w:lang w:eastAsia="fr-FR"/>
        </w:rPr>
        <w:drawing>
          <wp:anchor distT="0" distB="0" distL="114300" distR="114300" simplePos="0" relativeHeight="251662336" behindDoc="0" locked="0" layoutInCell="1" allowOverlap="1" wp14:anchorId="0658D4C0" wp14:editId="18E671B1">
            <wp:simplePos x="0" y="0"/>
            <wp:positionH relativeFrom="column">
              <wp:posOffset>3895725</wp:posOffset>
            </wp:positionH>
            <wp:positionV relativeFrom="paragraph">
              <wp:posOffset>275590</wp:posOffset>
            </wp:positionV>
            <wp:extent cx="2876550" cy="1657350"/>
            <wp:effectExtent l="19050" t="0" r="0" b="0"/>
            <wp:wrapSquare wrapText="bothSides"/>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lum bright="-10000" contrast="40000"/>
                    </a:blip>
                    <a:srcRect l="30725" t="55054"/>
                    <a:stretch>
                      <a:fillRect/>
                    </a:stretch>
                  </pic:blipFill>
                  <pic:spPr bwMode="auto">
                    <a:xfrm>
                      <a:off x="0" y="0"/>
                      <a:ext cx="2876550" cy="1657350"/>
                    </a:xfrm>
                    <a:prstGeom prst="rect">
                      <a:avLst/>
                    </a:prstGeom>
                    <a:noFill/>
                    <a:ln w="9525">
                      <a:noFill/>
                      <a:miter lim="800000"/>
                      <a:headEnd/>
                      <a:tailEnd/>
                    </a:ln>
                  </pic:spPr>
                </pic:pic>
              </a:graphicData>
            </a:graphic>
          </wp:anchor>
        </w:drawing>
      </w:r>
      <w:r w:rsidRPr="00EB1AEC">
        <w:rPr>
          <w:b/>
          <w:bCs/>
          <w:sz w:val="20"/>
        </w:rPr>
        <w:t>La carte génétique du Maïs avec les régions du génome impliquées dans la domestication établie grâce à des marqueurs moléculaires (10 chromosomes différents).</w:t>
      </w:r>
    </w:p>
    <w:p w14:paraId="43AF1128" w14:textId="77777777" w:rsidR="00EB1AEC" w:rsidRDefault="00EB1AEC" w:rsidP="00EB1AEC">
      <w:pPr>
        <w:pStyle w:val="Sansinterligne"/>
        <w:rPr>
          <w:noProof/>
          <w:lang w:eastAsia="fr-FR"/>
        </w:rPr>
      </w:pPr>
      <w:r>
        <w:rPr>
          <w:noProof/>
          <w:lang w:eastAsia="fr-FR"/>
        </w:rPr>
        <w:drawing>
          <wp:anchor distT="0" distB="0" distL="114300" distR="114300" simplePos="0" relativeHeight="251660288" behindDoc="0" locked="0" layoutInCell="1" allowOverlap="1" wp14:anchorId="5BA43FA8" wp14:editId="472AFE40">
            <wp:simplePos x="0" y="0"/>
            <wp:positionH relativeFrom="column">
              <wp:posOffset>-247650</wp:posOffset>
            </wp:positionH>
            <wp:positionV relativeFrom="paragraph">
              <wp:posOffset>116840</wp:posOffset>
            </wp:positionV>
            <wp:extent cx="3876675" cy="1657350"/>
            <wp:effectExtent l="1905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lum bright="-10000" contrast="40000"/>
                    </a:blip>
                    <a:srcRect t="5806" r="2672" b="47312"/>
                    <a:stretch>
                      <a:fillRect/>
                    </a:stretch>
                  </pic:blipFill>
                  <pic:spPr bwMode="auto">
                    <a:xfrm>
                      <a:off x="0" y="0"/>
                      <a:ext cx="3876675" cy="1657350"/>
                    </a:xfrm>
                    <a:prstGeom prst="rect">
                      <a:avLst/>
                    </a:prstGeom>
                    <a:noFill/>
                    <a:ln w="9525">
                      <a:noFill/>
                      <a:miter lim="800000"/>
                      <a:headEnd/>
                      <a:tailEnd/>
                    </a:ln>
                  </pic:spPr>
                </pic:pic>
              </a:graphicData>
            </a:graphic>
          </wp:anchor>
        </w:drawing>
      </w:r>
    </w:p>
    <w:p w14:paraId="2E321149" w14:textId="77777777" w:rsidR="00EB1AEC" w:rsidRPr="00EB1AEC" w:rsidRDefault="00EB1AEC" w:rsidP="00EB1AEC">
      <w:pPr>
        <w:pStyle w:val="Sansinterligne"/>
      </w:pPr>
    </w:p>
    <w:p w14:paraId="51CDEA9F" w14:textId="77777777" w:rsidR="00EB1AEC" w:rsidRDefault="00EB1AEC" w:rsidP="00EB1AEC">
      <w:pPr>
        <w:pStyle w:val="Sansinterligne"/>
      </w:pPr>
    </w:p>
    <w:p w14:paraId="63AEAC14" w14:textId="77777777" w:rsidR="00EB1AEC" w:rsidRDefault="00EB1AEC" w:rsidP="00EB1AEC">
      <w:pPr>
        <w:pStyle w:val="Sansinterligne"/>
      </w:pPr>
    </w:p>
    <w:p w14:paraId="3F0C5EB2" w14:textId="77777777" w:rsidR="00EB1AEC" w:rsidRDefault="00EB1AEC" w:rsidP="00EB1AEC">
      <w:pPr>
        <w:pStyle w:val="Sansinterligne"/>
      </w:pPr>
    </w:p>
    <w:p w14:paraId="5899ADED" w14:textId="77777777" w:rsidR="00EB1AEC" w:rsidRDefault="00EB1AEC" w:rsidP="00EB1AEC">
      <w:pPr>
        <w:pStyle w:val="Sansinterligne"/>
      </w:pPr>
    </w:p>
    <w:p w14:paraId="1AB24015" w14:textId="77777777" w:rsidR="00EB1AEC" w:rsidRDefault="00EB1AEC" w:rsidP="00EB1AEC">
      <w:pPr>
        <w:pStyle w:val="Sansinterligne"/>
      </w:pPr>
    </w:p>
    <w:p w14:paraId="43511715" w14:textId="77777777" w:rsidR="00EB1AEC" w:rsidRDefault="00EB1AEC" w:rsidP="00EB1AEC">
      <w:pPr>
        <w:pStyle w:val="Sansinterligne"/>
      </w:pPr>
    </w:p>
    <w:p w14:paraId="18EF55FA" w14:textId="77777777" w:rsidR="00EB1AEC" w:rsidRDefault="00EB1AEC" w:rsidP="00EB1AEC">
      <w:pPr>
        <w:pStyle w:val="Sansinterligne"/>
      </w:pPr>
    </w:p>
    <w:p w14:paraId="30C20707" w14:textId="77777777" w:rsidR="00EB1AEC" w:rsidRDefault="00EB1AEC" w:rsidP="00EB1AEC">
      <w:pPr>
        <w:pStyle w:val="Sansinterligne"/>
      </w:pPr>
    </w:p>
    <w:p w14:paraId="1E945BA8" w14:textId="77777777" w:rsidR="00EB1AEC" w:rsidRPr="00EB1AEC" w:rsidRDefault="00EB1AEC" w:rsidP="00EB1AEC">
      <w:pPr>
        <w:pStyle w:val="Sansinterligne"/>
      </w:pPr>
    </w:p>
    <w:p w14:paraId="3C8CF3C7" w14:textId="77777777" w:rsidR="00EB1AEC" w:rsidRPr="00EB1AEC" w:rsidRDefault="00EB1AEC" w:rsidP="00EB1AEC">
      <w:pPr>
        <w:pStyle w:val="Sansinterligne"/>
        <w:jc w:val="center"/>
        <w:rPr>
          <w:sz w:val="18"/>
          <w:lang w:val="en-US"/>
        </w:rPr>
      </w:pPr>
      <w:r w:rsidRPr="00EB1AEC">
        <w:rPr>
          <w:sz w:val="18"/>
          <w:lang w:val="en-US"/>
        </w:rPr>
        <w:t xml:space="preserve">JohnN DOEBLEY </w:t>
      </w:r>
      <w:r w:rsidRPr="00EB1AEC">
        <w:rPr>
          <w:i/>
          <w:iCs/>
          <w:sz w:val="18"/>
          <w:lang w:val="en-US"/>
        </w:rPr>
        <w:t>et al</w:t>
      </w:r>
      <w:r w:rsidRPr="00EB1AEC">
        <w:rPr>
          <w:sz w:val="18"/>
          <w:lang w:val="en-US"/>
        </w:rPr>
        <w:t>, Genetic and morphological analysis of a maize-teosinte F2 population:</w:t>
      </w:r>
    </w:p>
    <w:p w14:paraId="0670F888" w14:textId="77777777" w:rsidR="00EB1AEC" w:rsidRPr="00EB1AEC" w:rsidRDefault="00EB1AEC" w:rsidP="00EB1AEC">
      <w:pPr>
        <w:pStyle w:val="Sansinterligne"/>
        <w:jc w:val="center"/>
        <w:rPr>
          <w:sz w:val="18"/>
          <w:lang w:val="en-US"/>
        </w:rPr>
      </w:pPr>
      <w:r w:rsidRPr="00EB1AEC">
        <w:rPr>
          <w:sz w:val="18"/>
          <w:lang w:val="en-US"/>
        </w:rPr>
        <w:t xml:space="preserve">Implications for the origin of maize, </w:t>
      </w:r>
      <w:r w:rsidRPr="00EB1AEC">
        <w:rPr>
          <w:i/>
          <w:iCs/>
          <w:sz w:val="18"/>
          <w:lang w:val="en-US"/>
        </w:rPr>
        <w:t xml:space="preserve">Proc. Natl. Acad. Sci. </w:t>
      </w:r>
      <w:r w:rsidRPr="00EB1AEC">
        <w:rPr>
          <w:sz w:val="18"/>
          <w:lang w:val="en-US"/>
        </w:rPr>
        <w:t>USA Vol. 87, pp. 9888-9892, December 1990,</w:t>
      </w:r>
      <w:r>
        <w:rPr>
          <w:sz w:val="18"/>
          <w:lang w:val="en-US"/>
        </w:rPr>
        <w:t xml:space="preserve"> </w:t>
      </w:r>
      <w:r w:rsidRPr="00EB1AEC">
        <w:rPr>
          <w:sz w:val="18"/>
          <w:lang w:val="en-US"/>
        </w:rPr>
        <w:t>Evolution</w:t>
      </w:r>
    </w:p>
    <w:sectPr w:rsidR="00EB1AEC" w:rsidRPr="00EB1AEC" w:rsidSect="00EB1AEC">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B1AEC"/>
    <w:rsid w:val="000F6A47"/>
    <w:rsid w:val="002E71AF"/>
    <w:rsid w:val="00345F05"/>
    <w:rsid w:val="0042726C"/>
    <w:rsid w:val="00554CF4"/>
    <w:rsid w:val="00726B64"/>
    <w:rsid w:val="007B23BD"/>
    <w:rsid w:val="00851227"/>
    <w:rsid w:val="008B0673"/>
    <w:rsid w:val="009444AD"/>
    <w:rsid w:val="00A46B5E"/>
    <w:rsid w:val="00AC6C32"/>
    <w:rsid w:val="00D342DB"/>
    <w:rsid w:val="00E34FE9"/>
    <w:rsid w:val="00EB1AEC"/>
    <w:rsid w:val="00F60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CBACB20"/>
  <w15:docId w15:val="{2B05D34E-7D19-4FE3-BDEC-743C8E6A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3B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B23BD"/>
    <w:pPr>
      <w:spacing w:after="0" w:line="240" w:lineRule="auto"/>
    </w:pPr>
    <w:rPr>
      <w:rFonts w:ascii="Arial" w:hAnsi="Arial"/>
    </w:rPr>
  </w:style>
  <w:style w:type="paragraph" w:styleId="Textedebulles">
    <w:name w:val="Balloon Text"/>
    <w:basedOn w:val="Normal"/>
    <w:link w:val="TextedebullesCar"/>
    <w:uiPriority w:val="99"/>
    <w:semiHidden/>
    <w:unhideWhenUsed/>
    <w:rsid w:val="002E71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71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587</Words>
  <Characters>3232</Characters>
  <Application>Microsoft Office Word</Application>
  <DocSecurity>0</DocSecurity>
  <Lines>26</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Mantelli</dc:creator>
  <cp:lastModifiedBy>jp HNN</cp:lastModifiedBy>
  <cp:revision>4</cp:revision>
  <cp:lastPrinted>2026-02-26T16:25:00Z</cp:lastPrinted>
  <dcterms:created xsi:type="dcterms:W3CDTF">2015-08-19T19:56:00Z</dcterms:created>
  <dcterms:modified xsi:type="dcterms:W3CDTF">2026-02-26T16:25:00Z</dcterms:modified>
</cp:coreProperties>
</file>