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844EB" w14:textId="77777777" w:rsidR="00CE16E7" w:rsidRPr="00B27ED8" w:rsidRDefault="00CE16E7" w:rsidP="00CE16E7">
      <w:pPr>
        <w:spacing w:after="0" w:line="240" w:lineRule="auto"/>
        <w:rPr>
          <w:color w:val="0070C0"/>
          <w:sz w:val="28"/>
          <w:lang w:eastAsia="fr-FR"/>
        </w:rPr>
      </w:pPr>
      <w:r>
        <w:rPr>
          <w:color w:val="0070C0"/>
          <w:sz w:val="28"/>
          <w:lang w:eastAsia="fr-FR"/>
        </w:rPr>
        <w:t xml:space="preserve">IV) </w:t>
      </w:r>
      <w:bookmarkStart w:id="0" w:name="_Hlk31808779"/>
      <w:r w:rsidRPr="00B27ED8">
        <w:rPr>
          <w:color w:val="0070C0"/>
          <w:sz w:val="28"/>
          <w:lang w:eastAsia="fr-FR"/>
        </w:rPr>
        <w:t xml:space="preserve">Aider l’organisme à contrôler l’inflammation </w:t>
      </w:r>
    </w:p>
    <w:p w14:paraId="1928D493" w14:textId="2D734DF6" w:rsidR="00CE16E7" w:rsidRDefault="00CE16E7" w:rsidP="00CE16E7">
      <w:pPr>
        <w:pStyle w:val="Sansinterligne"/>
        <w:rPr>
          <w:lang w:eastAsia="fr-FR"/>
        </w:rPr>
      </w:pPr>
      <w:r>
        <w:rPr>
          <w:noProof/>
          <w:lang w:eastAsia="fr-FR"/>
        </w:rPr>
        <w:drawing>
          <wp:anchor distT="0" distB="0" distL="114300" distR="114300" simplePos="0" relativeHeight="251661312" behindDoc="0" locked="0" layoutInCell="1" allowOverlap="1" wp14:anchorId="26C0CA11" wp14:editId="1E448339">
            <wp:simplePos x="0" y="0"/>
            <wp:positionH relativeFrom="column">
              <wp:posOffset>3813079</wp:posOffset>
            </wp:positionH>
            <wp:positionV relativeFrom="paragraph">
              <wp:posOffset>1460680</wp:posOffset>
            </wp:positionV>
            <wp:extent cx="1112215" cy="1069676"/>
            <wp:effectExtent l="0" t="0" r="0" b="0"/>
            <wp:wrapNone/>
            <wp:docPr id="33794" name="Picture 2">
              <a:extLst xmlns:a="http://schemas.openxmlformats.org/drawingml/2006/main">
                <a:ext uri="{FF2B5EF4-FFF2-40B4-BE49-F238E27FC236}">
                  <a16:creationId xmlns:a16="http://schemas.microsoft.com/office/drawing/2014/main" id="{A2515117-90D0-4705-AAEF-98A489E60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a:extLst>
                        <a:ext uri="{FF2B5EF4-FFF2-40B4-BE49-F238E27FC236}">
                          <a16:creationId xmlns:a16="http://schemas.microsoft.com/office/drawing/2014/main" id="{A2515117-90D0-4705-AAEF-98A489E6093A}"/>
                        </a:ext>
                      </a:extLst>
                    </pic:cNvPr>
                    <pic:cNvPicPr>
                      <a:picLocks noChangeAspect="1" noChangeArrowheads="1"/>
                    </pic:cNvPicPr>
                  </pic:nvPicPr>
                  <pic:blipFill>
                    <a:blip r:embed="rId4">
                      <a:lum bright="-20000" contrast="40000"/>
                      <a:extLst>
                        <a:ext uri="{28A0092B-C50C-407E-A947-70E740481C1C}">
                          <a14:useLocalDpi xmlns:a14="http://schemas.microsoft.com/office/drawing/2010/main" val="0"/>
                        </a:ext>
                      </a:extLst>
                    </a:blip>
                    <a:srcRect l="39555" t="20607" r="51665" b="65884"/>
                    <a:stretch>
                      <a:fillRect/>
                    </a:stretch>
                  </pic:blipFill>
                  <pic:spPr bwMode="auto">
                    <a:xfrm>
                      <a:off x="0" y="0"/>
                      <a:ext cx="1112215" cy="10696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2F48FA36" wp14:editId="289310E8">
            <wp:extent cx="5417388" cy="1481940"/>
            <wp:effectExtent l="0" t="0" r="0" b="4445"/>
            <wp:docPr id="33797" name="Picture 2">
              <a:extLst xmlns:a="http://schemas.openxmlformats.org/drawingml/2006/main">
                <a:ext uri="{FF2B5EF4-FFF2-40B4-BE49-F238E27FC236}">
                  <a16:creationId xmlns:a16="http://schemas.microsoft.com/office/drawing/2014/main" id="{73020703-0301-47A5-ABDF-9CE57B6E9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2">
                      <a:extLst>
                        <a:ext uri="{FF2B5EF4-FFF2-40B4-BE49-F238E27FC236}">
                          <a16:creationId xmlns:a16="http://schemas.microsoft.com/office/drawing/2014/main" id="{73020703-0301-47A5-ABDF-9CE57B6E9C6C}"/>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l="20425" t="8719" r="51511" b="78996"/>
                    <a:stretch>
                      <a:fillRect/>
                    </a:stretch>
                  </pic:blipFill>
                  <pic:spPr bwMode="auto">
                    <a:xfrm>
                      <a:off x="0" y="0"/>
                      <a:ext cx="5448913" cy="1490564"/>
                    </a:xfrm>
                    <a:prstGeom prst="rect">
                      <a:avLst/>
                    </a:prstGeom>
                    <a:noFill/>
                    <a:ln>
                      <a:noFill/>
                    </a:ln>
                  </pic:spPr>
                </pic:pic>
              </a:graphicData>
            </a:graphic>
          </wp:inline>
        </w:drawing>
      </w:r>
    </w:p>
    <w:p w14:paraId="4E6FBFC7" w14:textId="77777777" w:rsidR="00CE16E7" w:rsidRPr="00B27ED8" w:rsidRDefault="00CE16E7" w:rsidP="00CE16E7">
      <w:pPr>
        <w:pStyle w:val="Sansinterligne"/>
        <w:rPr>
          <w:b/>
          <w:sz w:val="24"/>
        </w:rPr>
      </w:pPr>
    </w:p>
    <w:p w14:paraId="301D0DDC" w14:textId="5E13B9F5" w:rsidR="00CE16E7" w:rsidRDefault="00CE16E7" w:rsidP="00CE16E7">
      <w:pPr>
        <w:pStyle w:val="Sansinterligne"/>
      </w:pPr>
      <w:r>
        <w:rPr>
          <w:noProof/>
          <w:lang w:eastAsia="fr-FR"/>
        </w:rPr>
        <w:drawing>
          <wp:inline distT="0" distB="0" distL="0" distR="0" wp14:anchorId="126CE78D" wp14:editId="4F9C333B">
            <wp:extent cx="3408083" cy="1019175"/>
            <wp:effectExtent l="0" t="0" r="1905" b="0"/>
            <wp:docPr id="33796" name="Picture 2">
              <a:extLst xmlns:a="http://schemas.openxmlformats.org/drawingml/2006/main">
                <a:ext uri="{FF2B5EF4-FFF2-40B4-BE49-F238E27FC236}">
                  <a16:creationId xmlns:a16="http://schemas.microsoft.com/office/drawing/2014/main" id="{2AB0A457-D94C-4725-B44B-68B033CF8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2">
                      <a:extLst>
                        <a:ext uri="{FF2B5EF4-FFF2-40B4-BE49-F238E27FC236}">
                          <a16:creationId xmlns:a16="http://schemas.microsoft.com/office/drawing/2014/main" id="{2AB0A457-D94C-4725-B44B-68B033CF8B65}"/>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l="20425" t="21616" r="61504" b="69737"/>
                    <a:stretch>
                      <a:fillRect/>
                    </a:stretch>
                  </pic:blipFill>
                  <pic:spPr bwMode="auto">
                    <a:xfrm>
                      <a:off x="0" y="0"/>
                      <a:ext cx="3415858" cy="1021500"/>
                    </a:xfrm>
                    <a:prstGeom prst="rect">
                      <a:avLst/>
                    </a:prstGeom>
                    <a:noFill/>
                    <a:ln>
                      <a:noFill/>
                    </a:ln>
                  </pic:spPr>
                </pic:pic>
              </a:graphicData>
            </a:graphic>
          </wp:inline>
        </w:drawing>
      </w:r>
    </w:p>
    <w:p w14:paraId="5385C3D1" w14:textId="77777777" w:rsidR="00CE16E7" w:rsidRDefault="00CE16E7" w:rsidP="00CE16E7">
      <w:pPr>
        <w:pStyle w:val="Sansinterligne"/>
      </w:pPr>
    </w:p>
    <w:p w14:paraId="4DB60A2F" w14:textId="2BB8F48B" w:rsidR="00CE16E7" w:rsidRDefault="00CE16E7" w:rsidP="00CE16E7">
      <w:pPr>
        <w:pStyle w:val="Sansinterligne"/>
      </w:pPr>
      <w:r>
        <w:rPr>
          <w:noProof/>
          <w:lang w:eastAsia="fr-FR"/>
        </w:rPr>
        <mc:AlternateContent>
          <mc:Choice Requires="wps">
            <w:drawing>
              <wp:anchor distT="0" distB="0" distL="114300" distR="114300" simplePos="0" relativeHeight="251663360" behindDoc="0" locked="0" layoutInCell="1" allowOverlap="1" wp14:anchorId="364041CF" wp14:editId="321C286E">
                <wp:simplePos x="0" y="0"/>
                <wp:positionH relativeFrom="column">
                  <wp:posOffset>1306829</wp:posOffset>
                </wp:positionH>
                <wp:positionV relativeFrom="paragraph">
                  <wp:posOffset>2962909</wp:posOffset>
                </wp:positionV>
                <wp:extent cx="478790" cy="3381375"/>
                <wp:effectExtent l="38100" t="38100" r="35560" b="28575"/>
                <wp:wrapNone/>
                <wp:docPr id="1272473015" name="Connecteur droit avec flèche 98"/>
                <wp:cNvGraphicFramePr/>
                <a:graphic xmlns:a="http://schemas.openxmlformats.org/drawingml/2006/main">
                  <a:graphicData uri="http://schemas.microsoft.com/office/word/2010/wordprocessingShape">
                    <wps:wsp>
                      <wps:cNvCnPr/>
                      <wps:spPr>
                        <a:xfrm flipH="1" flipV="1">
                          <a:off x="0" y="0"/>
                          <a:ext cx="478790" cy="3381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FF59B2" id="_x0000_t32" coordsize="21600,21600" o:spt="32" o:oned="t" path="m,l21600,21600e" filled="f">
                <v:path arrowok="t" fillok="f" o:connecttype="none"/>
                <o:lock v:ext="edit" shapetype="t"/>
              </v:shapetype>
              <v:shape id="Connecteur droit avec flèche 98" o:spid="_x0000_s1026" type="#_x0000_t32" style="position:absolute;margin-left:102.9pt;margin-top:233.3pt;width:37.7pt;height:266.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" strokecolor="#156082 [3204]" strokeweight="1pt">
                <v:stroke endarrow="block" joinstyle="miter"/>
              </v:shape>
            </w:pict>
          </mc:Fallback>
        </mc:AlternateContent>
      </w:r>
      <w:r>
        <w:rPr>
          <w:noProof/>
          <w:lang w:eastAsia="fr-FR"/>
        </w:rPr>
        <mc:AlternateContent>
          <mc:Choice Requires="wps">
            <w:drawing>
              <wp:anchor distT="0" distB="0" distL="114300" distR="114300" simplePos="0" relativeHeight="251662336" behindDoc="0" locked="0" layoutInCell="1" allowOverlap="1" wp14:anchorId="01BF7D62" wp14:editId="2A39BDD8">
                <wp:simplePos x="0" y="0"/>
                <wp:positionH relativeFrom="column">
                  <wp:posOffset>1592580</wp:posOffset>
                </wp:positionH>
                <wp:positionV relativeFrom="paragraph">
                  <wp:posOffset>476885</wp:posOffset>
                </wp:positionV>
                <wp:extent cx="2105025" cy="2838450"/>
                <wp:effectExtent l="38100" t="0" r="28575" b="57150"/>
                <wp:wrapNone/>
                <wp:docPr id="1652498279" name="Connecteur droit avec flèche 98"/>
                <wp:cNvGraphicFramePr/>
                <a:graphic xmlns:a="http://schemas.openxmlformats.org/drawingml/2006/main">
                  <a:graphicData uri="http://schemas.microsoft.com/office/word/2010/wordprocessingShape">
                    <wps:wsp>
                      <wps:cNvCnPr/>
                      <wps:spPr>
                        <a:xfrm flipH="1">
                          <a:off x="0" y="0"/>
                          <a:ext cx="2105025" cy="283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2FE0E1" id="Connecteur droit avec flèche 98" o:spid="_x0000_s1026" type="#_x0000_t32" style="position:absolute;margin-left:125.4pt;margin-top:37.55pt;width:165.75pt;height:223.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" strokecolor="#156082 [3204]" strokeweight="1pt">
                <v:stroke endarrow="block" joinstyle="miter"/>
              </v:shape>
            </w:pict>
          </mc:Fallback>
        </mc:AlternateContent>
      </w:r>
      <w:r>
        <w:rPr>
          <w:noProof/>
          <w:lang w:eastAsia="fr-FR"/>
        </w:rPr>
        <w:drawing>
          <wp:inline distT="0" distB="0" distL="0" distR="0" wp14:anchorId="0434C584" wp14:editId="778A0C5A">
            <wp:extent cx="6645910" cy="4221480"/>
            <wp:effectExtent l="0" t="0" r="2540" b="7620"/>
            <wp:docPr id="34818" name="Picture 2">
              <a:extLst xmlns:a="http://schemas.openxmlformats.org/drawingml/2006/main">
                <a:ext uri="{FF2B5EF4-FFF2-40B4-BE49-F238E27FC236}">
                  <a16:creationId xmlns:a16="http://schemas.microsoft.com/office/drawing/2014/main" id="{BFE2DBFB-6AEF-4938-B630-A1B5BE351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a:extLst>
                        <a:ext uri="{FF2B5EF4-FFF2-40B4-BE49-F238E27FC236}">
                          <a16:creationId xmlns:a16="http://schemas.microsoft.com/office/drawing/2014/main" id="{BFE2DBFB-6AEF-4938-B630-A1B5BE351112}"/>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l="4375" t="40385" r="51358" b="14616"/>
                    <a:stretch>
                      <a:fillRect/>
                    </a:stretch>
                  </pic:blipFill>
                  <pic:spPr bwMode="auto">
                    <a:xfrm>
                      <a:off x="0" y="0"/>
                      <a:ext cx="6645910" cy="4221480"/>
                    </a:xfrm>
                    <a:prstGeom prst="rect">
                      <a:avLst/>
                    </a:prstGeom>
                    <a:noFill/>
                    <a:ln>
                      <a:noFill/>
                    </a:ln>
                  </pic:spPr>
                </pic:pic>
              </a:graphicData>
            </a:graphic>
          </wp:inline>
        </w:drawing>
      </w:r>
    </w:p>
    <w:p w14:paraId="685A71A5" w14:textId="479B01B2" w:rsidR="00CE16E7" w:rsidRDefault="00CE16E7" w:rsidP="00CE16E7">
      <w:pPr>
        <w:pStyle w:val="Titre3"/>
        <w:rPr>
          <w:color w:val="auto"/>
        </w:rPr>
      </w:pPr>
    </w:p>
    <w:p w14:paraId="70C6BC5A" w14:textId="761EED14" w:rsidR="00CE16E7" w:rsidRDefault="00CE16E7" w:rsidP="00CE16E7">
      <w:pPr>
        <w:pStyle w:val="Titre3"/>
        <w:rPr>
          <w:color w:val="auto"/>
        </w:rPr>
      </w:pPr>
      <w:r>
        <w:rPr>
          <w:noProof/>
          <w:lang w:eastAsia="fr-FR"/>
        </w:rPr>
        <w:drawing>
          <wp:anchor distT="0" distB="0" distL="114300" distR="114300" simplePos="0" relativeHeight="251664384" behindDoc="0" locked="0" layoutInCell="1" allowOverlap="1" wp14:anchorId="6E638B5F" wp14:editId="34E7327A">
            <wp:simplePos x="0" y="0"/>
            <wp:positionH relativeFrom="margin">
              <wp:align>left</wp:align>
            </wp:positionH>
            <wp:positionV relativeFrom="paragraph">
              <wp:posOffset>56730</wp:posOffset>
            </wp:positionV>
            <wp:extent cx="3997234" cy="2632614"/>
            <wp:effectExtent l="0" t="0" r="3810" b="0"/>
            <wp:wrapNone/>
            <wp:docPr id="35842" name="Picture 2">
              <a:extLst xmlns:a="http://schemas.openxmlformats.org/drawingml/2006/main">
                <a:ext uri="{FF2B5EF4-FFF2-40B4-BE49-F238E27FC236}">
                  <a16:creationId xmlns:a16="http://schemas.microsoft.com/office/drawing/2014/main" id="{41D3D6A6-F872-415C-9FD5-8D1AB3685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a:extLst>
                        <a:ext uri="{FF2B5EF4-FFF2-40B4-BE49-F238E27FC236}">
                          <a16:creationId xmlns:a16="http://schemas.microsoft.com/office/drawing/2014/main" id="{41D3D6A6-F872-415C-9FD5-8D1AB36851E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l="51447" t="9233" r="27197" b="68266"/>
                    <a:stretch>
                      <a:fillRect/>
                    </a:stretch>
                  </pic:blipFill>
                  <pic:spPr bwMode="auto">
                    <a:xfrm>
                      <a:off x="0" y="0"/>
                      <a:ext cx="3997234" cy="2632614"/>
                    </a:xfrm>
                    <a:prstGeom prst="rect">
                      <a:avLst/>
                    </a:prstGeom>
                    <a:noFill/>
                    <a:ln>
                      <a:noFill/>
                    </a:ln>
                  </pic:spPr>
                </pic:pic>
              </a:graphicData>
            </a:graphic>
          </wp:anchor>
        </w:drawing>
      </w:r>
    </w:p>
    <w:p w14:paraId="1334BABD" w14:textId="209CEB26" w:rsidR="00CE16E7" w:rsidRDefault="00CE16E7" w:rsidP="00CE16E7">
      <w:pPr>
        <w:pStyle w:val="Titre3"/>
        <w:rPr>
          <w:color w:val="auto"/>
        </w:rPr>
      </w:pPr>
      <w:r>
        <w:rPr>
          <w:noProof/>
          <w:lang w:eastAsia="fr-FR"/>
        </w:rPr>
        <w:drawing>
          <wp:anchor distT="0" distB="0" distL="114300" distR="114300" simplePos="0" relativeHeight="251660288" behindDoc="0" locked="0" layoutInCell="1" allowOverlap="1" wp14:anchorId="68F5F96A" wp14:editId="44854394">
            <wp:simplePos x="0" y="0"/>
            <wp:positionH relativeFrom="margin">
              <wp:posOffset>4589444</wp:posOffset>
            </wp:positionH>
            <wp:positionV relativeFrom="paragraph">
              <wp:posOffset>57473</wp:posOffset>
            </wp:positionV>
            <wp:extent cx="2140911" cy="992037"/>
            <wp:effectExtent l="0" t="0" r="0" b="0"/>
            <wp:wrapNone/>
            <wp:docPr id="35843" name="Picture 2">
              <a:extLst xmlns:a="http://schemas.openxmlformats.org/drawingml/2006/main">
                <a:ext uri="{FF2B5EF4-FFF2-40B4-BE49-F238E27FC236}">
                  <a16:creationId xmlns:a16="http://schemas.microsoft.com/office/drawing/2014/main" id="{A5E2F3BE-2086-4FDE-9A41-82B3311DD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2">
                      <a:extLst>
                        <a:ext uri="{FF2B5EF4-FFF2-40B4-BE49-F238E27FC236}">
                          <a16:creationId xmlns:a16="http://schemas.microsoft.com/office/drawing/2014/main" id="{A5E2F3BE-2086-4FDE-9A41-82B3311DD8DD}"/>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l="73845" t="9233" r="4797" b="74933"/>
                    <a:stretch>
                      <a:fillRect/>
                    </a:stretch>
                  </pic:blipFill>
                  <pic:spPr bwMode="auto">
                    <a:xfrm>
                      <a:off x="0" y="0"/>
                      <a:ext cx="2140911" cy="992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CA9D1" w14:textId="77777777" w:rsidR="00CE16E7" w:rsidRDefault="00CE16E7" w:rsidP="00CE16E7">
      <w:pPr>
        <w:pStyle w:val="Titre3"/>
        <w:rPr>
          <w:color w:val="auto"/>
        </w:rPr>
      </w:pPr>
    </w:p>
    <w:p w14:paraId="5A3BA9DD" w14:textId="77777777" w:rsidR="00CE16E7" w:rsidRDefault="00CE16E7" w:rsidP="00CE16E7">
      <w:pPr>
        <w:pStyle w:val="Sansinterligne"/>
      </w:pPr>
    </w:p>
    <w:p w14:paraId="3DF0758D" w14:textId="77777777" w:rsidR="00CE16E7" w:rsidRDefault="00CE16E7" w:rsidP="00CE16E7">
      <w:pPr>
        <w:pStyle w:val="Sansinterligne"/>
      </w:pPr>
    </w:p>
    <w:p w14:paraId="4CDA7C23" w14:textId="77777777" w:rsidR="00CE16E7" w:rsidRDefault="00CE16E7" w:rsidP="00CE16E7">
      <w:pPr>
        <w:pStyle w:val="Sansinterligne"/>
      </w:pPr>
    </w:p>
    <w:p w14:paraId="74D9235A" w14:textId="77777777" w:rsidR="00CE16E7" w:rsidRDefault="00CE16E7" w:rsidP="00CE16E7">
      <w:pPr>
        <w:pStyle w:val="Sansinterligne"/>
      </w:pPr>
    </w:p>
    <w:p w14:paraId="492E2F54" w14:textId="77777777" w:rsidR="00CE16E7" w:rsidRDefault="00CE16E7" w:rsidP="00CE16E7">
      <w:pPr>
        <w:pStyle w:val="Sansinterligne"/>
      </w:pPr>
    </w:p>
    <w:p w14:paraId="0BDA7845" w14:textId="77777777" w:rsidR="00CE16E7" w:rsidRDefault="00CE16E7" w:rsidP="00CE16E7">
      <w:pPr>
        <w:pStyle w:val="Sansinterligne"/>
      </w:pPr>
    </w:p>
    <w:p w14:paraId="57449EDF" w14:textId="77777777" w:rsidR="00CE16E7" w:rsidRPr="00A4655C" w:rsidRDefault="00CE16E7" w:rsidP="00CE16E7">
      <w:pPr>
        <w:pStyle w:val="Sansinterligne"/>
      </w:pPr>
    </w:p>
    <w:p w14:paraId="7E8FA680" w14:textId="77777777" w:rsidR="00CE16E7" w:rsidRPr="00CC4079" w:rsidRDefault="00CE16E7" w:rsidP="00CE16E7">
      <w:pPr>
        <w:pStyle w:val="Titre3"/>
        <w:rPr>
          <w:color w:val="auto"/>
        </w:rPr>
      </w:pPr>
      <w:r w:rsidRPr="00CC4079">
        <w:rPr>
          <w:color w:val="auto"/>
        </w:rPr>
        <w:lastRenderedPageBreak/>
        <w:t>L’inflammation a pour but de reconnaitre, détruire et éliminer les pathogènes. Mais parfois la réaction inflammatoire dépasse ses objectifs et produit des effets gênants.</w:t>
      </w:r>
    </w:p>
    <w:p w14:paraId="67F3865E" w14:textId="77777777" w:rsidR="00CE16E7" w:rsidRDefault="00CE16E7" w:rsidP="00CE16E7">
      <w:pPr>
        <w:pStyle w:val="Titre3"/>
        <w:rPr>
          <w:color w:val="auto"/>
        </w:rPr>
      </w:pPr>
      <w:r w:rsidRPr="00CC4079">
        <w:rPr>
          <w:color w:val="auto"/>
        </w:rPr>
        <w:t xml:space="preserve">Des substances médicamenteuses ont été mises au point afin de limiter ces effets, les anti-inflammatoires. Leurs actions permettent de bloquer le déclenchement de la réaction inflammatoire ou de stimuler les mécanismes de rétrocontrôles négatifs. </w:t>
      </w:r>
    </w:p>
    <w:p w14:paraId="0476A662" w14:textId="77777777" w:rsidR="00CE16E7" w:rsidRPr="00CE16E7" w:rsidRDefault="00CE16E7" w:rsidP="00CE16E7">
      <w:pPr>
        <w:pStyle w:val="Titre3"/>
        <w:rPr>
          <w:b/>
          <w:color w:val="auto"/>
        </w:rPr>
      </w:pPr>
    </w:p>
    <w:p w14:paraId="56D9B619" w14:textId="77777777" w:rsidR="00CE16E7" w:rsidRPr="00CE16E7" w:rsidRDefault="00CE16E7" w:rsidP="00CE16E7">
      <w:pPr>
        <w:pStyle w:val="Titre3"/>
        <w:rPr>
          <w:b/>
          <w:color w:val="auto"/>
          <w:highlight w:val="yellow"/>
        </w:rPr>
      </w:pPr>
      <w:r w:rsidRPr="00CE16E7">
        <w:rPr>
          <w:b/>
          <w:color w:val="auto"/>
          <w:highlight w:val="yellow"/>
        </w:rPr>
        <w:t>On distingue principalement :</w:t>
      </w:r>
    </w:p>
    <w:p w14:paraId="792BB545" w14:textId="77777777" w:rsidR="00CE16E7" w:rsidRPr="00CE16E7" w:rsidRDefault="00CE16E7" w:rsidP="00CE16E7">
      <w:pPr>
        <w:pStyle w:val="Titre3"/>
        <w:rPr>
          <w:b/>
          <w:color w:val="auto"/>
          <w:highlight w:val="yellow"/>
        </w:rPr>
      </w:pPr>
      <w:r w:rsidRPr="00CE16E7">
        <w:rPr>
          <w:b/>
          <w:color w:val="auto"/>
          <w:highlight w:val="yellow"/>
        </w:rPr>
        <w:t>- Les corticoïdes : inhibent la plupart des réactions immunitaires en permettant d’accroître l’action anti-inflammatoire et de réduire les actions métaboliques.</w:t>
      </w:r>
    </w:p>
    <w:p w14:paraId="1CD61041" w14:textId="77777777" w:rsidR="00CE16E7" w:rsidRPr="00CE16E7" w:rsidRDefault="00CE16E7" w:rsidP="00CE16E7">
      <w:pPr>
        <w:pStyle w:val="Titre3"/>
        <w:rPr>
          <w:b/>
          <w:color w:val="auto"/>
        </w:rPr>
      </w:pPr>
      <w:r w:rsidRPr="00CE16E7">
        <w:rPr>
          <w:b/>
          <w:color w:val="auto"/>
          <w:highlight w:val="yellow"/>
        </w:rPr>
        <w:t>- Les anti-inflammatoires non stéroïdiens (AINS) comme l'aspirine et l'ibuprofène : empêchent la formation des prostaglandines (co-responsables de la vasodilatation, fièvre et douleur)</w:t>
      </w:r>
    </w:p>
    <w:p w14:paraId="5B3A4E93" w14:textId="77777777" w:rsidR="00CE16E7" w:rsidRDefault="00CE16E7" w:rsidP="00CE16E7">
      <w:pPr>
        <w:pStyle w:val="Sansinterligne"/>
      </w:pPr>
    </w:p>
    <w:p w14:paraId="66E549BF" w14:textId="77777777" w:rsidR="00CE16E7" w:rsidRDefault="00CE16E7" w:rsidP="00CE16E7">
      <w:pPr>
        <w:pStyle w:val="Sansinterligne"/>
      </w:pPr>
    </w:p>
    <w:p w14:paraId="054B1741" w14:textId="77777777" w:rsidR="00CE16E7" w:rsidRDefault="00CE16E7" w:rsidP="00CE16E7">
      <w:pPr>
        <w:pStyle w:val="Sansinterligne"/>
      </w:pPr>
    </w:p>
    <w:p w14:paraId="2CC7DD8C" w14:textId="77777777" w:rsidR="00CE16E7" w:rsidRDefault="00CE16E7" w:rsidP="00CE16E7">
      <w:pPr>
        <w:pStyle w:val="Sansinterligne"/>
      </w:pPr>
      <w:r>
        <w:rPr>
          <w:noProof/>
          <w:lang w:eastAsia="fr-FR"/>
        </w:rPr>
        <w:drawing>
          <wp:inline distT="0" distB="0" distL="0" distR="0" wp14:anchorId="04F44C24" wp14:editId="2B19B634">
            <wp:extent cx="6500813" cy="6200775"/>
            <wp:effectExtent l="0" t="0" r="0" b="0"/>
            <wp:docPr id="37891" name="Picture 2">
              <a:extLst xmlns:a="http://schemas.openxmlformats.org/drawingml/2006/main">
                <a:ext uri="{FF2B5EF4-FFF2-40B4-BE49-F238E27FC236}">
                  <a16:creationId xmlns:a16="http://schemas.microsoft.com/office/drawing/2014/main" id="{D7A34446-D5CC-4315-B8E0-286991C58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2">
                      <a:extLst>
                        <a:ext uri="{FF2B5EF4-FFF2-40B4-BE49-F238E27FC236}">
                          <a16:creationId xmlns:a16="http://schemas.microsoft.com/office/drawing/2014/main" id="{D7A34446-D5CC-4315-B8E0-286991C581D1}"/>
                        </a:ext>
                      </a:extLst>
                    </pic:cNvPr>
                    <pic:cNvPicPr>
                      <a:picLocks noChangeAspect="1" noChangeArrowheads="1"/>
                    </pic:cNvPicPr>
                  </pic:nvPicPr>
                  <pic:blipFill>
                    <a:blip r:embed="rId5">
                      <a:lum bright="-10000" contrast="40000"/>
                      <a:extLst>
                        <a:ext uri="{28A0092B-C50C-407E-A947-70E740481C1C}">
                          <a14:useLocalDpi xmlns:a14="http://schemas.microsoft.com/office/drawing/2010/main" val="0"/>
                        </a:ext>
                      </a:extLst>
                    </a:blip>
                    <a:srcRect l="74321" t="50571" r="5257" b="18266"/>
                    <a:stretch>
                      <a:fillRect/>
                    </a:stretch>
                  </pic:blipFill>
                  <pic:spPr bwMode="auto">
                    <a:xfrm>
                      <a:off x="0" y="0"/>
                      <a:ext cx="6500813" cy="620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A8B21E6" w14:textId="77777777" w:rsidR="00CE16E7" w:rsidRDefault="00CE16E7" w:rsidP="00CE16E7">
      <w:pPr>
        <w:pStyle w:val="Sansinterligne"/>
      </w:pPr>
    </w:p>
    <w:p w14:paraId="16A02676" w14:textId="77777777" w:rsidR="00CE16E7" w:rsidRPr="00A4655C" w:rsidRDefault="00CE16E7" w:rsidP="00CE16E7">
      <w:pPr>
        <w:pStyle w:val="Sansinterligne"/>
      </w:pPr>
    </w:p>
    <w:bookmarkEnd w:id="0"/>
    <w:p w14:paraId="18F02F4C" w14:textId="77777777" w:rsidR="00CE16E7" w:rsidRPr="00F956F7" w:rsidRDefault="00CE16E7" w:rsidP="00CE16E7">
      <w:pPr>
        <w:pStyle w:val="Sansinterligne"/>
        <w:rPr>
          <w:sz w:val="10"/>
          <w:szCs w:val="10"/>
        </w:rPr>
      </w:pPr>
    </w:p>
    <w:p w14:paraId="51533373" w14:textId="77777777" w:rsidR="00CE16E7" w:rsidRPr="00CC4079" w:rsidRDefault="00CE16E7" w:rsidP="00CE16E7">
      <w:pPr>
        <w:pStyle w:val="Sansinterligne"/>
        <w:rPr>
          <w:i/>
        </w:rPr>
      </w:pPr>
      <w:r w:rsidRPr="00CC4079">
        <w:rPr>
          <w:i/>
        </w:rPr>
        <w:t xml:space="preserve">Remarque : paracétamol, </w:t>
      </w:r>
      <w:proofErr w:type="gramStart"/>
      <w:r w:rsidRPr="00CC4079">
        <w:rPr>
          <w:i/>
        </w:rPr>
        <w:t>n’est  pas</w:t>
      </w:r>
      <w:proofErr w:type="gramEnd"/>
      <w:r w:rsidRPr="00CC4079">
        <w:rPr>
          <w:i/>
        </w:rPr>
        <w:t xml:space="preserve"> prescrit comme anti-inflammatoire mais uniquement comme antalgique. Son action est au niveau du cerveau et non de la zone infectieuse.</w:t>
      </w:r>
    </w:p>
    <w:p w14:paraId="7FE9AF7F" w14:textId="77777777" w:rsidR="00CE16E7" w:rsidRDefault="00CE16E7" w:rsidP="00CE16E7">
      <w:pPr>
        <w:pStyle w:val="Sansinterligne"/>
        <w:rPr>
          <w:b/>
          <w:i/>
        </w:rPr>
      </w:pPr>
      <w:r>
        <w:rPr>
          <w:noProof/>
          <w:lang w:eastAsia="fr-FR"/>
        </w:rPr>
        <w:drawing>
          <wp:anchor distT="0" distB="0" distL="114300" distR="114300" simplePos="0" relativeHeight="251659264" behindDoc="0" locked="0" layoutInCell="1" allowOverlap="1" wp14:anchorId="146FBA6A" wp14:editId="1D4F3FF7">
            <wp:simplePos x="0" y="0"/>
            <wp:positionH relativeFrom="column">
              <wp:posOffset>922020</wp:posOffset>
            </wp:positionH>
            <wp:positionV relativeFrom="paragraph">
              <wp:posOffset>78105</wp:posOffset>
            </wp:positionV>
            <wp:extent cx="4904105" cy="6388735"/>
            <wp:effectExtent l="19050" t="0" r="0" b="0"/>
            <wp:wrapSquare wrapText="bothSides"/>
            <wp:docPr id="52" name="Image 52"/>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6" cstate="print">
                      <a:lum bright="-20000" contrast="40000"/>
                    </a:blip>
                    <a:srcRect l="35020" t="15680" r="35500" b="21317"/>
                    <a:stretch>
                      <a:fillRect/>
                    </a:stretch>
                  </pic:blipFill>
                  <pic:spPr bwMode="auto">
                    <a:xfrm>
                      <a:off x="0" y="0"/>
                      <a:ext cx="4904105" cy="6388735"/>
                    </a:xfrm>
                    <a:prstGeom prst="rect">
                      <a:avLst/>
                    </a:prstGeom>
                    <a:noFill/>
                    <a:ln w="9525">
                      <a:noFill/>
                      <a:miter lim="800000"/>
                      <a:headEnd/>
                      <a:tailEnd/>
                    </a:ln>
                  </pic:spPr>
                </pic:pic>
              </a:graphicData>
            </a:graphic>
          </wp:anchor>
        </w:drawing>
      </w:r>
    </w:p>
    <w:p w14:paraId="42FE8A7B" w14:textId="77777777" w:rsidR="00CE16E7" w:rsidRDefault="00CE16E7" w:rsidP="00CE16E7">
      <w:pPr>
        <w:pStyle w:val="Sansinterligne"/>
        <w:rPr>
          <w:b/>
          <w:i/>
        </w:rPr>
      </w:pPr>
    </w:p>
    <w:p w14:paraId="3A136787" w14:textId="77777777" w:rsidR="00CE16E7" w:rsidRPr="00B27ED8" w:rsidRDefault="00CE16E7" w:rsidP="00CE16E7">
      <w:pPr>
        <w:pStyle w:val="Sansinterligne"/>
        <w:rPr>
          <w:b/>
          <w:i/>
        </w:rPr>
      </w:pPr>
    </w:p>
    <w:p w14:paraId="15776D87" w14:textId="77777777" w:rsidR="00CE16E7" w:rsidRDefault="00CE16E7" w:rsidP="00CE16E7">
      <w:pPr>
        <w:pStyle w:val="Sansinterligne"/>
        <w:rPr>
          <w:noProof/>
          <w:lang w:eastAsia="fr-FR"/>
        </w:rPr>
      </w:pP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p>
    <w:p w14:paraId="21B19276" w14:textId="77777777" w:rsidR="00CE16E7" w:rsidRDefault="00CE16E7" w:rsidP="00CE16E7">
      <w:pPr>
        <w:pStyle w:val="Sansinterligne"/>
        <w:rPr>
          <w:noProof/>
          <w:lang w:eastAsia="fr-FR"/>
        </w:rPr>
      </w:pPr>
    </w:p>
    <w:p w14:paraId="344C781C" w14:textId="77777777" w:rsidR="00CE16E7" w:rsidRPr="00F956F7" w:rsidRDefault="00CE16E7" w:rsidP="00CE16E7">
      <w:pPr>
        <w:pStyle w:val="Sansinterligne"/>
        <w:rPr>
          <w:sz w:val="10"/>
          <w:szCs w:val="10"/>
        </w:rPr>
      </w:pPr>
    </w:p>
    <w:p w14:paraId="74A88955" w14:textId="77777777" w:rsidR="00CE16E7" w:rsidRPr="00D65BF1" w:rsidRDefault="00CE16E7" w:rsidP="00CE16E7">
      <w:pPr>
        <w:pStyle w:val="Titre3"/>
        <w:rPr>
          <w:b/>
          <w:sz w:val="32"/>
          <w:szCs w:val="32"/>
          <w:highlight w:val="yellow"/>
        </w:rPr>
      </w:pPr>
      <w:r w:rsidRPr="00D65BF1">
        <w:rPr>
          <w:b/>
          <w:sz w:val="32"/>
          <w:szCs w:val="32"/>
          <w:highlight w:val="yellow"/>
        </w:rPr>
        <w:t>Bilan du chapitre :</w:t>
      </w:r>
    </w:p>
    <w:p w14:paraId="00A986CE" w14:textId="77777777" w:rsidR="00CE16E7" w:rsidRPr="00D65BF1" w:rsidRDefault="00CE16E7" w:rsidP="00CE16E7">
      <w:pPr>
        <w:pStyle w:val="Titre3"/>
        <w:rPr>
          <w:b/>
          <w:sz w:val="32"/>
          <w:szCs w:val="32"/>
          <w:highlight w:val="yellow"/>
        </w:rPr>
      </w:pPr>
      <w:r w:rsidRPr="00D65BF1">
        <w:rPr>
          <w:b/>
          <w:sz w:val="32"/>
          <w:szCs w:val="32"/>
          <w:highlight w:val="yellow"/>
        </w:rPr>
        <w:t>L'immunité innée est présente dès la naissance chez un grand nombre d’animaux.</w:t>
      </w:r>
    </w:p>
    <w:p w14:paraId="02A5494F" w14:textId="77777777" w:rsidR="00CE16E7" w:rsidRPr="00D65BF1" w:rsidRDefault="00CE16E7" w:rsidP="00CE16E7">
      <w:pPr>
        <w:pStyle w:val="Titre3"/>
        <w:rPr>
          <w:b/>
          <w:sz w:val="32"/>
          <w:szCs w:val="32"/>
          <w:highlight w:val="yellow"/>
        </w:rPr>
      </w:pPr>
      <w:r w:rsidRPr="00D65BF1">
        <w:rPr>
          <w:b/>
          <w:sz w:val="32"/>
          <w:szCs w:val="32"/>
          <w:highlight w:val="yellow"/>
        </w:rPr>
        <w:t>C'est une première ligne de défense stéréotypée et rapide en cas d’atteinte de tissus, infection, cancer. Elle agit d'abord seule puis se prolonge pendant toute la réaction immunitaire dont elle prépare la phase adaptative</w:t>
      </w:r>
    </w:p>
    <w:p w14:paraId="19F9FF38" w14:textId="77777777" w:rsidR="00CE16E7" w:rsidRDefault="00CE16E7" w:rsidP="00CE16E7"/>
    <w:p w14:paraId="36536E52" w14:textId="77777777" w:rsidR="00CE16E7" w:rsidRDefault="00CE16E7" w:rsidP="00CE16E7">
      <w:pPr>
        <w:rPr>
          <w:b/>
          <w:bCs/>
        </w:rPr>
      </w:pPr>
    </w:p>
    <w:p w14:paraId="7CBAAEFD" w14:textId="77777777" w:rsidR="00CE16E7" w:rsidRDefault="00CE16E7" w:rsidP="00CE16E7">
      <w:pPr>
        <w:rPr>
          <w:b/>
          <w:bCs/>
        </w:rPr>
      </w:pPr>
    </w:p>
    <w:p w14:paraId="77469B01" w14:textId="77777777" w:rsidR="00CE16E7" w:rsidRDefault="00CE16E7" w:rsidP="00CE16E7">
      <w:pPr>
        <w:rPr>
          <w:b/>
          <w:bCs/>
        </w:rPr>
      </w:pPr>
    </w:p>
    <w:p w14:paraId="7F043B91" w14:textId="3EF5D058" w:rsidR="00CE16E7" w:rsidRPr="00CE16E7" w:rsidRDefault="00CE16E7" w:rsidP="00CE16E7">
      <w:pPr>
        <w:jc w:val="center"/>
        <w:rPr>
          <w:b/>
          <w:bCs/>
          <w:sz w:val="32"/>
          <w:szCs w:val="32"/>
        </w:rPr>
      </w:pPr>
      <w:r w:rsidRPr="00CE16E7">
        <w:rPr>
          <w:b/>
          <w:bCs/>
          <w:sz w:val="32"/>
          <w:szCs w:val="32"/>
        </w:rPr>
        <w:t>Chapitre 2 – L’immunité adaptative</w:t>
      </w:r>
    </w:p>
    <w:p w14:paraId="606E24A2" w14:textId="77777777" w:rsidR="00CE16E7" w:rsidRPr="00CE16E7" w:rsidRDefault="00CE16E7" w:rsidP="00CE16E7">
      <w:pPr>
        <w:rPr>
          <w:b/>
          <w:u w:val="single"/>
        </w:rPr>
      </w:pPr>
    </w:p>
    <w:p w14:paraId="7C803789" w14:textId="77777777" w:rsidR="00CE16E7" w:rsidRPr="00CE16E7" w:rsidRDefault="00CE16E7" w:rsidP="00CE16E7">
      <w:pPr>
        <w:rPr>
          <w:b/>
        </w:rPr>
      </w:pPr>
      <w:r w:rsidRPr="00CE16E7">
        <w:rPr>
          <w:b/>
          <w:u w:val="single"/>
        </w:rPr>
        <w:t>Introduction </w:t>
      </w:r>
      <w:r w:rsidRPr="00CE16E7">
        <w:rPr>
          <w:b/>
        </w:rPr>
        <w:t xml:space="preserve">: </w:t>
      </w:r>
    </w:p>
    <w:p w14:paraId="5DDF770F" w14:textId="77777777" w:rsidR="00CE16E7" w:rsidRPr="00CE16E7" w:rsidRDefault="00CE16E7" w:rsidP="00CE16E7"/>
    <w:p w14:paraId="60E750B1" w14:textId="77777777" w:rsidR="00CE16E7" w:rsidRPr="00CE16E7" w:rsidRDefault="00CE16E7" w:rsidP="00CE16E7">
      <w:r w:rsidRPr="00CE16E7">
        <w:t>Les mécanismes de l’immunité innée sont parfois insuffisants pour éliminer l’agent infectieux. Une nouvelle phase de la réponse immunitaire doit alors se mettre en place. (Voir fin chapitre1)</w:t>
      </w:r>
    </w:p>
    <w:p w14:paraId="250F72C4" w14:textId="77777777" w:rsidR="00CE16E7" w:rsidRPr="00CE16E7" w:rsidRDefault="00CE16E7" w:rsidP="00CE16E7"/>
    <w:p w14:paraId="5CB28239" w14:textId="797DB3D1" w:rsidR="00CE16E7" w:rsidRPr="00CE16E7" w:rsidRDefault="00CE16E7" w:rsidP="00CE16E7">
      <w:r w:rsidRPr="00CE16E7">
        <w:drawing>
          <wp:inline distT="0" distB="0" distL="0" distR="0" wp14:anchorId="79E001F2" wp14:editId="2CBD694F">
            <wp:extent cx="3933825" cy="1657350"/>
            <wp:effectExtent l="0" t="0" r="9525" b="0"/>
            <wp:docPr id="124212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lum bright="-10000" contrast="30000"/>
                      <a:extLst>
                        <a:ext uri="{28A0092B-C50C-407E-A947-70E740481C1C}">
                          <a14:useLocalDpi xmlns:a14="http://schemas.microsoft.com/office/drawing/2010/main" val="0"/>
                        </a:ext>
                      </a:extLst>
                    </a:blip>
                    <a:srcRect l="65645" t="11304" r="4726" b="64426"/>
                    <a:stretch>
                      <a:fillRect/>
                    </a:stretch>
                  </pic:blipFill>
                  <pic:spPr bwMode="auto">
                    <a:xfrm>
                      <a:off x="0" y="0"/>
                      <a:ext cx="3933825" cy="1657350"/>
                    </a:xfrm>
                    <a:prstGeom prst="rect">
                      <a:avLst/>
                    </a:prstGeom>
                    <a:noFill/>
                    <a:ln>
                      <a:noFill/>
                    </a:ln>
                  </pic:spPr>
                </pic:pic>
              </a:graphicData>
            </a:graphic>
          </wp:inline>
        </w:drawing>
      </w:r>
    </w:p>
    <w:p w14:paraId="473AA750" w14:textId="77777777" w:rsidR="00CE16E7" w:rsidRPr="00CE16E7" w:rsidRDefault="00CE16E7" w:rsidP="00CE16E7"/>
    <w:p w14:paraId="30318367" w14:textId="77777777" w:rsidR="00CE16E7" w:rsidRPr="00CE16E7" w:rsidRDefault="00CE16E7" w:rsidP="00CE16E7">
      <w:r w:rsidRPr="00CE16E7">
        <w:t>L’immunité adaptative est propre au taxon des Vertébrés : son apparition remonte à environ -450 millions d’années.</w:t>
      </w:r>
    </w:p>
    <w:p w14:paraId="768ACA00" w14:textId="77777777" w:rsidR="00CE16E7" w:rsidRPr="00CE16E7" w:rsidRDefault="00CE16E7" w:rsidP="00CE16E7"/>
    <w:p w14:paraId="45745C0F" w14:textId="77777777" w:rsidR="00CE16E7" w:rsidRPr="00CE16E7" w:rsidRDefault="00CE16E7" w:rsidP="00CE16E7"/>
    <w:p w14:paraId="1BFC813F" w14:textId="77777777" w:rsidR="00CE16E7" w:rsidRPr="00CE16E7" w:rsidRDefault="00CE16E7" w:rsidP="00CE16E7">
      <w:pPr>
        <w:rPr>
          <w:color w:val="EE0000"/>
        </w:rPr>
      </w:pPr>
      <w:r w:rsidRPr="00CE16E7">
        <w:rPr>
          <w:color w:val="EE0000"/>
        </w:rPr>
        <w:t xml:space="preserve">I) Les réactions de l’immunité adaptative : </w:t>
      </w:r>
    </w:p>
    <w:p w14:paraId="40F7008A" w14:textId="77777777" w:rsidR="00CE16E7" w:rsidRPr="00CE16E7" w:rsidRDefault="00CE16E7" w:rsidP="00CE16E7"/>
    <w:p w14:paraId="5EDC7FE1" w14:textId="77777777" w:rsidR="00CE16E7" w:rsidRPr="00CE16E7" w:rsidRDefault="00CE16E7" w:rsidP="00CE16E7">
      <w:r w:rsidRPr="00CE16E7">
        <w:t>1) Etude d’expériences sur des cobayes</w:t>
      </w:r>
    </w:p>
    <w:p w14:paraId="4C22BB18" w14:textId="77777777" w:rsidR="00CE16E7" w:rsidRPr="00CE16E7" w:rsidRDefault="00CE16E7" w:rsidP="00CE16E7"/>
    <w:p w14:paraId="6B70782F" w14:textId="77777777" w:rsidR="00CE16E7" w:rsidRPr="00CE16E7" w:rsidRDefault="00CE16E7" w:rsidP="00CE16E7">
      <w:pPr>
        <w:rPr>
          <w:b/>
        </w:rPr>
      </w:pPr>
      <w:r w:rsidRPr="00CE16E7">
        <w:rPr>
          <w:b/>
        </w:rPr>
        <w:t>Activité 1 : Etude des caractéristiques de la réponse adaptative</w:t>
      </w:r>
    </w:p>
    <w:p w14:paraId="54BF9590" w14:textId="77777777" w:rsidR="00CE16E7" w:rsidRPr="00CE16E7" w:rsidRDefault="00CE16E7" w:rsidP="00CE16E7">
      <w:pPr>
        <w:rPr>
          <w:b/>
        </w:rPr>
      </w:pPr>
    </w:p>
    <w:p w14:paraId="54D9A421" w14:textId="77777777" w:rsidR="00CE16E7" w:rsidRPr="00CE16E7" w:rsidRDefault="00CE16E7" w:rsidP="00CE16E7">
      <w:pPr>
        <w:rPr>
          <w:b/>
        </w:rPr>
      </w:pPr>
    </w:p>
    <w:p w14:paraId="3C7A78A1" w14:textId="3C573C56" w:rsidR="00CE16E7" w:rsidRPr="00CE16E7" w:rsidRDefault="00CE16E7" w:rsidP="00CE16E7">
      <w:pPr>
        <w:rPr>
          <w:b/>
        </w:rPr>
      </w:pPr>
      <w:r w:rsidRPr="00CE16E7">
        <w:drawing>
          <wp:inline distT="0" distB="0" distL="0" distR="0" wp14:anchorId="21B7A264" wp14:editId="6F4EC7E3">
            <wp:extent cx="4419600" cy="1895475"/>
            <wp:effectExtent l="0" t="0" r="0" b="9525"/>
            <wp:docPr id="19283642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l="4747" t="9567" r="52660" b="62720"/>
                    <a:stretch>
                      <a:fillRect/>
                    </a:stretch>
                  </pic:blipFill>
                  <pic:spPr bwMode="auto">
                    <a:xfrm>
                      <a:off x="0" y="0"/>
                      <a:ext cx="4419600" cy="1895475"/>
                    </a:xfrm>
                    <a:prstGeom prst="rect">
                      <a:avLst/>
                    </a:prstGeom>
                    <a:noFill/>
                    <a:ln>
                      <a:noFill/>
                    </a:ln>
                  </pic:spPr>
                </pic:pic>
              </a:graphicData>
            </a:graphic>
          </wp:inline>
        </w:drawing>
      </w:r>
    </w:p>
    <w:p w14:paraId="41728EE1" w14:textId="77777777" w:rsidR="00CE16E7" w:rsidRPr="00CE16E7" w:rsidRDefault="00CE16E7" w:rsidP="00CE16E7">
      <w:pPr>
        <w:rPr>
          <w:b/>
        </w:rPr>
      </w:pPr>
    </w:p>
    <w:p w14:paraId="4ED66DDB" w14:textId="77777777" w:rsidR="00CE16E7" w:rsidRPr="00CE16E7" w:rsidRDefault="00CE16E7" w:rsidP="00CE16E7">
      <w:r w:rsidRPr="00CE16E7">
        <w:lastRenderedPageBreak/>
        <w:t>Expérience 1 : On voit que les cobayes sont immunisés contre le Tétanos. Lors de la remise en contact avec la toxine tétanique les cobayes survivent alors que ceux qui sont mis en contact avec une autre toxine meurent.</w:t>
      </w:r>
    </w:p>
    <w:p w14:paraId="13414DEB" w14:textId="77777777" w:rsidR="00CE16E7" w:rsidRPr="00CE16E7" w:rsidRDefault="00CE16E7" w:rsidP="00CE16E7">
      <w:r w:rsidRPr="00CE16E7">
        <w:t>On sait que l’immunité acquise l’est à la suite d’un vaccin.</w:t>
      </w:r>
    </w:p>
    <w:p w14:paraId="4B56DE4D" w14:textId="77777777" w:rsidR="00CE16E7" w:rsidRPr="00CE16E7" w:rsidRDefault="00CE16E7" w:rsidP="00CE16E7">
      <w:r w:rsidRPr="00CE16E7">
        <w:t>On en conclut que des molécules conçues lors d’une première inoculation non virulente sont stockées et utilisées lors de la remise en contact avec le pathogène.</w:t>
      </w:r>
    </w:p>
    <w:p w14:paraId="5E9B1713" w14:textId="77777777" w:rsidR="00CE16E7" w:rsidRPr="00CE16E7" w:rsidRDefault="00CE16E7" w:rsidP="00CE16E7"/>
    <w:p w14:paraId="7ED10B57" w14:textId="71D42CD6" w:rsidR="00CE16E7" w:rsidRPr="00CE16E7" w:rsidRDefault="00CE16E7" w:rsidP="00CE16E7">
      <w:r w:rsidRPr="00CE16E7">
        <w:drawing>
          <wp:inline distT="0" distB="0" distL="0" distR="0" wp14:anchorId="1CDDAB60" wp14:editId="13AD1390">
            <wp:extent cx="5760720" cy="4105275"/>
            <wp:effectExtent l="0" t="0" r="0" b="9525"/>
            <wp:docPr id="137470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l="4747" t="40256" r="52660" b="13712"/>
                    <a:stretch>
                      <a:fillRect/>
                    </a:stretch>
                  </pic:blipFill>
                  <pic:spPr bwMode="auto">
                    <a:xfrm>
                      <a:off x="0" y="0"/>
                      <a:ext cx="5760720" cy="4105275"/>
                    </a:xfrm>
                    <a:prstGeom prst="rect">
                      <a:avLst/>
                    </a:prstGeom>
                    <a:noFill/>
                    <a:ln>
                      <a:noFill/>
                    </a:ln>
                  </pic:spPr>
                </pic:pic>
              </a:graphicData>
            </a:graphic>
          </wp:inline>
        </w:drawing>
      </w:r>
    </w:p>
    <w:p w14:paraId="7514A990" w14:textId="77777777" w:rsidR="00CE16E7" w:rsidRPr="00CE16E7" w:rsidRDefault="00CE16E7" w:rsidP="00CE16E7">
      <w:r w:rsidRPr="00CE16E7">
        <w:t xml:space="preserve">Expérience 2 : On voit que des cobayes immunisés contre la Diphtérie survivent lors d’une remise en contact avec la toxine. Que si un sérum est prélevé et injecté dans un cobaye non immunisé avec la toxine diphtérique alors il y a survie contrairement à la même expérience où le sérum est remplacé par une solution avec des lymphocytes. </w:t>
      </w:r>
    </w:p>
    <w:p w14:paraId="34B9E0F0" w14:textId="77777777" w:rsidR="00CE16E7" w:rsidRPr="00CE16E7" w:rsidRDefault="00CE16E7" w:rsidP="00CE16E7">
      <w:r w:rsidRPr="00CE16E7">
        <w:t>On sait que la diphtérie est une molécule extracellulaire.</w:t>
      </w:r>
    </w:p>
    <w:p w14:paraId="59F7391E" w14:textId="77777777" w:rsidR="00CE16E7" w:rsidRPr="00CE16E7" w:rsidRDefault="00CE16E7" w:rsidP="00CE16E7">
      <w:r w:rsidRPr="00CE16E7">
        <w:t>On en conclut que des molécules contenues dans le sérum permettent de lutter contre des pathogènes extracellulaires. Alors que les lymphocytes n’ont pas d’action.</w:t>
      </w:r>
    </w:p>
    <w:p w14:paraId="7C571D3F" w14:textId="77777777" w:rsidR="00CE16E7" w:rsidRPr="00CE16E7" w:rsidRDefault="00CE16E7" w:rsidP="00CE16E7"/>
    <w:p w14:paraId="3509E290" w14:textId="77777777" w:rsidR="00CE16E7" w:rsidRPr="00CE16E7" w:rsidRDefault="00CE16E7" w:rsidP="00CE16E7">
      <w:r w:rsidRPr="00CE16E7">
        <w:t xml:space="preserve">Expérience 3 : On voit lors d’une expérience similaire à la précédente qu’en présence d’une maladie de type bacille de Koch, les résultats sont opposés, le sérum ne protège pas alors que les lymphocytes oui. </w:t>
      </w:r>
    </w:p>
    <w:p w14:paraId="57457EB6" w14:textId="77777777" w:rsidR="00CE16E7" w:rsidRPr="00CE16E7" w:rsidRDefault="00CE16E7" w:rsidP="00CE16E7">
      <w:r w:rsidRPr="00CE16E7">
        <w:t>On sait que le bacille de Koch se développe dans les cellules.</w:t>
      </w:r>
    </w:p>
    <w:p w14:paraId="201AE223" w14:textId="77777777" w:rsidR="00CE16E7" w:rsidRPr="00CE16E7" w:rsidRDefault="00CE16E7" w:rsidP="00CE16E7">
      <w:r w:rsidRPr="00CE16E7">
        <w:t xml:space="preserve">On en conclut que les lymphocytes ont une action contre les cellules infectées, alors que le sérum non. </w:t>
      </w:r>
    </w:p>
    <w:p w14:paraId="42622046" w14:textId="77777777" w:rsidR="00CE16E7" w:rsidRPr="00CE16E7" w:rsidRDefault="00CE16E7" w:rsidP="00CE16E7"/>
    <w:p w14:paraId="4E8B9591" w14:textId="6AB569CD" w:rsidR="00710B94" w:rsidRDefault="00CE16E7">
      <w:r w:rsidRPr="00CE16E7">
        <w:t>On conclut de ces expériences que les acteurs de l’immunité adaptative sont différents selon le pathogène en question mais que la mise en place de la défense immunitaire nécessite une vaccination en amont.</w:t>
      </w:r>
    </w:p>
    <w:sectPr w:rsidR="00710B94" w:rsidSect="00CE16E7">
      <w:pgSz w:w="11906" w:h="16838"/>
      <w:pgMar w:top="142" w:right="42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6E7"/>
    <w:rsid w:val="00710B94"/>
    <w:rsid w:val="00CE16E7"/>
    <w:rsid w:val="00EF6B01"/>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6F90E"/>
  <w15:chartTrackingRefBased/>
  <w15:docId w15:val="{B92F0D0A-D696-4837-8153-DC633C0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E16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E16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aliases w:val="bilan"/>
    <w:basedOn w:val="Normal"/>
    <w:next w:val="Normal"/>
    <w:link w:val="Titre3Car"/>
    <w:uiPriority w:val="9"/>
    <w:unhideWhenUsed/>
    <w:qFormat/>
    <w:rsid w:val="00CE16E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E16E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E16E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E16E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E16E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E16E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E16E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16E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E16E7"/>
    <w:rPr>
      <w:rFonts w:asciiTheme="majorHAnsi" w:eastAsiaTheme="majorEastAsia" w:hAnsiTheme="majorHAnsi" w:cstheme="majorBidi"/>
      <w:color w:val="0F4761" w:themeColor="accent1" w:themeShade="BF"/>
      <w:sz w:val="32"/>
      <w:szCs w:val="32"/>
    </w:rPr>
  </w:style>
  <w:style w:type="character" w:customStyle="1" w:styleId="Titre3Car">
    <w:name w:val="Titre 3 Car"/>
    <w:aliases w:val="bilan Car"/>
    <w:basedOn w:val="Policepardfaut"/>
    <w:link w:val="Titre3"/>
    <w:uiPriority w:val="9"/>
    <w:rsid w:val="00CE16E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E16E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E16E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E16E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E16E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E16E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E16E7"/>
    <w:rPr>
      <w:rFonts w:eastAsiaTheme="majorEastAsia" w:cstheme="majorBidi"/>
      <w:color w:val="272727" w:themeColor="text1" w:themeTint="D8"/>
    </w:rPr>
  </w:style>
  <w:style w:type="paragraph" w:styleId="Titre">
    <w:name w:val="Title"/>
    <w:basedOn w:val="Normal"/>
    <w:next w:val="Normal"/>
    <w:link w:val="TitreCar"/>
    <w:uiPriority w:val="10"/>
    <w:qFormat/>
    <w:rsid w:val="00CE16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E16E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E16E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E16E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E16E7"/>
    <w:pPr>
      <w:spacing w:before="160"/>
      <w:jc w:val="center"/>
    </w:pPr>
    <w:rPr>
      <w:i/>
      <w:iCs/>
      <w:color w:val="404040" w:themeColor="text1" w:themeTint="BF"/>
    </w:rPr>
  </w:style>
  <w:style w:type="character" w:customStyle="1" w:styleId="CitationCar">
    <w:name w:val="Citation Car"/>
    <w:basedOn w:val="Policepardfaut"/>
    <w:link w:val="Citation"/>
    <w:uiPriority w:val="29"/>
    <w:rsid w:val="00CE16E7"/>
    <w:rPr>
      <w:i/>
      <w:iCs/>
      <w:color w:val="404040" w:themeColor="text1" w:themeTint="BF"/>
    </w:rPr>
  </w:style>
  <w:style w:type="paragraph" w:styleId="Paragraphedeliste">
    <w:name w:val="List Paragraph"/>
    <w:basedOn w:val="Normal"/>
    <w:uiPriority w:val="34"/>
    <w:qFormat/>
    <w:rsid w:val="00CE16E7"/>
    <w:pPr>
      <w:ind w:left="720"/>
      <w:contextualSpacing/>
    </w:pPr>
  </w:style>
  <w:style w:type="character" w:styleId="Accentuationintense">
    <w:name w:val="Intense Emphasis"/>
    <w:basedOn w:val="Policepardfaut"/>
    <w:uiPriority w:val="21"/>
    <w:qFormat/>
    <w:rsid w:val="00CE16E7"/>
    <w:rPr>
      <w:i/>
      <w:iCs/>
      <w:color w:val="0F4761" w:themeColor="accent1" w:themeShade="BF"/>
    </w:rPr>
  </w:style>
  <w:style w:type="paragraph" w:styleId="Citationintense">
    <w:name w:val="Intense Quote"/>
    <w:basedOn w:val="Normal"/>
    <w:next w:val="Normal"/>
    <w:link w:val="CitationintenseCar"/>
    <w:uiPriority w:val="30"/>
    <w:qFormat/>
    <w:rsid w:val="00CE16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E16E7"/>
    <w:rPr>
      <w:i/>
      <w:iCs/>
      <w:color w:val="0F4761" w:themeColor="accent1" w:themeShade="BF"/>
    </w:rPr>
  </w:style>
  <w:style w:type="character" w:styleId="Rfrenceintense">
    <w:name w:val="Intense Reference"/>
    <w:basedOn w:val="Policepardfaut"/>
    <w:uiPriority w:val="32"/>
    <w:qFormat/>
    <w:rsid w:val="00CE16E7"/>
    <w:rPr>
      <w:b/>
      <w:bCs/>
      <w:smallCaps/>
      <w:color w:val="0F4761" w:themeColor="accent1" w:themeShade="BF"/>
      <w:spacing w:val="5"/>
    </w:rPr>
  </w:style>
  <w:style w:type="paragraph" w:styleId="Sansinterligne">
    <w:name w:val="No Spacing"/>
    <w:uiPriority w:val="1"/>
    <w:qFormat/>
    <w:rsid w:val="00CE16E7"/>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552</Words>
  <Characters>3040</Characters>
  <Application>Microsoft Office Word</Application>
  <DocSecurity>0</DocSecurity>
  <Lines>25</Lines>
  <Paragraphs>7</Paragraphs>
  <ScaleCrop>false</ScaleCrop>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2026-03-17T15:48:00Z</dcterms:created>
  <dcterms:modified xsi:type="dcterms:W3CDTF">2026-03-17T15:52:00Z</dcterms:modified>
</cp:coreProperties>
</file>