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1E6A" w14:textId="77777777" w:rsidR="00D45123" w:rsidRDefault="00165A96">
      <w:pPr>
        <w:spacing w:after="0" w:line="259" w:lineRule="auto"/>
        <w:ind w:left="7" w:firstLine="0"/>
        <w:jc w:val="center"/>
      </w:pPr>
      <w:r>
        <w:rPr>
          <w:b/>
        </w:rPr>
        <w:t xml:space="preserve"> </w:t>
      </w:r>
    </w:p>
    <w:p w14:paraId="0F7E7AA3" w14:textId="77777777" w:rsidR="00D45123" w:rsidRDefault="00165A96">
      <w:pPr>
        <w:pStyle w:val="Titre2"/>
        <w:spacing w:after="0" w:line="259" w:lineRule="auto"/>
        <w:ind w:right="50"/>
        <w:jc w:val="center"/>
      </w:pPr>
      <w:r>
        <w:t xml:space="preserve">La disparition des mammouths laineux </w:t>
      </w:r>
    </w:p>
    <w:p w14:paraId="0233868D" w14:textId="77777777" w:rsidR="00D45123" w:rsidRDefault="00165A96">
      <w:pPr>
        <w:spacing w:after="0" w:line="259" w:lineRule="auto"/>
        <w:ind w:left="3278" w:firstLine="0"/>
      </w:pPr>
      <w:r>
        <w:rPr>
          <w:b/>
        </w:rPr>
        <w:t xml:space="preserve"> </w:t>
      </w:r>
    </w:p>
    <w:p w14:paraId="0DBD7FB4" w14:textId="77777777" w:rsidR="00D45123" w:rsidRDefault="00165A96">
      <w:pPr>
        <w:spacing w:after="0" w:line="259" w:lineRule="auto"/>
        <w:ind w:left="3278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45EBDD" wp14:editId="66763448">
            <wp:simplePos x="0" y="0"/>
            <wp:positionH relativeFrom="column">
              <wp:posOffset>4280916</wp:posOffset>
            </wp:positionH>
            <wp:positionV relativeFrom="paragraph">
              <wp:posOffset>-61588</wp:posOffset>
            </wp:positionV>
            <wp:extent cx="2310384" cy="1975104"/>
            <wp:effectExtent l="0" t="0" r="0" b="0"/>
            <wp:wrapSquare wrapText="bothSides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038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9D8E3E0" w14:textId="77777777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50AADDCB" w14:textId="77777777" w:rsidR="00D45123" w:rsidRDefault="00165A96">
      <w:pPr>
        <w:spacing w:after="0" w:line="259" w:lineRule="auto"/>
        <w:ind w:left="3278" w:firstLine="0"/>
      </w:pPr>
      <w:r>
        <w:t xml:space="preserve"> </w:t>
      </w:r>
    </w:p>
    <w:p w14:paraId="460B9148" w14:textId="77777777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44D15D82" w14:textId="77777777" w:rsidR="00D45123" w:rsidRDefault="00165A96">
      <w:pPr>
        <w:ind w:left="2"/>
      </w:pPr>
      <w:r>
        <w:t>Le mammouth laineux (</w:t>
      </w:r>
      <w:proofErr w:type="spellStart"/>
      <w:r>
        <w:rPr>
          <w:i/>
        </w:rPr>
        <w:t>Mammuthus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primigenius</w:t>
      </w:r>
      <w:proofErr w:type="spellEnd"/>
      <w:r>
        <w:t xml:space="preserve">) est une espèce fossile proche des éléphants actuels. </w:t>
      </w:r>
    </w:p>
    <w:p w14:paraId="2EFD22B6" w14:textId="77777777" w:rsidR="00D45123" w:rsidRDefault="00165A96">
      <w:pPr>
        <w:ind w:left="2"/>
      </w:pPr>
      <w:r>
        <w:t xml:space="preserve">Il y a quelques dizaines de milliers d’années, il occupait encore une large partie de l’Eurasie et de l’Amérique du Nord. Mais, il y a environ 10 000 ans, presque toutes ses populations ont disparu. </w:t>
      </w:r>
    </w:p>
    <w:p w14:paraId="40297BD4" w14:textId="77777777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12805A72" w14:textId="77777777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611A8681" w14:textId="77777777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51A6DA74" w14:textId="77777777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09177AF2" w14:textId="77777777" w:rsidR="00D45123" w:rsidRDefault="00165A96">
      <w:pPr>
        <w:spacing w:after="4" w:line="249" w:lineRule="auto"/>
        <w:ind w:left="1767"/>
      </w:pPr>
      <w:r>
        <w:rPr>
          <w:i/>
        </w:rPr>
        <w:t xml:space="preserve">D’après A. </w:t>
      </w:r>
      <w:proofErr w:type="spellStart"/>
      <w:r>
        <w:rPr>
          <w:i/>
        </w:rPr>
        <w:t>Hołda-Michalska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, </w:t>
      </w:r>
      <w:r>
        <w:rPr>
          <w:i/>
        </w:rPr>
        <w:t>2014</w:t>
      </w:r>
      <w:r>
        <w:t xml:space="preserve"> </w:t>
      </w:r>
    </w:p>
    <w:p w14:paraId="64D4517B" w14:textId="77777777" w:rsidR="00D45123" w:rsidRDefault="00165A96">
      <w:pPr>
        <w:spacing w:after="86" w:line="259" w:lineRule="auto"/>
        <w:ind w:left="7" w:firstLine="0"/>
      </w:pPr>
      <w:r>
        <w:t xml:space="preserve">  </w:t>
      </w:r>
    </w:p>
    <w:p w14:paraId="4046C508" w14:textId="77777777" w:rsidR="00D45123" w:rsidRDefault="00165A96">
      <w:pPr>
        <w:pBdr>
          <w:top w:val="single" w:sz="30" w:space="0" w:color="FFFFFF"/>
          <w:left w:val="single" w:sz="6" w:space="0" w:color="F0F0F0"/>
          <w:bottom w:val="single" w:sz="6" w:space="0" w:color="A0A0A0"/>
          <w:right w:val="single" w:sz="6" w:space="0" w:color="A0A0A0"/>
        </w:pBdr>
        <w:spacing w:after="107"/>
        <w:ind w:left="-5"/>
      </w:pPr>
      <w:r>
        <w:rPr>
          <w:b/>
        </w:rPr>
        <w:t>À l’aide de l’exploitation des documents proposés et de vos connaissances, montrer que la disparition des mammouths laineux pourrait avoir deux causes différentes.</w:t>
      </w:r>
      <w:r>
        <w:t xml:space="preserve"> </w:t>
      </w:r>
    </w:p>
    <w:p w14:paraId="7601AC94" w14:textId="77777777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3946A074" w14:textId="62705B27" w:rsidR="00D45123" w:rsidRDefault="00165A96">
      <w:pPr>
        <w:spacing w:after="0" w:line="259" w:lineRule="auto"/>
        <w:ind w:left="7" w:firstLine="0"/>
      </w:pPr>
      <w:r>
        <w:rPr>
          <w:b/>
        </w:rPr>
        <w:t xml:space="preserve"> </w:t>
      </w:r>
      <w:r>
        <w:t xml:space="preserve"> </w:t>
      </w:r>
    </w:p>
    <w:p w14:paraId="65865130" w14:textId="5B1A2DC0" w:rsidR="00D45123" w:rsidRDefault="00165A96">
      <w:pPr>
        <w:pStyle w:val="Titre2"/>
        <w:ind w:left="2" w:right="0"/>
      </w:pPr>
      <w:r>
        <w:rPr>
          <w:u w:val="single" w:color="000000"/>
        </w:rPr>
        <w:t>Document 1</w:t>
      </w:r>
      <w:r>
        <w:t xml:space="preserve"> : variation de l’insolation à 60° de latitude nord durant les derniers 45 000 ans </w:t>
      </w:r>
    </w:p>
    <w:p w14:paraId="6CE5907A" w14:textId="1059218D" w:rsidR="00D45123" w:rsidRDefault="00165A96">
      <w:pPr>
        <w:spacing w:after="0" w:line="259" w:lineRule="auto"/>
        <w:ind w:left="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0946F" wp14:editId="0A4A8D13">
            <wp:simplePos x="0" y="0"/>
            <wp:positionH relativeFrom="column">
              <wp:posOffset>2206031</wp:posOffset>
            </wp:positionH>
            <wp:positionV relativeFrom="paragraph">
              <wp:posOffset>149657</wp:posOffset>
            </wp:positionV>
            <wp:extent cx="4474210" cy="1128395"/>
            <wp:effectExtent l="0" t="0" r="254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DE483B1" w14:textId="33F1397C" w:rsidR="00D45123" w:rsidRDefault="00165A96">
      <w:pPr>
        <w:ind w:left="2"/>
      </w:pPr>
      <w:r>
        <w:t>L’insolation correspond à la quantité d’énergie solaire (en Watts) reçue par mètre carré de surface terrestre. Elle dépend largement des paramètres astronomiques de la pl</w:t>
      </w:r>
      <w:r>
        <w:t xml:space="preserve">anète. </w:t>
      </w:r>
    </w:p>
    <w:p w14:paraId="029D0262" w14:textId="54457855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5C711E5A" w14:textId="189467A7" w:rsidR="00D45123" w:rsidRDefault="00165A96">
      <w:pPr>
        <w:spacing w:after="0" w:line="259" w:lineRule="auto"/>
        <w:ind w:left="0" w:right="168" w:firstLine="0"/>
        <w:jc w:val="right"/>
      </w:pPr>
      <w:r>
        <w:t xml:space="preserve"> </w:t>
      </w:r>
    </w:p>
    <w:p w14:paraId="7AA637BD" w14:textId="77777777" w:rsidR="00D45123" w:rsidRDefault="00165A96">
      <w:pPr>
        <w:spacing w:after="0" w:line="259" w:lineRule="auto"/>
        <w:ind w:left="10" w:right="44"/>
        <w:jc w:val="right"/>
      </w:pPr>
      <w:r>
        <w:rPr>
          <w:i/>
        </w:rPr>
        <w:t>D’après G.M. MacDonald et al., Nature, 2012</w:t>
      </w:r>
      <w:r>
        <w:t xml:space="preserve"> </w:t>
      </w:r>
    </w:p>
    <w:p w14:paraId="55B544B8" w14:textId="77777777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261A38D0" w14:textId="77777777" w:rsidR="00D45123" w:rsidRDefault="00165A96">
      <w:pPr>
        <w:spacing w:after="4" w:line="249" w:lineRule="auto"/>
        <w:ind w:left="2"/>
      </w:pPr>
      <w:r>
        <w:rPr>
          <w:b/>
          <w:u w:val="single" w:color="000000"/>
        </w:rPr>
        <w:t>Document 2</w:t>
      </w:r>
      <w:r>
        <w:rPr>
          <w:b/>
        </w:rPr>
        <w:t xml:space="preserve"> : informations déduites de la composition isotopique des glaces </w:t>
      </w:r>
    </w:p>
    <w:p w14:paraId="5702419A" w14:textId="77777777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0C9B9A13" w14:textId="0961B764" w:rsidR="00D45123" w:rsidRDefault="00165A96">
      <w:pPr>
        <w:pStyle w:val="Titre2"/>
        <w:ind w:left="2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5040F1" wp14:editId="04C521E4">
            <wp:simplePos x="0" y="0"/>
            <wp:positionH relativeFrom="margin">
              <wp:align>right</wp:align>
            </wp:positionH>
            <wp:positionV relativeFrom="paragraph">
              <wp:posOffset>7687</wp:posOffset>
            </wp:positionV>
            <wp:extent cx="2422187" cy="1468876"/>
            <wp:effectExtent l="0" t="0" r="0" b="0"/>
            <wp:wrapSquare wrapText="bothSides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187" cy="146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 2.a : relation entre le delta 18O de la glace du Groënland et la température moyenne de l’air dans cette rég</w:t>
      </w:r>
      <w:r>
        <w:t>ion</w:t>
      </w:r>
      <w:r>
        <w:rPr>
          <w:b w:val="0"/>
        </w:rPr>
        <w:t xml:space="preserve"> </w:t>
      </w:r>
    </w:p>
    <w:p w14:paraId="4872784F" w14:textId="16E279A7" w:rsidR="00D45123" w:rsidRDefault="00165A96">
      <w:pPr>
        <w:spacing w:after="0" w:line="259" w:lineRule="auto"/>
        <w:ind w:left="0" w:right="1644" w:firstLine="0"/>
        <w:jc w:val="right"/>
      </w:pPr>
      <w:r>
        <w:t xml:space="preserve"> </w:t>
      </w:r>
    </w:p>
    <w:p w14:paraId="6A7E4B62" w14:textId="77777777" w:rsidR="00D45123" w:rsidRDefault="00165A96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0A1EE2E5" w14:textId="77777777" w:rsidR="00D45123" w:rsidRDefault="00165A96">
      <w:pPr>
        <w:spacing w:after="0" w:line="259" w:lineRule="auto"/>
        <w:ind w:left="10" w:right="44"/>
        <w:jc w:val="right"/>
      </w:pPr>
      <w:r>
        <w:rPr>
          <w:i/>
        </w:rPr>
        <w:t xml:space="preserve">D’après J. </w:t>
      </w:r>
      <w:proofErr w:type="spellStart"/>
      <w:r>
        <w:rPr>
          <w:i/>
        </w:rPr>
        <w:t>Jouzel</w:t>
      </w:r>
      <w:proofErr w:type="spellEnd"/>
      <w:r>
        <w:rPr>
          <w:i/>
        </w:rPr>
        <w:t xml:space="preserve"> et al., Journal of </w:t>
      </w:r>
      <w:proofErr w:type="spellStart"/>
      <w:r>
        <w:rPr>
          <w:i/>
        </w:rPr>
        <w:t>Geophysical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>, 1994</w:t>
      </w:r>
      <w:r>
        <w:t xml:space="preserve"> </w:t>
      </w:r>
    </w:p>
    <w:p w14:paraId="5DF31B12" w14:textId="043C43FD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1708E075" w14:textId="6C950398" w:rsidR="00165A96" w:rsidRDefault="00165A96">
      <w:pPr>
        <w:spacing w:after="0" w:line="259" w:lineRule="auto"/>
        <w:ind w:left="7" w:firstLine="0"/>
      </w:pPr>
    </w:p>
    <w:p w14:paraId="2BB7E05F" w14:textId="2B5F726A" w:rsidR="00165A96" w:rsidRDefault="00165A96">
      <w:pPr>
        <w:spacing w:after="0" w:line="259" w:lineRule="auto"/>
        <w:ind w:left="7" w:firstLine="0"/>
      </w:pPr>
    </w:p>
    <w:p w14:paraId="07B50528" w14:textId="46938F4C" w:rsidR="00165A96" w:rsidRDefault="00165A96">
      <w:pPr>
        <w:spacing w:after="0" w:line="259" w:lineRule="auto"/>
        <w:ind w:left="7" w:firstLine="0"/>
      </w:pPr>
    </w:p>
    <w:p w14:paraId="25ED2031" w14:textId="77777777" w:rsidR="00165A96" w:rsidRDefault="00165A96">
      <w:pPr>
        <w:spacing w:after="0" w:line="259" w:lineRule="auto"/>
        <w:ind w:left="7" w:firstLine="0"/>
      </w:pPr>
    </w:p>
    <w:p w14:paraId="52625E00" w14:textId="77777777" w:rsidR="00D45123" w:rsidRDefault="00165A96">
      <w:pPr>
        <w:pStyle w:val="Titre2"/>
        <w:ind w:left="2" w:right="0"/>
      </w:pPr>
      <w:r>
        <w:rPr>
          <w:u w:val="single" w:color="000000"/>
        </w:rPr>
        <w:t>Document 2.b</w:t>
      </w:r>
      <w:r>
        <w:t xml:space="preserve"> : variation du delta 18O dans une carotte de glace du Groënland durant les derniers 45 000 ans </w:t>
      </w:r>
    </w:p>
    <w:p w14:paraId="22BD0563" w14:textId="1B3B6BF2" w:rsidR="00D45123" w:rsidRDefault="00165A96">
      <w:pPr>
        <w:spacing w:after="0" w:line="259" w:lineRule="auto"/>
        <w:ind w:left="7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E97601" wp14:editId="7ED399F3">
            <wp:simplePos x="0" y="0"/>
            <wp:positionH relativeFrom="margin">
              <wp:posOffset>1771272</wp:posOffset>
            </wp:positionH>
            <wp:positionV relativeFrom="paragraph">
              <wp:posOffset>101398</wp:posOffset>
            </wp:positionV>
            <wp:extent cx="2879090" cy="1458595"/>
            <wp:effectExtent l="0" t="0" r="0" b="8255"/>
            <wp:wrapSquare wrapText="bothSides"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CE91CBB" w14:textId="7092BBA1" w:rsidR="00165A96" w:rsidRDefault="00165A96">
      <w:pPr>
        <w:spacing w:after="0" w:line="259" w:lineRule="auto"/>
        <w:ind w:left="7" w:firstLine="0"/>
      </w:pPr>
    </w:p>
    <w:p w14:paraId="4834F398" w14:textId="22B85F76" w:rsidR="00165A96" w:rsidRDefault="00165A96">
      <w:pPr>
        <w:spacing w:after="0" w:line="259" w:lineRule="auto"/>
        <w:ind w:left="7" w:firstLine="0"/>
      </w:pPr>
    </w:p>
    <w:p w14:paraId="54FD6ED9" w14:textId="0183D3DC" w:rsidR="00165A96" w:rsidRDefault="00165A96">
      <w:pPr>
        <w:spacing w:after="0" w:line="259" w:lineRule="auto"/>
        <w:ind w:left="7" w:firstLine="0"/>
      </w:pPr>
    </w:p>
    <w:p w14:paraId="58910555" w14:textId="77777777" w:rsidR="00165A96" w:rsidRDefault="00165A96">
      <w:pPr>
        <w:spacing w:after="0" w:line="259" w:lineRule="auto"/>
        <w:ind w:left="0" w:right="1399" w:firstLine="0"/>
        <w:jc w:val="right"/>
      </w:pPr>
    </w:p>
    <w:p w14:paraId="1485382F" w14:textId="77777777" w:rsidR="00165A96" w:rsidRDefault="00165A96">
      <w:pPr>
        <w:spacing w:after="0" w:line="259" w:lineRule="auto"/>
        <w:ind w:left="0" w:right="1399" w:firstLine="0"/>
        <w:jc w:val="right"/>
      </w:pPr>
    </w:p>
    <w:p w14:paraId="1F84049C" w14:textId="77777777" w:rsidR="00165A96" w:rsidRDefault="00165A96">
      <w:pPr>
        <w:spacing w:after="0" w:line="259" w:lineRule="auto"/>
        <w:ind w:left="0" w:right="1399" w:firstLine="0"/>
        <w:jc w:val="right"/>
      </w:pPr>
    </w:p>
    <w:p w14:paraId="0841979F" w14:textId="27B5B5AB" w:rsidR="00165A96" w:rsidRDefault="00165A96">
      <w:pPr>
        <w:spacing w:after="0" w:line="259" w:lineRule="auto"/>
        <w:ind w:left="0" w:right="1399" w:firstLine="0"/>
        <w:jc w:val="right"/>
      </w:pPr>
    </w:p>
    <w:p w14:paraId="010731E6" w14:textId="0C11F0B1" w:rsidR="00165A96" w:rsidRDefault="00165A96">
      <w:pPr>
        <w:spacing w:after="0" w:line="259" w:lineRule="auto"/>
        <w:ind w:left="0" w:right="1399" w:firstLine="0"/>
        <w:jc w:val="right"/>
      </w:pPr>
    </w:p>
    <w:p w14:paraId="274B6941" w14:textId="1311B560" w:rsidR="00165A96" w:rsidRDefault="00165A96">
      <w:pPr>
        <w:spacing w:after="0" w:line="259" w:lineRule="auto"/>
        <w:ind w:left="0" w:right="1399" w:firstLine="0"/>
        <w:jc w:val="right"/>
      </w:pPr>
    </w:p>
    <w:p w14:paraId="2967DC09" w14:textId="1071114A" w:rsidR="00165A96" w:rsidRDefault="00165A96">
      <w:pPr>
        <w:spacing w:after="0" w:line="259" w:lineRule="auto"/>
        <w:ind w:left="0" w:right="1399" w:firstLine="0"/>
        <w:jc w:val="right"/>
      </w:pPr>
    </w:p>
    <w:p w14:paraId="5CB0EEB4" w14:textId="77777777" w:rsidR="00165A96" w:rsidRDefault="00165A96">
      <w:pPr>
        <w:spacing w:after="0" w:line="259" w:lineRule="auto"/>
        <w:ind w:left="0" w:right="1399" w:firstLine="0"/>
        <w:jc w:val="right"/>
      </w:pPr>
    </w:p>
    <w:p w14:paraId="48846335" w14:textId="26B1A632" w:rsidR="00D45123" w:rsidRDefault="00165A96">
      <w:pPr>
        <w:spacing w:after="0" w:line="259" w:lineRule="auto"/>
        <w:ind w:left="0" w:right="1399" w:firstLine="0"/>
        <w:jc w:val="right"/>
      </w:pPr>
      <w:r>
        <w:t xml:space="preserve"> </w:t>
      </w:r>
    </w:p>
    <w:p w14:paraId="19DEC398" w14:textId="3D903909" w:rsidR="00D45123" w:rsidRDefault="00165A96">
      <w:pPr>
        <w:pStyle w:val="Titre2"/>
        <w:ind w:left="2" w:right="0"/>
      </w:pPr>
      <w:r>
        <w:rPr>
          <w:b w:val="0"/>
        </w:rPr>
        <w:t xml:space="preserve"> </w:t>
      </w:r>
      <w:r>
        <w:rPr>
          <w:u w:val="single" w:color="000000"/>
        </w:rPr>
        <w:t>Document 3</w:t>
      </w:r>
      <w:r>
        <w:t xml:space="preserve"> : variation de la teneur en spores de végétaux du genre </w:t>
      </w:r>
      <w:r>
        <w:rPr>
          <w:i/>
        </w:rPr>
        <w:t>Sphagnum</w:t>
      </w:r>
      <w:r>
        <w:t xml:space="preserve"> dans une tourbière d’Alaska </w:t>
      </w:r>
    </w:p>
    <w:p w14:paraId="120261CF" w14:textId="7A7BB511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006EEF89" w14:textId="77777777" w:rsidR="00D45123" w:rsidRDefault="00165A96">
      <w:pPr>
        <w:ind w:left="2"/>
      </w:pPr>
      <w:r>
        <w:t xml:space="preserve">Les végétaux du genre </w:t>
      </w:r>
      <w:r>
        <w:rPr>
          <w:i/>
        </w:rPr>
        <w:t>Sphagnum</w:t>
      </w:r>
      <w:r>
        <w:t>, caractéristiques des tourbières, présentent la particularité de résister à des températures extrêmement faibles (jusqu’à -50°C)</w:t>
      </w:r>
      <w:r>
        <w:t xml:space="preserve">. Toutefois, elles sont plus abondantes lors des périodes chaudes. Pour leur reproduction, les </w:t>
      </w:r>
      <w:r>
        <w:rPr>
          <w:i/>
        </w:rPr>
        <w:t>Sphagnum</w:t>
      </w:r>
      <w:r>
        <w:t xml:space="preserve"> produisent des spores. </w:t>
      </w:r>
    </w:p>
    <w:p w14:paraId="3AE80A20" w14:textId="77777777" w:rsidR="00D45123" w:rsidRDefault="00165A96">
      <w:pPr>
        <w:ind w:left="2"/>
      </w:pPr>
      <w:r>
        <w:t>Selon les paléontologues, dans le passé, l’expansion des tourbières en Alaska se faisait au détriment des plantes dont se nourri</w:t>
      </w:r>
      <w:r>
        <w:t xml:space="preserve">ssaient les mammouths. Autrement dit, plus les tourbières occupaient d’espaces et moins les mammouths disposaient de nourriture. </w:t>
      </w:r>
    </w:p>
    <w:p w14:paraId="72D93FAB" w14:textId="77777777" w:rsidR="00D45123" w:rsidRDefault="00165A96">
      <w:pPr>
        <w:spacing w:after="0" w:line="259" w:lineRule="auto"/>
        <w:ind w:left="7" w:firstLine="0"/>
      </w:pPr>
      <w:r>
        <w:t xml:space="preserve"> </w:t>
      </w:r>
    </w:p>
    <w:p w14:paraId="136C8AD2" w14:textId="77777777" w:rsidR="00D45123" w:rsidRDefault="00165A96">
      <w:pPr>
        <w:spacing w:after="0" w:line="259" w:lineRule="auto"/>
        <w:ind w:left="0" w:right="828" w:firstLine="0"/>
        <w:jc w:val="right"/>
      </w:pPr>
      <w:r>
        <w:rPr>
          <w:noProof/>
        </w:rPr>
        <w:drawing>
          <wp:inline distT="0" distB="0" distL="0" distR="0" wp14:anchorId="225B6A11" wp14:editId="24E935A0">
            <wp:extent cx="4669276" cy="1060315"/>
            <wp:effectExtent l="0" t="0" r="0" b="6985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6144" cy="10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6164BF7" w14:textId="77777777" w:rsidR="00D45123" w:rsidRDefault="00165A96">
      <w:pPr>
        <w:spacing w:after="0" w:line="259" w:lineRule="auto"/>
        <w:ind w:left="10" w:right="44"/>
        <w:jc w:val="right"/>
      </w:pPr>
      <w:r>
        <w:rPr>
          <w:i/>
        </w:rPr>
        <w:t>D’après G.M. MacDonald et al., Nature, 2012</w:t>
      </w:r>
      <w:r>
        <w:t xml:space="preserve"> </w:t>
      </w:r>
    </w:p>
    <w:p w14:paraId="606D2CFA" w14:textId="77777777" w:rsidR="00D45123" w:rsidRDefault="00165A96">
      <w:pPr>
        <w:spacing w:after="0" w:line="259" w:lineRule="auto"/>
        <w:ind w:left="7" w:firstLine="0"/>
      </w:pPr>
      <w:r>
        <w:t xml:space="preserve">  </w:t>
      </w:r>
    </w:p>
    <w:p w14:paraId="57636263" w14:textId="77777777" w:rsidR="00D45123" w:rsidRDefault="00165A96">
      <w:pPr>
        <w:pStyle w:val="Titre2"/>
        <w:ind w:left="2" w:right="0"/>
      </w:pPr>
      <w:r>
        <w:rPr>
          <w:u w:val="single" w:color="000000"/>
        </w:rPr>
        <w:t>Document 4</w:t>
      </w:r>
      <w:r>
        <w:t xml:space="preserve"> : territoires occupés par les mammouths laineux et par les Hom</w:t>
      </w:r>
      <w:r>
        <w:t>mes préhistoriques à différentes périodes</w:t>
      </w:r>
      <w:r>
        <w:rPr>
          <w:b w:val="0"/>
        </w:rPr>
        <w:t xml:space="preserve"> </w:t>
      </w:r>
    </w:p>
    <w:p w14:paraId="1AC25B91" w14:textId="77777777" w:rsidR="00D45123" w:rsidRDefault="00165A96">
      <w:pPr>
        <w:spacing w:after="0" w:line="259" w:lineRule="auto"/>
        <w:ind w:left="0" w:right="1661" w:firstLine="0"/>
        <w:jc w:val="right"/>
      </w:pPr>
      <w:r>
        <w:rPr>
          <w:noProof/>
        </w:rPr>
        <w:drawing>
          <wp:inline distT="0" distB="0" distL="0" distR="0" wp14:anchorId="447302E7" wp14:editId="6EBEFDD6">
            <wp:extent cx="5062639" cy="6585625"/>
            <wp:effectExtent l="0" t="0" r="5080" b="5715"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783" cy="659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3F76DC" w14:textId="77777777" w:rsidR="00D45123" w:rsidRDefault="00165A96">
      <w:pPr>
        <w:spacing w:after="0" w:line="259" w:lineRule="auto"/>
        <w:ind w:left="10" w:right="44"/>
        <w:jc w:val="right"/>
      </w:pPr>
      <w:r>
        <w:rPr>
          <w:i/>
        </w:rPr>
        <w:t>D’après G.M. MacDonald et al., Nature, 2012</w:t>
      </w:r>
      <w:r>
        <w:rPr>
          <w:color w:val="5A5A5A"/>
          <w:sz w:val="16"/>
        </w:rPr>
        <w:t xml:space="preserve"> </w:t>
      </w:r>
    </w:p>
    <w:sectPr w:rsidR="00D45123" w:rsidSect="00165A96">
      <w:pgSz w:w="11900" w:h="16840"/>
      <w:pgMar w:top="566" w:right="788" w:bottom="568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870D7"/>
    <w:multiLevelType w:val="hybridMultilevel"/>
    <w:tmpl w:val="84F2B000"/>
    <w:lvl w:ilvl="0" w:tplc="7A2C907C">
      <w:start w:val="1"/>
      <w:numFmt w:val="bullet"/>
      <w:lvlText w:val="–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1F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C21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06D2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D8DF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54D5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44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14900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AAFA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23"/>
    <w:rsid w:val="00165A96"/>
    <w:rsid w:val="00D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B2F2"/>
  <w15:docId w15:val="{ECDC6BC8-82F6-4959-B293-FC9FF62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1" w:lineRule="auto"/>
      <w:ind w:left="17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6" w:space="0" w:color="A0A0A0"/>
        <w:left w:val="single" w:sz="6" w:space="0" w:color="F0F0F0"/>
        <w:bottom w:val="single" w:sz="6" w:space="0" w:color="A0A0A0"/>
        <w:right w:val="single" w:sz="6" w:space="0" w:color="A0A0A0"/>
      </w:pBdr>
      <w:spacing w:after="0"/>
      <w:ind w:left="10" w:right="5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" w:line="249" w:lineRule="auto"/>
      <w:ind w:left="10" w:right="53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 du bac S SVT Spécialité 2016 - Asie</dc:title>
  <dc:subject>Sujet complet de l'épreuve de Sciences de la Vie et de la Terre (SVT) Spécialité du bac S 2016 en Asie</dc:subject>
  <dc:creator>http://www.sujetdebac.fr</dc:creator>
  <cp:keywords>sujet complet bac s svt spécialité 2016 asie terminale annale pdf gratuit baccalauréat sujetdebac</cp:keywords>
  <cp:lastModifiedBy>caroline poupard</cp:lastModifiedBy>
  <cp:revision>2</cp:revision>
  <dcterms:created xsi:type="dcterms:W3CDTF">2021-01-20T17:38:00Z</dcterms:created>
  <dcterms:modified xsi:type="dcterms:W3CDTF">2021-01-20T17:38:00Z</dcterms:modified>
</cp:coreProperties>
</file>