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72345E" w14:textId="7052E217" w:rsidR="001B337C" w:rsidRDefault="00673C75">
      <w:pPr>
        <w:pStyle w:val="Titre1"/>
      </w:pPr>
      <w:r>
        <w:t>Le</w:t>
      </w:r>
      <w:r w:rsidR="009A3AB5">
        <w:t xml:space="preserve"> VIH </w:t>
      </w:r>
      <w:r>
        <w:t xml:space="preserve"> - CORRECTION</w:t>
      </w:r>
      <w:bookmarkStart w:id="0" w:name="_GoBack"/>
      <w:bookmarkEnd w:id="0"/>
    </w:p>
    <w:p w14:paraId="474FCE38" w14:textId="77777777" w:rsidR="001B337C" w:rsidRDefault="00673C75">
      <w:pPr>
        <w:spacing w:after="0" w:line="259" w:lineRule="auto"/>
        <w:ind w:left="123" w:firstLine="0"/>
        <w:jc w:val="center"/>
      </w:pPr>
      <w:r>
        <w:rPr>
          <w:b/>
          <w:color w:val="FF0000"/>
          <w:sz w:val="24"/>
        </w:rPr>
        <w:t xml:space="preserve"> </w:t>
      </w:r>
    </w:p>
    <w:p w14:paraId="5BA70C8A" w14:textId="77777777" w:rsidR="001B337C" w:rsidRPr="009A3AB5" w:rsidRDefault="00673C75">
      <w:pPr>
        <w:ind w:left="17"/>
        <w:rPr>
          <w:sz w:val="20"/>
          <w:szCs w:val="20"/>
        </w:rPr>
      </w:pPr>
      <w:r>
        <w:t xml:space="preserve"> </w:t>
      </w:r>
      <w:r>
        <w:tab/>
      </w:r>
      <w:r w:rsidRPr="009A3AB5">
        <w:rPr>
          <w:sz w:val="20"/>
          <w:szCs w:val="20"/>
        </w:rPr>
        <w:t>Le SIDA ou syndrome d’immunodéficience acquise, est une maladie due à un virus, le virus de l’immunodéficience humaine (VIH). La gravité de la maladie qu’engendre le VIH est liée au fait qu’elle touche le système immunitaire, garant de l’intégrité biolog</w:t>
      </w:r>
      <w:r w:rsidRPr="009A3AB5">
        <w:rPr>
          <w:sz w:val="20"/>
          <w:szCs w:val="20"/>
        </w:rPr>
        <w:t xml:space="preserve">ique. </w:t>
      </w:r>
    </w:p>
    <w:p w14:paraId="3298EDF0" w14:textId="3B8B38CB" w:rsidR="001B337C" w:rsidRPr="009A3AB5" w:rsidRDefault="00673C75">
      <w:pPr>
        <w:ind w:left="7" w:firstLine="708"/>
        <w:rPr>
          <w:b/>
          <w:i/>
          <w:sz w:val="20"/>
          <w:szCs w:val="20"/>
        </w:rPr>
      </w:pPr>
      <w:r w:rsidRPr="009A3AB5">
        <w:rPr>
          <w:sz w:val="20"/>
          <w:szCs w:val="20"/>
        </w:rPr>
        <w:t xml:space="preserve">Le VIH appartient aux </w:t>
      </w:r>
      <w:r w:rsidRPr="009A3AB5">
        <w:rPr>
          <w:b/>
          <w:sz w:val="20"/>
          <w:szCs w:val="20"/>
        </w:rPr>
        <w:t>rétrovirus</w:t>
      </w:r>
      <w:r w:rsidRPr="009A3AB5">
        <w:rPr>
          <w:sz w:val="20"/>
          <w:szCs w:val="20"/>
        </w:rPr>
        <w:t xml:space="preserve"> : c’est un virus à ARN possédant une protéine particulière, la </w:t>
      </w:r>
      <w:r w:rsidRPr="009A3AB5">
        <w:rPr>
          <w:b/>
          <w:sz w:val="20"/>
          <w:szCs w:val="20"/>
        </w:rPr>
        <w:t xml:space="preserve">transcriptase inverse </w:t>
      </w:r>
      <w:r w:rsidRPr="009A3AB5">
        <w:rPr>
          <w:sz w:val="20"/>
          <w:szCs w:val="20"/>
        </w:rPr>
        <w:t xml:space="preserve">parfois appelée rétrotranscriptase. </w:t>
      </w:r>
      <w:r w:rsidR="009A3AB5" w:rsidRPr="009A3AB5">
        <w:rPr>
          <w:b/>
          <w:i/>
          <w:sz w:val="20"/>
          <w:szCs w:val="20"/>
        </w:rPr>
        <w:sym w:font="Wingdings" w:char="F0E0"/>
      </w:r>
      <w:r w:rsidR="009A3AB5" w:rsidRPr="009A3AB5">
        <w:rPr>
          <w:b/>
          <w:i/>
          <w:sz w:val="20"/>
          <w:szCs w:val="20"/>
        </w:rPr>
        <w:t xml:space="preserve"> Voir Schéma</w:t>
      </w:r>
    </w:p>
    <w:p w14:paraId="2FECE7EE" w14:textId="670EA5FA" w:rsidR="001B337C" w:rsidRPr="009A3AB5" w:rsidRDefault="00673C75">
      <w:pPr>
        <w:spacing w:after="0" w:line="259" w:lineRule="auto"/>
        <w:ind w:left="1918" w:firstLine="0"/>
        <w:rPr>
          <w:sz w:val="20"/>
          <w:szCs w:val="20"/>
        </w:rPr>
      </w:pPr>
      <w:r w:rsidRPr="009A3AB5">
        <w:rPr>
          <w:sz w:val="20"/>
          <w:szCs w:val="20"/>
        </w:rPr>
        <w:t xml:space="preserve"> </w:t>
      </w:r>
    </w:p>
    <w:p w14:paraId="2E8A63D6" w14:textId="386511BF" w:rsidR="001B337C" w:rsidRPr="009A3AB5" w:rsidRDefault="00673C75" w:rsidP="009A3AB5">
      <w:pPr>
        <w:spacing w:after="10" w:line="231" w:lineRule="auto"/>
        <w:ind w:left="22" w:right="4186" w:hanging="22"/>
        <w:rPr>
          <w:sz w:val="20"/>
          <w:szCs w:val="20"/>
        </w:rPr>
      </w:pPr>
      <w:r w:rsidRPr="009A3AB5">
        <w:rPr>
          <w:b/>
          <w:color w:val="FF0000"/>
          <w:sz w:val="20"/>
          <w:szCs w:val="20"/>
          <w:u w:val="single" w:color="FF0000"/>
        </w:rPr>
        <w:t xml:space="preserve">I </w:t>
      </w:r>
      <w:r w:rsidR="009A3AB5" w:rsidRPr="009A3AB5">
        <w:rPr>
          <w:b/>
          <w:color w:val="FF0000"/>
          <w:sz w:val="20"/>
          <w:szCs w:val="20"/>
          <w:u w:val="single" w:color="FF0000"/>
        </w:rPr>
        <w:t xml:space="preserve">- </w:t>
      </w:r>
      <w:r w:rsidRPr="009A3AB5">
        <w:rPr>
          <w:b/>
          <w:color w:val="FF0000"/>
          <w:sz w:val="20"/>
          <w:szCs w:val="20"/>
          <w:u w:val="single" w:color="FF0000"/>
        </w:rPr>
        <w:t>La contamination</w:t>
      </w:r>
      <w:r w:rsidRPr="009A3AB5">
        <w:rPr>
          <w:b/>
          <w:color w:val="FF0000"/>
          <w:sz w:val="20"/>
          <w:szCs w:val="20"/>
        </w:rPr>
        <w:t xml:space="preserve"> </w:t>
      </w:r>
    </w:p>
    <w:p w14:paraId="0B798E9C" w14:textId="7A98AE92" w:rsidR="001B337C" w:rsidRPr="009A3AB5" w:rsidRDefault="00673C75" w:rsidP="009A3AB5">
      <w:pPr>
        <w:spacing w:after="0" w:line="259" w:lineRule="auto"/>
        <w:ind w:left="22" w:firstLine="0"/>
        <w:rPr>
          <w:sz w:val="20"/>
          <w:szCs w:val="20"/>
        </w:rPr>
      </w:pPr>
      <w:r w:rsidRPr="009A3AB5">
        <w:rPr>
          <w:sz w:val="20"/>
          <w:szCs w:val="20"/>
        </w:rPr>
        <w:t xml:space="preserve"> </w:t>
      </w:r>
      <w:r w:rsidRPr="009A3AB5">
        <w:rPr>
          <w:sz w:val="20"/>
          <w:szCs w:val="20"/>
        </w:rPr>
        <w:t xml:space="preserve"> Le VIH peut  passer à travers les muqueuses (mem</w:t>
      </w:r>
      <w:r w:rsidRPr="009A3AB5">
        <w:rPr>
          <w:sz w:val="20"/>
          <w:szCs w:val="20"/>
        </w:rPr>
        <w:t xml:space="preserve">branes qui tapissent les parois internes des cavités naturelles de l'organisme : bouche, vagin, rectum...), principalement lors de rapports sexuels non protégés.  </w:t>
      </w:r>
      <w:r w:rsidRPr="009A3AB5">
        <w:rPr>
          <w:sz w:val="20"/>
          <w:szCs w:val="20"/>
        </w:rPr>
        <w:t>Il se transmet par voie sanguine en cas d'utilisation d'une seringue usagée pour une injecti</w:t>
      </w:r>
      <w:r w:rsidRPr="009A3AB5">
        <w:rPr>
          <w:sz w:val="20"/>
          <w:szCs w:val="20"/>
        </w:rPr>
        <w:t xml:space="preserve">on par voie intraveineuse ou de la mère à l'enfant pendant la grossesse et l'accouchement. </w:t>
      </w:r>
      <w:r w:rsidRPr="009A3AB5">
        <w:rPr>
          <w:sz w:val="20"/>
          <w:szCs w:val="20"/>
        </w:rPr>
        <w:t>I</w:t>
      </w:r>
      <w:r w:rsidRPr="009A3AB5">
        <w:rPr>
          <w:sz w:val="20"/>
          <w:szCs w:val="20"/>
        </w:rPr>
        <w:t>l peut enfin passer en cas de b</w:t>
      </w:r>
      <w:r w:rsidRPr="009A3AB5">
        <w:rPr>
          <w:sz w:val="20"/>
          <w:szCs w:val="20"/>
        </w:rPr>
        <w:t xml:space="preserve">lessure avec un </w:t>
      </w:r>
      <w:r w:rsidRPr="009A3AB5">
        <w:rPr>
          <w:sz w:val="20"/>
          <w:szCs w:val="20"/>
        </w:rPr>
        <w:t xml:space="preserve">objet souillé de sang contaminé. </w:t>
      </w:r>
    </w:p>
    <w:p w14:paraId="51609F22" w14:textId="77777777" w:rsidR="001B337C" w:rsidRPr="009A3AB5" w:rsidRDefault="00673C75">
      <w:pPr>
        <w:spacing w:after="0" w:line="259" w:lineRule="auto"/>
        <w:ind w:left="22" w:firstLine="0"/>
        <w:rPr>
          <w:sz w:val="20"/>
          <w:szCs w:val="20"/>
        </w:rPr>
      </w:pPr>
      <w:r w:rsidRPr="009A3AB5">
        <w:rPr>
          <w:sz w:val="20"/>
          <w:szCs w:val="20"/>
        </w:rPr>
        <w:t xml:space="preserve"> </w:t>
      </w:r>
    </w:p>
    <w:p w14:paraId="374A1424" w14:textId="15C7DB3C" w:rsidR="009A3AB5" w:rsidRPr="009A3AB5" w:rsidRDefault="00673C75" w:rsidP="009A3AB5">
      <w:pPr>
        <w:spacing w:after="0" w:line="239" w:lineRule="auto"/>
        <w:ind w:left="22" w:right="165" w:firstLine="0"/>
        <w:rPr>
          <w:sz w:val="20"/>
          <w:szCs w:val="20"/>
        </w:rPr>
      </w:pPr>
      <w:r w:rsidRPr="009A3AB5">
        <w:rPr>
          <w:b/>
          <w:color w:val="FF0000"/>
          <w:sz w:val="20"/>
          <w:szCs w:val="20"/>
          <w:u w:val="single" w:color="FF0000"/>
        </w:rPr>
        <w:t xml:space="preserve">II </w:t>
      </w:r>
      <w:r w:rsidR="009A3AB5" w:rsidRPr="009A3AB5">
        <w:rPr>
          <w:b/>
          <w:color w:val="FF0000"/>
          <w:sz w:val="20"/>
          <w:szCs w:val="20"/>
          <w:u w:val="single" w:color="FF0000"/>
        </w:rPr>
        <w:t xml:space="preserve">- </w:t>
      </w:r>
      <w:r w:rsidRPr="009A3AB5">
        <w:rPr>
          <w:b/>
          <w:color w:val="FF0000"/>
          <w:sz w:val="20"/>
          <w:szCs w:val="20"/>
          <w:u w:val="single" w:color="FF0000"/>
        </w:rPr>
        <w:t>Les phases de l’infection par le VIH</w:t>
      </w:r>
      <w:r w:rsidRPr="009A3AB5">
        <w:rPr>
          <w:b/>
          <w:color w:val="FF0000"/>
          <w:sz w:val="20"/>
          <w:szCs w:val="20"/>
        </w:rPr>
        <w:t xml:space="preserve">  </w:t>
      </w:r>
    </w:p>
    <w:p w14:paraId="1E0CF97E" w14:textId="09B3505B" w:rsidR="009A3AB5" w:rsidRPr="009A3AB5" w:rsidRDefault="009A3AB5" w:rsidP="009A3AB5">
      <w:pPr>
        <w:spacing w:after="0" w:line="239" w:lineRule="auto"/>
        <w:ind w:left="22" w:right="165" w:firstLine="0"/>
        <w:rPr>
          <w:b/>
          <w:i/>
          <w:sz w:val="20"/>
          <w:szCs w:val="20"/>
        </w:rPr>
      </w:pPr>
      <w:r w:rsidRPr="009A3AB5">
        <w:rPr>
          <w:sz w:val="20"/>
          <w:szCs w:val="20"/>
        </w:rPr>
        <w:t xml:space="preserve">La charge virale  ou virémie correspond au nombre de copies d’ARN viral par millilitre de sang </w:t>
      </w:r>
      <w:r w:rsidRPr="009A3AB5">
        <w:rPr>
          <w:b/>
          <w:i/>
          <w:sz w:val="20"/>
          <w:szCs w:val="20"/>
        </w:rPr>
        <w:sym w:font="Wingdings" w:char="F0E0"/>
      </w:r>
      <w:r w:rsidRPr="009A3AB5">
        <w:rPr>
          <w:b/>
          <w:i/>
          <w:sz w:val="20"/>
          <w:szCs w:val="20"/>
        </w:rPr>
        <w:t xml:space="preserve"> Voir </w:t>
      </w:r>
      <w:r w:rsidRPr="009A3AB5">
        <w:rPr>
          <w:b/>
          <w:i/>
          <w:sz w:val="20"/>
          <w:szCs w:val="20"/>
        </w:rPr>
        <w:t>Courbes</w:t>
      </w:r>
    </w:p>
    <w:p w14:paraId="764364C7" w14:textId="2FF3889D" w:rsidR="001B337C" w:rsidRPr="009A3AB5" w:rsidRDefault="00673C75">
      <w:pPr>
        <w:spacing w:after="3" w:line="231" w:lineRule="auto"/>
        <w:ind w:left="17" w:right="4412"/>
        <w:rPr>
          <w:sz w:val="20"/>
          <w:szCs w:val="20"/>
        </w:rPr>
      </w:pPr>
      <w:r w:rsidRPr="009A3AB5">
        <w:rPr>
          <w:sz w:val="20"/>
          <w:szCs w:val="20"/>
        </w:rPr>
        <w:t xml:space="preserve"> </w:t>
      </w:r>
      <w:r w:rsidRPr="009A3AB5">
        <w:rPr>
          <w:b/>
          <w:color w:val="FF0000"/>
          <w:sz w:val="20"/>
          <w:szCs w:val="20"/>
        </w:rPr>
        <w:t xml:space="preserve"> </w:t>
      </w:r>
    </w:p>
    <w:p w14:paraId="5B2C3583" w14:textId="32BC4AFF" w:rsidR="001B337C" w:rsidRPr="009A3AB5" w:rsidRDefault="00673C75" w:rsidP="009A3AB5">
      <w:pPr>
        <w:pStyle w:val="Titre2"/>
        <w:ind w:left="17"/>
        <w:rPr>
          <w:sz w:val="20"/>
          <w:szCs w:val="20"/>
        </w:rPr>
      </w:pPr>
      <w:r w:rsidRPr="009A3AB5">
        <w:rPr>
          <w:sz w:val="20"/>
          <w:szCs w:val="20"/>
        </w:rPr>
        <w:t xml:space="preserve">A </w:t>
      </w:r>
      <w:r w:rsidR="009A3AB5" w:rsidRPr="009A3AB5">
        <w:rPr>
          <w:sz w:val="20"/>
          <w:szCs w:val="20"/>
        </w:rPr>
        <w:t xml:space="preserve">- </w:t>
      </w:r>
      <w:r w:rsidRPr="009A3AB5">
        <w:rPr>
          <w:sz w:val="20"/>
          <w:szCs w:val="20"/>
        </w:rPr>
        <w:t>La primo-infection</w:t>
      </w:r>
      <w:r w:rsidR="009A3AB5" w:rsidRPr="009A3AB5">
        <w:rPr>
          <w:sz w:val="20"/>
          <w:szCs w:val="20"/>
          <w:u w:val="none" w:color="000000"/>
        </w:rPr>
        <w:t xml:space="preserve"> : </w:t>
      </w:r>
    </w:p>
    <w:p w14:paraId="0E10A1F8" w14:textId="15728A80" w:rsidR="001B337C" w:rsidRPr="009A3AB5" w:rsidRDefault="009A3AB5" w:rsidP="009A3AB5">
      <w:pPr>
        <w:ind w:left="17"/>
        <w:rPr>
          <w:sz w:val="20"/>
          <w:szCs w:val="20"/>
        </w:rPr>
      </w:pPr>
      <w:r w:rsidRPr="009A3AB5">
        <w:rPr>
          <w:i/>
          <w:noProof/>
          <w:sz w:val="16"/>
          <w:szCs w:val="16"/>
        </w:rPr>
        <w:drawing>
          <wp:anchor distT="0" distB="0" distL="114300" distR="114300" simplePos="0" relativeHeight="251658240" behindDoc="1" locked="0" layoutInCell="1" allowOverlap="1" wp14:anchorId="4030BDBA" wp14:editId="07EBA2FC">
            <wp:simplePos x="0" y="0"/>
            <wp:positionH relativeFrom="margin">
              <wp:posOffset>4550410</wp:posOffset>
            </wp:positionH>
            <wp:positionV relativeFrom="paragraph">
              <wp:posOffset>459105</wp:posOffset>
            </wp:positionV>
            <wp:extent cx="2124075" cy="1314450"/>
            <wp:effectExtent l="0" t="0" r="9525" b="0"/>
            <wp:wrapTight wrapText="bothSides">
              <wp:wrapPolygon edited="0">
                <wp:start x="0" y="0"/>
                <wp:lineTo x="0" y="21287"/>
                <wp:lineTo x="21503" y="21287"/>
                <wp:lineTo x="21503" y="0"/>
                <wp:lineTo x="0" y="0"/>
              </wp:wrapPolygon>
            </wp:wrapTight>
            <wp:docPr id="83" name="Picture 83"/>
            <wp:cNvGraphicFramePr/>
            <a:graphic xmlns:a="http://schemas.openxmlformats.org/drawingml/2006/main">
              <a:graphicData uri="http://schemas.openxmlformats.org/drawingml/2006/picture">
                <pic:pic xmlns:pic="http://schemas.openxmlformats.org/drawingml/2006/picture">
                  <pic:nvPicPr>
                    <pic:cNvPr id="83" name="Picture 83"/>
                    <pic:cNvPicPr/>
                  </pic:nvPicPr>
                  <pic:blipFill>
                    <a:blip r:embed="rId5">
                      <a:extLst>
                        <a:ext uri="{28A0092B-C50C-407E-A947-70E740481C1C}">
                          <a14:useLocalDpi xmlns:a14="http://schemas.microsoft.com/office/drawing/2010/main" val="0"/>
                        </a:ext>
                      </a:extLst>
                    </a:blip>
                    <a:stretch>
                      <a:fillRect/>
                    </a:stretch>
                  </pic:blipFill>
                  <pic:spPr>
                    <a:xfrm>
                      <a:off x="0" y="0"/>
                      <a:ext cx="2124075" cy="1314450"/>
                    </a:xfrm>
                    <a:prstGeom prst="rect">
                      <a:avLst/>
                    </a:prstGeom>
                  </pic:spPr>
                </pic:pic>
              </a:graphicData>
            </a:graphic>
            <wp14:sizeRelH relativeFrom="margin">
              <wp14:pctWidth>0</wp14:pctWidth>
            </wp14:sizeRelH>
            <wp14:sizeRelV relativeFrom="margin">
              <wp14:pctHeight>0</wp14:pctHeight>
            </wp14:sizeRelV>
          </wp:anchor>
        </w:drawing>
      </w:r>
      <w:r w:rsidR="00673C75" w:rsidRPr="009A3AB5">
        <w:rPr>
          <w:sz w:val="20"/>
          <w:szCs w:val="20"/>
        </w:rPr>
        <w:t xml:space="preserve"> </w:t>
      </w:r>
      <w:r w:rsidR="00673C75" w:rsidRPr="009A3AB5">
        <w:rPr>
          <w:sz w:val="20"/>
          <w:szCs w:val="20"/>
        </w:rPr>
        <w:tab/>
        <w:t>C’est la première des trois phases de la maladie. Elle correspond à l’augmentation de la charge virale par multiplication du virus dans les cellules cibles</w:t>
      </w:r>
      <w:r w:rsidRPr="009A3AB5">
        <w:rPr>
          <w:sz w:val="20"/>
          <w:szCs w:val="20"/>
        </w:rPr>
        <w:t xml:space="preserve"> qui </w:t>
      </w:r>
      <w:r w:rsidR="00673C75" w:rsidRPr="009A3AB5">
        <w:rPr>
          <w:sz w:val="20"/>
          <w:szCs w:val="20"/>
        </w:rPr>
        <w:t>sont principalement des cellules immunitaires : lymphocytes T4, mono</w:t>
      </w:r>
      <w:r w:rsidR="00673C75" w:rsidRPr="009A3AB5">
        <w:rPr>
          <w:sz w:val="20"/>
          <w:szCs w:val="20"/>
        </w:rPr>
        <w:t xml:space="preserve">cytes et macrophages. </w:t>
      </w:r>
    </w:p>
    <w:p w14:paraId="445202B8" w14:textId="03C77224" w:rsidR="001B337C" w:rsidRPr="009A3AB5" w:rsidRDefault="009A3AB5" w:rsidP="009A3AB5">
      <w:pPr>
        <w:spacing w:line="238" w:lineRule="auto"/>
        <w:ind w:left="7" w:right="22" w:hanging="7"/>
        <w:jc w:val="both"/>
        <w:rPr>
          <w:i/>
          <w:sz w:val="16"/>
          <w:szCs w:val="16"/>
        </w:rPr>
      </w:pPr>
      <w:r w:rsidRPr="009A3AB5">
        <w:rPr>
          <w:i/>
          <w:sz w:val="16"/>
          <w:szCs w:val="16"/>
        </w:rPr>
        <w:t xml:space="preserve">Remarque : </w:t>
      </w:r>
      <w:r w:rsidR="00673C75" w:rsidRPr="009A3AB5">
        <w:rPr>
          <w:i/>
          <w:sz w:val="16"/>
          <w:szCs w:val="16"/>
        </w:rPr>
        <w:t>Les virus sont des parasites obligatoires, qui ne peuvent se multiplier qu’en utilisant le matériel d’une cellule. Les LT4, monocytes et macrophages possèdent d</w:t>
      </w:r>
      <w:r w:rsidR="00673C75" w:rsidRPr="009A3AB5">
        <w:rPr>
          <w:i/>
          <w:sz w:val="16"/>
          <w:szCs w:val="16"/>
        </w:rPr>
        <w:t xml:space="preserve">es protéines membranaires (la plus importante étant CD4) auxquelles le virus s’amarre par l’intermédiaire d’une protéine de son enveloppe, la gp 120. </w:t>
      </w:r>
      <w:r w:rsidR="00673C75" w:rsidRPr="009A3AB5">
        <w:rPr>
          <w:i/>
          <w:sz w:val="16"/>
          <w:szCs w:val="16"/>
        </w:rPr>
        <w:t xml:space="preserve"> </w:t>
      </w:r>
    </w:p>
    <w:p w14:paraId="42D87F7E" w14:textId="04A3BC22" w:rsidR="009A3AB5" w:rsidRDefault="00673C75">
      <w:pPr>
        <w:ind w:left="17" w:right="243"/>
        <w:rPr>
          <w:i/>
          <w:sz w:val="16"/>
          <w:szCs w:val="16"/>
        </w:rPr>
      </w:pPr>
      <w:r w:rsidRPr="009A3AB5">
        <w:rPr>
          <w:i/>
          <w:sz w:val="16"/>
          <w:szCs w:val="16"/>
        </w:rPr>
        <w:t xml:space="preserve"> </w:t>
      </w:r>
    </w:p>
    <w:p w14:paraId="193F2B55" w14:textId="3EE942A8" w:rsidR="001B337C" w:rsidRPr="009A3AB5" w:rsidRDefault="00673C75">
      <w:pPr>
        <w:ind w:left="17" w:right="243"/>
        <w:rPr>
          <w:sz w:val="20"/>
          <w:szCs w:val="20"/>
        </w:rPr>
      </w:pPr>
      <w:r w:rsidRPr="009A3AB5">
        <w:rPr>
          <w:sz w:val="20"/>
          <w:szCs w:val="20"/>
        </w:rPr>
        <w:t xml:space="preserve">Une fois le virus dans la cellule, </w:t>
      </w:r>
      <w:r w:rsidR="009A3AB5" w:rsidRPr="009A3AB5">
        <w:rPr>
          <w:b/>
          <w:i/>
          <w:sz w:val="20"/>
          <w:szCs w:val="20"/>
        </w:rPr>
        <w:sym w:font="Wingdings" w:char="F0E0"/>
      </w:r>
      <w:r w:rsidR="009A3AB5" w:rsidRPr="009A3AB5">
        <w:rPr>
          <w:b/>
          <w:i/>
          <w:sz w:val="20"/>
          <w:szCs w:val="20"/>
        </w:rPr>
        <w:t xml:space="preserve"> Voir Schéma</w:t>
      </w:r>
      <w:r w:rsidR="009A3AB5" w:rsidRPr="009A3AB5">
        <w:rPr>
          <w:sz w:val="20"/>
          <w:szCs w:val="20"/>
        </w:rPr>
        <w:t xml:space="preserve"> </w:t>
      </w:r>
      <w:r w:rsidRPr="009A3AB5">
        <w:rPr>
          <w:sz w:val="20"/>
          <w:szCs w:val="20"/>
        </w:rPr>
        <w:t>la rétrotranscription de l’ARN simple brin en ADN double brin a lieu grâce à la transcriptase inverse et l’ADN est inséré dans le génome de la cellule cible. Le virus va alors détourner la machinerie cellulaire à son pr</w:t>
      </w:r>
      <w:r w:rsidRPr="009A3AB5">
        <w:rPr>
          <w:sz w:val="20"/>
          <w:szCs w:val="20"/>
        </w:rPr>
        <w:t>ofit : transcription des gènes viraux en éléments qui permettront de fabriquer de nouvelles particules virales. La  libération de ces virions dans le sang ou la lymphe provoque la lyse  donc la mort de la cellule infectée.</w:t>
      </w:r>
      <w:r w:rsidRPr="009A3AB5">
        <w:rPr>
          <w:b/>
          <w:color w:val="007F00"/>
          <w:sz w:val="20"/>
          <w:szCs w:val="20"/>
        </w:rPr>
        <w:t xml:space="preserve">   </w:t>
      </w:r>
    </w:p>
    <w:p w14:paraId="0D5A2198" w14:textId="2B318D9F" w:rsidR="001B337C" w:rsidRPr="009A3AB5" w:rsidRDefault="00673C75" w:rsidP="009A3AB5">
      <w:pPr>
        <w:spacing w:after="0" w:line="259" w:lineRule="auto"/>
        <w:ind w:left="22" w:firstLine="0"/>
        <w:rPr>
          <w:sz w:val="20"/>
          <w:szCs w:val="20"/>
        </w:rPr>
      </w:pPr>
      <w:r w:rsidRPr="009A3AB5">
        <w:rPr>
          <w:sz w:val="20"/>
          <w:szCs w:val="20"/>
        </w:rPr>
        <w:t xml:space="preserve"> </w:t>
      </w:r>
      <w:r w:rsidRPr="009A3AB5">
        <w:rPr>
          <w:sz w:val="20"/>
          <w:szCs w:val="20"/>
        </w:rPr>
        <w:t xml:space="preserve"> </w:t>
      </w:r>
      <w:r w:rsidRPr="009A3AB5">
        <w:rPr>
          <w:sz w:val="20"/>
          <w:szCs w:val="20"/>
        </w:rPr>
        <w:tab/>
        <w:t>Une fois inséré dans le</w:t>
      </w:r>
      <w:r w:rsidRPr="009A3AB5">
        <w:rPr>
          <w:sz w:val="20"/>
          <w:szCs w:val="20"/>
        </w:rPr>
        <w:t xml:space="preserve"> génome humain, l’ADN viral peut y rester silencieux pendant un temps plus ou moins long. Jusqu’à plusieurs milliards de particules virales peuvent être déversés dans le sang et la lymphe chaque jour. Elles circulent alors jusqu’aux </w:t>
      </w:r>
      <w:r w:rsidRPr="009A3AB5">
        <w:rPr>
          <w:b/>
          <w:sz w:val="20"/>
          <w:szCs w:val="20"/>
        </w:rPr>
        <w:t>organes lymphoïdes.</w:t>
      </w:r>
      <w:r w:rsidRPr="009A3AB5">
        <w:rPr>
          <w:sz w:val="20"/>
          <w:szCs w:val="20"/>
        </w:rPr>
        <w:t xml:space="preserve">  </w:t>
      </w:r>
    </w:p>
    <w:p w14:paraId="4E5D88E9" w14:textId="5FCE93A7" w:rsidR="001B337C" w:rsidRPr="009A3AB5" w:rsidRDefault="00673C75" w:rsidP="009A3AB5">
      <w:pPr>
        <w:spacing w:after="0" w:line="259" w:lineRule="auto"/>
        <w:ind w:left="22" w:firstLine="0"/>
        <w:rPr>
          <w:sz w:val="20"/>
          <w:szCs w:val="20"/>
        </w:rPr>
      </w:pPr>
      <w:r w:rsidRPr="009A3AB5">
        <w:rPr>
          <w:sz w:val="20"/>
          <w:szCs w:val="20"/>
        </w:rPr>
        <w:t xml:space="preserve"> </w:t>
      </w:r>
      <w:r w:rsidRPr="009A3AB5">
        <w:rPr>
          <w:sz w:val="20"/>
          <w:szCs w:val="20"/>
        </w:rPr>
        <w:tab/>
        <w:t xml:space="preserve"> </w:t>
      </w:r>
      <w:r w:rsidRPr="009A3AB5">
        <w:rPr>
          <w:sz w:val="20"/>
          <w:szCs w:val="20"/>
        </w:rPr>
        <w:t xml:space="preserve">Au niveau des ganglions lymphatiques, les monocytes et les macrophages constituent un réservoir du VIH. </w:t>
      </w:r>
    </w:p>
    <w:p w14:paraId="755A3BFE" w14:textId="77777777" w:rsidR="001B337C" w:rsidRPr="009A3AB5" w:rsidRDefault="00673C75">
      <w:pPr>
        <w:spacing w:after="0" w:line="259" w:lineRule="auto"/>
        <w:ind w:left="22" w:firstLine="0"/>
        <w:rPr>
          <w:sz w:val="20"/>
          <w:szCs w:val="20"/>
        </w:rPr>
      </w:pPr>
      <w:r w:rsidRPr="009A3AB5">
        <w:rPr>
          <w:b/>
          <w:color w:val="007F00"/>
          <w:sz w:val="20"/>
          <w:szCs w:val="20"/>
        </w:rPr>
        <w:t xml:space="preserve"> </w:t>
      </w:r>
    </w:p>
    <w:p w14:paraId="21BC67F3" w14:textId="2BEEFEEC" w:rsidR="001B337C" w:rsidRPr="009A3AB5" w:rsidRDefault="00673C75">
      <w:pPr>
        <w:pStyle w:val="Titre2"/>
        <w:ind w:left="17"/>
        <w:rPr>
          <w:sz w:val="20"/>
          <w:szCs w:val="20"/>
        </w:rPr>
      </w:pPr>
      <w:r w:rsidRPr="009A3AB5">
        <w:rPr>
          <w:sz w:val="20"/>
          <w:szCs w:val="20"/>
        </w:rPr>
        <w:t xml:space="preserve">B </w:t>
      </w:r>
      <w:r w:rsidR="009A3AB5">
        <w:rPr>
          <w:sz w:val="20"/>
          <w:szCs w:val="20"/>
        </w:rPr>
        <w:t xml:space="preserve">- </w:t>
      </w:r>
      <w:r w:rsidRPr="009A3AB5">
        <w:rPr>
          <w:sz w:val="20"/>
          <w:szCs w:val="20"/>
        </w:rPr>
        <w:t>La phase asymptomatique</w:t>
      </w:r>
      <w:r w:rsidRPr="009A3AB5">
        <w:rPr>
          <w:sz w:val="20"/>
          <w:szCs w:val="20"/>
          <w:u w:val="none" w:color="000000"/>
        </w:rPr>
        <w:t xml:space="preserve"> </w:t>
      </w:r>
    </w:p>
    <w:p w14:paraId="6EAD1334" w14:textId="042246A1" w:rsidR="001B337C" w:rsidRPr="009A3AB5" w:rsidRDefault="00673C75" w:rsidP="009A3AB5">
      <w:pPr>
        <w:spacing w:after="0" w:line="259" w:lineRule="auto"/>
        <w:ind w:left="22" w:firstLine="0"/>
        <w:rPr>
          <w:sz w:val="20"/>
          <w:szCs w:val="20"/>
        </w:rPr>
      </w:pPr>
      <w:r w:rsidRPr="009A3AB5">
        <w:rPr>
          <w:b/>
          <w:color w:val="007F00"/>
          <w:sz w:val="20"/>
          <w:szCs w:val="20"/>
        </w:rPr>
        <w:t xml:space="preserve"> </w:t>
      </w:r>
      <w:r w:rsidRPr="009A3AB5">
        <w:rPr>
          <w:b/>
          <w:color w:val="007F00"/>
          <w:sz w:val="20"/>
          <w:szCs w:val="20"/>
        </w:rPr>
        <w:t xml:space="preserve"> </w:t>
      </w:r>
      <w:r w:rsidR="009A3AB5">
        <w:rPr>
          <w:b/>
          <w:color w:val="007F00"/>
          <w:sz w:val="20"/>
          <w:szCs w:val="20"/>
        </w:rPr>
        <w:tab/>
      </w:r>
      <w:r w:rsidRPr="009A3AB5">
        <w:rPr>
          <w:sz w:val="20"/>
          <w:szCs w:val="20"/>
        </w:rPr>
        <w:t>Deux semaines à quelques mois après la contamination, la présence dans le sang de différents anticorps anti-V</w:t>
      </w:r>
      <w:r w:rsidRPr="009A3AB5">
        <w:rPr>
          <w:sz w:val="20"/>
          <w:szCs w:val="20"/>
        </w:rPr>
        <w:t xml:space="preserve">IH est décelée, le sujet est dit alors “séropositif pour le VIH”. Apparaissent en même temps dans le sang du sujet contaminé, des </w:t>
      </w:r>
      <w:r w:rsidRPr="009A3AB5">
        <w:rPr>
          <w:b/>
          <w:sz w:val="20"/>
          <w:szCs w:val="20"/>
        </w:rPr>
        <w:t>lymphocytes T cytotoxiques</w:t>
      </w:r>
      <w:r w:rsidRPr="009A3AB5">
        <w:rPr>
          <w:sz w:val="20"/>
          <w:szCs w:val="20"/>
        </w:rPr>
        <w:t xml:space="preserve"> (LT8) spécifiques dirigés contre les cellules infectées par le VIH. On observe d’abord une augmenta</w:t>
      </w:r>
      <w:r w:rsidRPr="009A3AB5">
        <w:rPr>
          <w:sz w:val="20"/>
          <w:szCs w:val="20"/>
        </w:rPr>
        <w:t xml:space="preserve">tion puis une diminution du nombre de LT4. </w:t>
      </w:r>
    </w:p>
    <w:p w14:paraId="00C69DA4" w14:textId="77777777" w:rsidR="001B337C" w:rsidRPr="009A3AB5" w:rsidRDefault="00673C75">
      <w:pPr>
        <w:tabs>
          <w:tab w:val="center" w:pos="5131"/>
        </w:tabs>
        <w:ind w:left="0" w:firstLine="0"/>
        <w:rPr>
          <w:sz w:val="20"/>
          <w:szCs w:val="20"/>
        </w:rPr>
      </w:pPr>
      <w:r w:rsidRPr="009A3AB5">
        <w:rPr>
          <w:sz w:val="20"/>
          <w:szCs w:val="20"/>
        </w:rPr>
        <w:t xml:space="preserve"> </w:t>
      </w:r>
      <w:r w:rsidRPr="009A3AB5">
        <w:rPr>
          <w:sz w:val="20"/>
          <w:szCs w:val="20"/>
        </w:rPr>
        <w:tab/>
        <w:t xml:space="preserve">Les symptômes se limitent le plus souvent à ceux d’une maladie virale bénigne (rhume). </w:t>
      </w:r>
      <w:r w:rsidRPr="009A3AB5">
        <w:rPr>
          <w:rFonts w:ascii="Times New Roman" w:eastAsia="Times New Roman" w:hAnsi="Times New Roman" w:cs="Times New Roman"/>
          <w:sz w:val="20"/>
          <w:szCs w:val="20"/>
        </w:rPr>
        <w:t xml:space="preserve"> </w:t>
      </w:r>
    </w:p>
    <w:p w14:paraId="5E9A57D8" w14:textId="77777777" w:rsidR="001B337C" w:rsidRPr="009A3AB5" w:rsidRDefault="00673C75">
      <w:pPr>
        <w:tabs>
          <w:tab w:val="center" w:pos="5149"/>
        </w:tabs>
        <w:ind w:left="0" w:firstLine="0"/>
        <w:rPr>
          <w:sz w:val="20"/>
          <w:szCs w:val="20"/>
        </w:rPr>
      </w:pPr>
      <w:r w:rsidRPr="009A3AB5">
        <w:rPr>
          <w:rFonts w:ascii="Times New Roman" w:eastAsia="Times New Roman" w:hAnsi="Times New Roman" w:cs="Times New Roman"/>
          <w:sz w:val="20"/>
          <w:szCs w:val="20"/>
        </w:rPr>
        <w:t xml:space="preserve"> </w:t>
      </w:r>
      <w:r w:rsidRPr="009A3AB5">
        <w:rPr>
          <w:rFonts w:ascii="Times New Roman" w:eastAsia="Times New Roman" w:hAnsi="Times New Roman" w:cs="Times New Roman"/>
          <w:sz w:val="20"/>
          <w:szCs w:val="20"/>
        </w:rPr>
        <w:tab/>
        <w:t xml:space="preserve">La </w:t>
      </w:r>
      <w:r w:rsidRPr="009A3AB5">
        <w:rPr>
          <w:sz w:val="20"/>
          <w:szCs w:val="20"/>
        </w:rPr>
        <w:t xml:space="preserve">charge virale est faible mais augmente très légèrement et le nombre de LT diminue </w:t>
      </w:r>
    </w:p>
    <w:p w14:paraId="6228ED4F" w14:textId="77777777" w:rsidR="001B337C" w:rsidRPr="009A3AB5" w:rsidRDefault="00673C75">
      <w:pPr>
        <w:ind w:left="17"/>
        <w:rPr>
          <w:sz w:val="20"/>
          <w:szCs w:val="20"/>
        </w:rPr>
      </w:pPr>
      <w:r w:rsidRPr="009A3AB5">
        <w:rPr>
          <w:sz w:val="20"/>
          <w:szCs w:val="20"/>
        </w:rPr>
        <w:t xml:space="preserve">légèrement. Les anticorps et les LT8 provoquent la diminution de la charge virale. Cette phase peut durer jusqu’à 15 ans. Aucun signe clinique ne se manifeste. </w:t>
      </w:r>
    </w:p>
    <w:p w14:paraId="5724CDF5" w14:textId="77777777" w:rsidR="001B337C" w:rsidRPr="009A3AB5" w:rsidRDefault="00673C75">
      <w:pPr>
        <w:spacing w:after="0" w:line="259" w:lineRule="auto"/>
        <w:ind w:left="22" w:firstLine="0"/>
        <w:rPr>
          <w:sz w:val="20"/>
          <w:szCs w:val="20"/>
        </w:rPr>
      </w:pPr>
      <w:r w:rsidRPr="009A3AB5">
        <w:rPr>
          <w:b/>
          <w:color w:val="007F00"/>
          <w:sz w:val="20"/>
          <w:szCs w:val="20"/>
        </w:rPr>
        <w:t xml:space="preserve"> </w:t>
      </w:r>
    </w:p>
    <w:p w14:paraId="39FE1D2D" w14:textId="77777777" w:rsidR="001B337C" w:rsidRPr="009A3AB5" w:rsidRDefault="00673C75">
      <w:pPr>
        <w:pStyle w:val="Titre2"/>
        <w:ind w:left="17" w:right="8643"/>
        <w:rPr>
          <w:sz w:val="20"/>
          <w:szCs w:val="20"/>
        </w:rPr>
      </w:pPr>
      <w:r w:rsidRPr="009A3AB5">
        <w:rPr>
          <w:sz w:val="20"/>
          <w:szCs w:val="20"/>
        </w:rPr>
        <w:t xml:space="preserve">C Le SIDA </w:t>
      </w:r>
      <w:r w:rsidRPr="009A3AB5">
        <w:rPr>
          <w:sz w:val="20"/>
          <w:szCs w:val="20"/>
        </w:rPr>
        <w:t>déclaré</w:t>
      </w:r>
      <w:r w:rsidRPr="009A3AB5">
        <w:rPr>
          <w:sz w:val="20"/>
          <w:szCs w:val="20"/>
          <w:u w:val="none" w:color="000000"/>
        </w:rPr>
        <w:t xml:space="preserve"> </w:t>
      </w:r>
      <w:r w:rsidRPr="009A3AB5">
        <w:rPr>
          <w:color w:val="FF0000"/>
          <w:sz w:val="20"/>
          <w:szCs w:val="20"/>
          <w:u w:val="none" w:color="000000"/>
        </w:rPr>
        <w:t xml:space="preserve"> </w:t>
      </w:r>
    </w:p>
    <w:p w14:paraId="64B213C6" w14:textId="2D07EAA9" w:rsidR="001B337C" w:rsidRPr="009A3AB5" w:rsidRDefault="00673C75">
      <w:pPr>
        <w:tabs>
          <w:tab w:val="center" w:pos="5161"/>
        </w:tabs>
        <w:ind w:left="0" w:firstLine="0"/>
        <w:rPr>
          <w:sz w:val="20"/>
          <w:szCs w:val="20"/>
        </w:rPr>
      </w:pPr>
      <w:r w:rsidRPr="009A3AB5">
        <w:rPr>
          <w:sz w:val="20"/>
          <w:szCs w:val="20"/>
        </w:rPr>
        <w:t xml:space="preserve"> </w:t>
      </w:r>
      <w:r>
        <w:rPr>
          <w:sz w:val="20"/>
          <w:szCs w:val="20"/>
        </w:rPr>
        <w:t xml:space="preserve">           </w:t>
      </w:r>
      <w:r w:rsidRPr="009A3AB5">
        <w:rPr>
          <w:sz w:val="20"/>
          <w:szCs w:val="20"/>
        </w:rPr>
        <w:t>C’est le début des maladies opportunistes : toxoplasmose</w:t>
      </w:r>
      <w:r w:rsidRPr="009A3AB5">
        <w:rPr>
          <w:sz w:val="20"/>
          <w:szCs w:val="20"/>
        </w:rPr>
        <w:t xml:space="preserve">, sarcome de Kaposi.  </w:t>
      </w:r>
    </w:p>
    <w:p w14:paraId="43C94D3E" w14:textId="6DCF4787" w:rsidR="001B337C" w:rsidRPr="009A3AB5" w:rsidRDefault="00673C75" w:rsidP="00673C75">
      <w:pPr>
        <w:spacing w:after="0" w:line="259" w:lineRule="auto"/>
        <w:ind w:left="22" w:firstLine="0"/>
        <w:rPr>
          <w:sz w:val="20"/>
          <w:szCs w:val="20"/>
        </w:rPr>
      </w:pPr>
      <w:r w:rsidRPr="009A3AB5">
        <w:rPr>
          <w:sz w:val="20"/>
          <w:szCs w:val="20"/>
        </w:rPr>
        <w:t xml:space="preserve"> </w:t>
      </w:r>
      <w:r w:rsidRPr="009A3AB5">
        <w:rPr>
          <w:sz w:val="20"/>
          <w:szCs w:val="20"/>
        </w:rPr>
        <w:tab/>
        <w:t xml:space="preserve"> </w:t>
      </w:r>
      <w:r w:rsidRPr="009A3AB5">
        <w:rPr>
          <w:sz w:val="20"/>
          <w:szCs w:val="20"/>
        </w:rPr>
        <w:t>L</w:t>
      </w:r>
      <w:r w:rsidRPr="009A3AB5">
        <w:rPr>
          <w:sz w:val="20"/>
          <w:szCs w:val="20"/>
        </w:rPr>
        <w:t xml:space="preserve">a charge virale augmente à nouveau </w:t>
      </w:r>
      <w:r w:rsidR="009A3AB5" w:rsidRPr="009A3AB5">
        <w:rPr>
          <w:b/>
          <w:i/>
          <w:sz w:val="20"/>
          <w:szCs w:val="20"/>
        </w:rPr>
        <w:sym w:font="Wingdings" w:char="F0E0"/>
      </w:r>
      <w:r w:rsidR="009A3AB5" w:rsidRPr="009A3AB5">
        <w:rPr>
          <w:b/>
          <w:i/>
          <w:sz w:val="20"/>
          <w:szCs w:val="20"/>
        </w:rPr>
        <w:t xml:space="preserve"> Voir Courbes</w:t>
      </w:r>
      <w:r w:rsidR="009A3AB5">
        <w:rPr>
          <w:b/>
          <w:i/>
          <w:sz w:val="20"/>
          <w:szCs w:val="20"/>
        </w:rPr>
        <w:t xml:space="preserve"> </w:t>
      </w:r>
      <w:r w:rsidRPr="009A3AB5">
        <w:rPr>
          <w:sz w:val="20"/>
          <w:szCs w:val="20"/>
        </w:rPr>
        <w:t>et souvent les LT4 passent en dessous d’un seuil qui a longtemps été considéré comme critique : 200 LT4 par mm</w:t>
      </w:r>
      <w:r w:rsidRPr="009A3AB5">
        <w:rPr>
          <w:sz w:val="20"/>
          <w:szCs w:val="20"/>
          <w:vertAlign w:val="superscript"/>
        </w:rPr>
        <w:t>3</w:t>
      </w:r>
      <w:r w:rsidRPr="009A3AB5">
        <w:rPr>
          <w:sz w:val="20"/>
          <w:szCs w:val="20"/>
        </w:rPr>
        <w:t xml:space="preserve"> de sang (donc reprise de la trithérapie). Ce sont néanmoins les maladies opportunistes qui caractérisent l</w:t>
      </w:r>
      <w:r w:rsidRPr="009A3AB5">
        <w:rPr>
          <w:sz w:val="20"/>
          <w:szCs w:val="20"/>
        </w:rPr>
        <w:t xml:space="preserve">e SIDA déclaré : maladies bénignes, les agents qui en sont responsables « profitant » de l'immunodépression due à la destruction des LT4 pour envahir l'organisme. Le malade meurt finalement d’une affection normalement bénigne. </w:t>
      </w:r>
    </w:p>
    <w:p w14:paraId="1CA51FEA" w14:textId="77777777" w:rsidR="001B337C" w:rsidRPr="009A3AB5" w:rsidRDefault="00673C75">
      <w:pPr>
        <w:spacing w:after="0" w:line="259" w:lineRule="auto"/>
        <w:ind w:left="22" w:firstLine="0"/>
        <w:rPr>
          <w:sz w:val="20"/>
          <w:szCs w:val="20"/>
        </w:rPr>
      </w:pPr>
      <w:r w:rsidRPr="009A3AB5">
        <w:rPr>
          <w:sz w:val="20"/>
          <w:szCs w:val="20"/>
        </w:rPr>
        <w:t xml:space="preserve"> </w:t>
      </w:r>
      <w:r w:rsidRPr="009A3AB5">
        <w:rPr>
          <w:sz w:val="20"/>
          <w:szCs w:val="20"/>
        </w:rPr>
        <w:tab/>
      </w:r>
      <w:r w:rsidRPr="009A3AB5">
        <w:rPr>
          <w:b/>
          <w:color w:val="007F00"/>
          <w:sz w:val="20"/>
          <w:szCs w:val="20"/>
        </w:rPr>
        <w:t xml:space="preserve"> </w:t>
      </w:r>
    </w:p>
    <w:sectPr w:rsidR="001B337C" w:rsidRPr="009A3AB5" w:rsidSect="009A3AB5">
      <w:pgSz w:w="11900" w:h="16840"/>
      <w:pgMar w:top="284" w:right="559" w:bottom="284" w:left="54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mic Sans MS">
    <w:panose1 w:val="030F0702030302020204"/>
    <w:charset w:val="00"/>
    <w:family w:val="script"/>
    <w:pitch w:val="variable"/>
    <w:sig w:usb0="00000287" w:usb1="40000013"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37799"/>
    <w:multiLevelType w:val="hybridMultilevel"/>
    <w:tmpl w:val="DC9CFF06"/>
    <w:lvl w:ilvl="0" w:tplc="5606933E">
      <w:start w:val="1"/>
      <w:numFmt w:val="bullet"/>
      <w:lvlText w:val="-"/>
      <w:lvlJc w:val="left"/>
      <w:pPr>
        <w:ind w:left="17"/>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1" w:tplc="5ADC095A">
      <w:start w:val="1"/>
      <w:numFmt w:val="bullet"/>
      <w:lvlText w:val="o"/>
      <w:lvlJc w:val="left"/>
      <w:pPr>
        <w:ind w:left="1102"/>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2" w:tplc="27EA99A0">
      <w:start w:val="1"/>
      <w:numFmt w:val="bullet"/>
      <w:lvlText w:val="▪"/>
      <w:lvlJc w:val="left"/>
      <w:pPr>
        <w:ind w:left="1822"/>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3" w:tplc="33FC96A8">
      <w:start w:val="1"/>
      <w:numFmt w:val="bullet"/>
      <w:lvlText w:val="•"/>
      <w:lvlJc w:val="left"/>
      <w:pPr>
        <w:ind w:left="2542"/>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4" w:tplc="5896E5B8">
      <w:start w:val="1"/>
      <w:numFmt w:val="bullet"/>
      <w:lvlText w:val="o"/>
      <w:lvlJc w:val="left"/>
      <w:pPr>
        <w:ind w:left="3262"/>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5" w:tplc="64EAD61C">
      <w:start w:val="1"/>
      <w:numFmt w:val="bullet"/>
      <w:lvlText w:val="▪"/>
      <w:lvlJc w:val="left"/>
      <w:pPr>
        <w:ind w:left="3982"/>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6" w:tplc="8C82E16E">
      <w:start w:val="1"/>
      <w:numFmt w:val="bullet"/>
      <w:lvlText w:val="•"/>
      <w:lvlJc w:val="left"/>
      <w:pPr>
        <w:ind w:left="4702"/>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7" w:tplc="DFF69B74">
      <w:start w:val="1"/>
      <w:numFmt w:val="bullet"/>
      <w:lvlText w:val="o"/>
      <w:lvlJc w:val="left"/>
      <w:pPr>
        <w:ind w:left="5422"/>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8" w:tplc="2B689F9E">
      <w:start w:val="1"/>
      <w:numFmt w:val="bullet"/>
      <w:lvlText w:val="▪"/>
      <w:lvlJc w:val="left"/>
      <w:pPr>
        <w:ind w:left="6142"/>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37C"/>
    <w:rsid w:val="001B337C"/>
    <w:rsid w:val="00673C75"/>
    <w:rsid w:val="009A3AB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9D568"/>
  <w15:docId w15:val="{C26584E7-C704-4537-A075-2AE9F5E6F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248" w:lineRule="auto"/>
      <w:ind w:left="32" w:hanging="10"/>
    </w:pPr>
    <w:rPr>
      <w:rFonts w:ascii="Comic Sans MS" w:eastAsia="Comic Sans MS" w:hAnsi="Comic Sans MS" w:cs="Comic Sans MS"/>
      <w:color w:val="000000"/>
    </w:rPr>
  </w:style>
  <w:style w:type="paragraph" w:styleId="Titre1">
    <w:name w:val="heading 1"/>
    <w:next w:val="Normal"/>
    <w:link w:val="Titre1Car"/>
    <w:uiPriority w:val="9"/>
    <w:qFormat/>
    <w:pPr>
      <w:keepNext/>
      <w:keepLines/>
      <w:spacing w:after="0"/>
      <w:ind w:left="21"/>
      <w:jc w:val="center"/>
      <w:outlineLvl w:val="0"/>
    </w:pPr>
    <w:rPr>
      <w:rFonts w:ascii="Comic Sans MS" w:eastAsia="Comic Sans MS" w:hAnsi="Comic Sans MS" w:cs="Comic Sans MS"/>
      <w:b/>
      <w:color w:val="FF0000"/>
      <w:sz w:val="24"/>
    </w:rPr>
  </w:style>
  <w:style w:type="paragraph" w:styleId="Titre2">
    <w:name w:val="heading 2"/>
    <w:next w:val="Normal"/>
    <w:link w:val="Titre2Car"/>
    <w:uiPriority w:val="9"/>
    <w:unhideWhenUsed/>
    <w:qFormat/>
    <w:pPr>
      <w:keepNext/>
      <w:keepLines/>
      <w:spacing w:after="5" w:line="249" w:lineRule="auto"/>
      <w:ind w:left="32" w:hanging="10"/>
      <w:outlineLvl w:val="1"/>
    </w:pPr>
    <w:rPr>
      <w:rFonts w:ascii="Comic Sans MS" w:eastAsia="Comic Sans MS" w:hAnsi="Comic Sans MS" w:cs="Comic Sans MS"/>
      <w:b/>
      <w:color w:val="007F00"/>
      <w:u w:val="single" w:color="007F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Pr>
      <w:rFonts w:ascii="Comic Sans MS" w:eastAsia="Comic Sans MS" w:hAnsi="Comic Sans MS" w:cs="Comic Sans MS"/>
      <w:b/>
      <w:color w:val="007F00"/>
      <w:sz w:val="22"/>
      <w:u w:val="single" w:color="007F00"/>
    </w:rPr>
  </w:style>
  <w:style w:type="character" w:customStyle="1" w:styleId="Titre1Car">
    <w:name w:val="Titre 1 Car"/>
    <w:link w:val="Titre1"/>
    <w:rPr>
      <w:rFonts w:ascii="Comic Sans MS" w:eastAsia="Comic Sans MS" w:hAnsi="Comic Sans MS" w:cs="Comic Sans MS"/>
      <w:b/>
      <w:color w:val="FF0000"/>
      <w:sz w:val="24"/>
    </w:rPr>
  </w:style>
  <w:style w:type="paragraph" w:styleId="Textedebulles">
    <w:name w:val="Balloon Text"/>
    <w:basedOn w:val="Normal"/>
    <w:link w:val="TextedebullesCar"/>
    <w:uiPriority w:val="99"/>
    <w:semiHidden/>
    <w:unhideWhenUsed/>
    <w:rsid w:val="009A3AB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A3AB5"/>
    <w:rPr>
      <w:rFonts w:ascii="Segoe UI" w:eastAsia="Comic Sans MS"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615</Words>
  <Characters>3388</Characters>
  <Application>Microsoft Office Word</Application>
  <DocSecurity>0</DocSecurity>
  <Lines>28</Lines>
  <Paragraphs>7</Paragraphs>
  <ScaleCrop>false</ScaleCrop>
  <HeadingPairs>
    <vt:vector size="2" baseType="variant">
      <vt:variant>
        <vt:lpstr>Titre</vt:lpstr>
      </vt:variant>
      <vt:variant>
        <vt:i4>1</vt:i4>
      </vt:variant>
    </vt:vector>
  </HeadingPairs>
  <TitlesOfParts>
    <vt:vector size="1" baseType="lpstr">
      <vt:lpstr>chapitre 3 SIDA</vt:lpstr>
    </vt:vector>
  </TitlesOfParts>
  <Company/>
  <LinksUpToDate>false</LinksUpToDate>
  <CharactersWithSpaces>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chapitre 3 SIDA</dc:title>
  <dc:subject/>
  <dc:creator>Anne</dc:creator>
  <cp:keywords>SIDA</cp:keywords>
  <cp:lastModifiedBy>caroline poupard</cp:lastModifiedBy>
  <cp:revision>2</cp:revision>
  <dcterms:created xsi:type="dcterms:W3CDTF">2019-04-30T10:06:00Z</dcterms:created>
  <dcterms:modified xsi:type="dcterms:W3CDTF">2019-04-30T10:06:00Z</dcterms:modified>
</cp:coreProperties>
</file>