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8F0BB" w14:textId="77777777" w:rsidR="00647ABC" w:rsidRPr="0016020F" w:rsidRDefault="00647ABC" w:rsidP="00647ABC">
      <w:pPr>
        <w:pStyle w:val="Sansinterligne"/>
        <w:jc w:val="center"/>
        <w:rPr>
          <w:color w:val="FF0000"/>
          <w:sz w:val="28"/>
          <w:szCs w:val="28"/>
        </w:rPr>
      </w:pPr>
      <w:bookmarkStart w:id="0" w:name="_Hlk36475854"/>
      <w:r w:rsidRPr="0016020F">
        <w:rPr>
          <w:b/>
          <w:bCs/>
          <w:color w:val="FF0000"/>
          <w:sz w:val="28"/>
          <w:szCs w:val="28"/>
        </w:rPr>
        <w:t>Chapitre 3 - Le phénotype immunitaire au cours de la vie</w:t>
      </w:r>
    </w:p>
    <w:p w14:paraId="64681517" w14:textId="77777777" w:rsidR="00647ABC" w:rsidRDefault="00647ABC" w:rsidP="00647ABC">
      <w:pPr>
        <w:pStyle w:val="Sansinterligne"/>
      </w:pPr>
    </w:p>
    <w:p w14:paraId="07FE076C" w14:textId="77777777" w:rsidR="00647ABC" w:rsidRDefault="00647ABC" w:rsidP="00647ABC">
      <w:pPr>
        <w:pStyle w:val="Sansinterligne"/>
      </w:pPr>
    </w:p>
    <w:p w14:paraId="376F7B93" w14:textId="77777777" w:rsidR="00647ABC" w:rsidRDefault="00647ABC" w:rsidP="00647ABC">
      <w:pPr>
        <w:pStyle w:val="Sansinterligne"/>
      </w:pPr>
    </w:p>
    <w:p w14:paraId="4AE478DD" w14:textId="77777777" w:rsidR="00647ABC" w:rsidRDefault="00647ABC" w:rsidP="00647ABC">
      <w:pPr>
        <w:pStyle w:val="Sansinterligne"/>
      </w:pPr>
    </w:p>
    <w:p w14:paraId="39FD948C" w14:textId="77777777" w:rsidR="00647ABC" w:rsidRDefault="00647ABC" w:rsidP="00647ABC">
      <w:pPr>
        <w:pStyle w:val="Sansinterligne"/>
      </w:pPr>
    </w:p>
    <w:p w14:paraId="503885AA" w14:textId="77777777" w:rsidR="00647ABC" w:rsidRPr="0015131B" w:rsidRDefault="00647ABC" w:rsidP="00647ABC">
      <w:pPr>
        <w:pStyle w:val="Sansinterligne"/>
      </w:pPr>
      <w:r w:rsidRPr="0015131B">
        <w:t>A la naissance, un individu possède des LB et LT qui lui sont propres, c’est son phénotype immunitaire. Ce phénotype évolue au cours de la vie au gré des rencontres avec différents Ag.</w:t>
      </w:r>
    </w:p>
    <w:p w14:paraId="236CBD8D" w14:textId="77777777" w:rsidR="00647ABC" w:rsidRDefault="00647ABC" w:rsidP="00647ABC">
      <w:pPr>
        <w:pStyle w:val="Sansinterligne"/>
        <w:rPr>
          <w:color w:val="000000"/>
          <w:u w:val="single"/>
        </w:rPr>
      </w:pPr>
    </w:p>
    <w:p w14:paraId="1DB08831" w14:textId="77777777" w:rsidR="00647ABC" w:rsidRPr="00234D82" w:rsidRDefault="00647ABC" w:rsidP="00647ABC">
      <w:pPr>
        <w:pStyle w:val="Sansinterligne"/>
        <w:rPr>
          <w:i/>
          <w:iCs/>
          <w:color w:val="000000"/>
          <w:u w:val="single"/>
        </w:rPr>
      </w:pPr>
      <w:r w:rsidRPr="00234D82">
        <w:rPr>
          <w:i/>
          <w:iCs/>
          <w:color w:val="000000"/>
          <w:u w:val="single"/>
        </w:rPr>
        <w:t>Rappel sur le terme de phénotype.</w:t>
      </w:r>
    </w:p>
    <w:p w14:paraId="18657B99" w14:textId="77777777" w:rsidR="00647ABC" w:rsidRPr="00234D82" w:rsidRDefault="00647ABC" w:rsidP="00647ABC">
      <w:pPr>
        <w:pStyle w:val="Sansinterligne"/>
        <w:rPr>
          <w:i/>
          <w:iCs/>
          <w:color w:val="000000"/>
          <w:u w:val="single"/>
        </w:rPr>
      </w:pPr>
    </w:p>
    <w:p w14:paraId="08434E1D" w14:textId="77777777" w:rsidR="00647ABC" w:rsidRPr="000A140B" w:rsidRDefault="00647ABC" w:rsidP="00647ABC">
      <w:pPr>
        <w:pStyle w:val="Sansinterligne"/>
        <w:rPr>
          <w:i/>
          <w:iCs/>
          <w:color w:val="000000"/>
          <w:highlight w:val="yellow"/>
        </w:rPr>
      </w:pPr>
      <w:r w:rsidRPr="00234D82">
        <w:rPr>
          <w:i/>
          <w:iCs/>
          <w:color w:val="000000"/>
        </w:rPr>
        <w:t xml:space="preserve">Phénotype : </w:t>
      </w:r>
      <w:r w:rsidRPr="000A140B">
        <w:rPr>
          <w:i/>
          <w:iCs/>
          <w:color w:val="000000"/>
          <w:highlight w:val="yellow"/>
        </w:rPr>
        <w:t>ensemble des caractères d’un individu (macroscopique), ensemble des caractères d’une cellule (cellulaire).</w:t>
      </w:r>
    </w:p>
    <w:p w14:paraId="1918647C" w14:textId="77777777" w:rsidR="00647ABC" w:rsidRPr="00234D82" w:rsidRDefault="00647ABC" w:rsidP="00647ABC">
      <w:pPr>
        <w:pStyle w:val="Sansinterligne"/>
        <w:rPr>
          <w:i/>
          <w:iCs/>
          <w:color w:val="000000"/>
        </w:rPr>
      </w:pPr>
    </w:p>
    <w:p w14:paraId="57D3BA7E" w14:textId="77777777" w:rsidR="00647ABC" w:rsidRPr="00234D82" w:rsidRDefault="00647ABC" w:rsidP="00647ABC">
      <w:pPr>
        <w:pStyle w:val="Sansinterligne"/>
        <w:rPr>
          <w:i/>
          <w:iCs/>
          <w:color w:val="000000"/>
        </w:rPr>
      </w:pPr>
      <w:r w:rsidRPr="00234D82">
        <w:rPr>
          <w:i/>
          <w:iCs/>
          <w:color w:val="000000"/>
        </w:rPr>
        <w:t xml:space="preserve">Phénotype moléculaire : </w:t>
      </w:r>
      <w:r w:rsidRPr="000A140B">
        <w:rPr>
          <w:i/>
          <w:iCs/>
          <w:color w:val="000000"/>
          <w:highlight w:val="yellow"/>
        </w:rPr>
        <w:t>ensemble des protéines d’une cellule</w:t>
      </w:r>
      <w:r w:rsidRPr="00234D82">
        <w:rPr>
          <w:i/>
          <w:iCs/>
          <w:color w:val="000000"/>
        </w:rPr>
        <w:t>.</w:t>
      </w:r>
    </w:p>
    <w:p w14:paraId="70A65E9E" w14:textId="77777777" w:rsidR="00647ABC" w:rsidRPr="00234D82" w:rsidRDefault="00647ABC" w:rsidP="00647ABC">
      <w:pPr>
        <w:pStyle w:val="Sansinterligne"/>
        <w:rPr>
          <w:i/>
          <w:iCs/>
          <w:color w:val="000000"/>
        </w:rPr>
      </w:pPr>
    </w:p>
    <w:p w14:paraId="3988D45A" w14:textId="77777777" w:rsidR="00647ABC" w:rsidRPr="000A140B" w:rsidRDefault="00647ABC" w:rsidP="00647ABC">
      <w:pPr>
        <w:pStyle w:val="Sansinterligne"/>
        <w:rPr>
          <w:i/>
          <w:iCs/>
          <w:color w:val="000000"/>
          <w:highlight w:val="yellow"/>
        </w:rPr>
      </w:pPr>
      <w:r w:rsidRPr="00234D82">
        <w:rPr>
          <w:i/>
          <w:iCs/>
          <w:color w:val="000000"/>
        </w:rPr>
        <w:t xml:space="preserve">Phénotype moléculaire </w:t>
      </w:r>
      <w:r w:rsidRPr="000A140B">
        <w:rPr>
          <w:i/>
          <w:iCs/>
          <w:color w:val="000000"/>
          <w:highlight w:val="yellow"/>
        </w:rPr>
        <w:t>dépend du génotype (ensemble des allèles d’un individu).</w:t>
      </w:r>
    </w:p>
    <w:p w14:paraId="51474B66" w14:textId="77777777" w:rsidR="00647ABC" w:rsidRPr="00234D82" w:rsidRDefault="00647ABC" w:rsidP="00647ABC">
      <w:pPr>
        <w:pStyle w:val="Sansinterligne"/>
        <w:rPr>
          <w:i/>
          <w:iCs/>
          <w:color w:val="000000"/>
        </w:rPr>
      </w:pPr>
    </w:p>
    <w:p w14:paraId="37246591" w14:textId="77777777" w:rsidR="00647ABC" w:rsidRPr="00234D82" w:rsidRDefault="00647ABC" w:rsidP="00647ABC">
      <w:pPr>
        <w:pStyle w:val="Sansinterligne"/>
        <w:rPr>
          <w:i/>
          <w:iCs/>
          <w:color w:val="000000"/>
        </w:rPr>
      </w:pPr>
      <w:r w:rsidRPr="00234D82">
        <w:rPr>
          <w:i/>
          <w:iCs/>
          <w:color w:val="000000"/>
        </w:rPr>
        <w:t xml:space="preserve">Phénotype moléculaire </w:t>
      </w:r>
      <w:r w:rsidRPr="00234D82">
        <w:rPr>
          <w:i/>
          <w:iCs/>
          <w:color w:val="000000"/>
        </w:rPr>
        <w:sym w:font="Wingdings" w:char="F0E8"/>
      </w:r>
      <w:r w:rsidRPr="00234D82">
        <w:rPr>
          <w:i/>
          <w:iCs/>
          <w:color w:val="000000"/>
        </w:rPr>
        <w:t xml:space="preserve"> phénotype cellulaire </w:t>
      </w:r>
      <w:r w:rsidRPr="00234D82">
        <w:rPr>
          <w:i/>
          <w:iCs/>
          <w:color w:val="000000"/>
        </w:rPr>
        <w:sym w:font="Wingdings" w:char="F0E8"/>
      </w:r>
      <w:r w:rsidRPr="00234D82">
        <w:rPr>
          <w:i/>
          <w:iCs/>
          <w:color w:val="000000"/>
        </w:rPr>
        <w:t xml:space="preserve"> phénotype macroscopique</w:t>
      </w:r>
    </w:p>
    <w:p w14:paraId="0A593988" w14:textId="77777777" w:rsidR="00647ABC" w:rsidRPr="00234D82" w:rsidRDefault="00647ABC" w:rsidP="00647ABC">
      <w:pPr>
        <w:pStyle w:val="Sansinterligne"/>
        <w:rPr>
          <w:i/>
          <w:iCs/>
          <w:color w:val="000000"/>
        </w:rPr>
      </w:pPr>
    </w:p>
    <w:p w14:paraId="1C00BF52" w14:textId="77777777" w:rsidR="00647ABC" w:rsidRPr="00234D82" w:rsidRDefault="00647ABC" w:rsidP="00647ABC">
      <w:pPr>
        <w:pStyle w:val="Sansinterligne"/>
        <w:rPr>
          <w:i/>
          <w:iCs/>
          <w:color w:val="000000"/>
        </w:rPr>
      </w:pPr>
      <w:r w:rsidRPr="00234D82">
        <w:rPr>
          <w:i/>
          <w:iCs/>
          <w:color w:val="000000"/>
        </w:rPr>
        <w:t xml:space="preserve">Facteurs environnementaux agissent sur phénotype. Ex : mode de vie des patients et crise de drépanocytose (moins d’oxygène (altitude, avion, sport intensif) / froid ou vêtements serrés </w:t>
      </w:r>
      <w:r w:rsidRPr="00234D82">
        <w:rPr>
          <w:i/>
          <w:iCs/>
          <w:color w:val="000000"/>
        </w:rPr>
        <w:sym w:font="Wingdings" w:char="F0E8"/>
      </w:r>
      <w:r w:rsidRPr="00234D82">
        <w:rPr>
          <w:i/>
          <w:iCs/>
          <w:color w:val="000000"/>
        </w:rPr>
        <w:t xml:space="preserve"> ralentissement circulation sanguine </w:t>
      </w:r>
      <w:r w:rsidRPr="00234D82">
        <w:rPr>
          <w:i/>
          <w:iCs/>
          <w:color w:val="000000"/>
        </w:rPr>
        <w:sym w:font="Wingdings" w:char="F0E8"/>
      </w:r>
      <w:r w:rsidRPr="00234D82">
        <w:rPr>
          <w:i/>
          <w:iCs/>
          <w:color w:val="000000"/>
        </w:rPr>
        <w:t xml:space="preserve"> polymérisation sous forme rigide de l’hémoglobine)</w:t>
      </w:r>
    </w:p>
    <w:p w14:paraId="63B86702" w14:textId="77777777" w:rsidR="00647ABC" w:rsidRPr="00234D82" w:rsidRDefault="00647ABC" w:rsidP="00647ABC">
      <w:pPr>
        <w:pStyle w:val="Sansinterligne"/>
        <w:rPr>
          <w:i/>
          <w:iCs/>
          <w:color w:val="000000"/>
        </w:rPr>
      </w:pPr>
    </w:p>
    <w:p w14:paraId="345496BD" w14:textId="77777777" w:rsidR="00647ABC" w:rsidRPr="0015131B" w:rsidRDefault="00647ABC" w:rsidP="00647ABC">
      <w:pPr>
        <w:pStyle w:val="Sansinterligne"/>
      </w:pPr>
      <w:r w:rsidRPr="00234D82">
        <w:rPr>
          <w:i/>
          <w:iCs/>
        </w:rPr>
        <w:t>Certaines maladies infectieuses : varicelle, rubéole, rougeole, ne se contractent</w:t>
      </w:r>
      <w:r w:rsidRPr="0015131B">
        <w:t xml:space="preserve"> qu’une seule fois, pourtant le même pathogène sera rencontré plusieurs fois au cours de la vie.</w:t>
      </w:r>
    </w:p>
    <w:p w14:paraId="2C27906D" w14:textId="77777777" w:rsidR="00647ABC" w:rsidRPr="0015131B" w:rsidRDefault="00647ABC" w:rsidP="00647ABC">
      <w:pPr>
        <w:pStyle w:val="Sansinterligne"/>
        <w:rPr>
          <w:color w:val="000000"/>
        </w:rPr>
      </w:pPr>
    </w:p>
    <w:p w14:paraId="04DC6F2E" w14:textId="77777777" w:rsidR="00647ABC" w:rsidRPr="00CC545F" w:rsidRDefault="00647ABC" w:rsidP="00647ABC">
      <w:pPr>
        <w:pStyle w:val="Sansinterligne"/>
        <w:rPr>
          <w:b/>
          <w:color w:val="00B050"/>
        </w:rPr>
      </w:pPr>
      <w:r w:rsidRPr="00CC545F">
        <w:rPr>
          <w:b/>
          <w:color w:val="00B050"/>
        </w:rPr>
        <w:t>Comment réagit le système immunitaire lorsqu’il rencontre plusieurs fois le même pathogène ?</w:t>
      </w:r>
    </w:p>
    <w:p w14:paraId="17A1F96D" w14:textId="77777777" w:rsidR="00647ABC" w:rsidRPr="00CC545F" w:rsidRDefault="00647ABC" w:rsidP="00647ABC">
      <w:pPr>
        <w:pStyle w:val="Sansinterligne"/>
        <w:rPr>
          <w:b/>
          <w:color w:val="00B050"/>
        </w:rPr>
      </w:pPr>
    </w:p>
    <w:p w14:paraId="3BEA898A" w14:textId="77777777" w:rsidR="00647ABC" w:rsidRPr="00CC545F" w:rsidRDefault="00647ABC" w:rsidP="00647ABC">
      <w:pPr>
        <w:pStyle w:val="Sansinterligne"/>
        <w:rPr>
          <w:color w:val="0070C0"/>
          <w:sz w:val="28"/>
        </w:rPr>
      </w:pPr>
      <w:r w:rsidRPr="00CC545F">
        <w:rPr>
          <w:color w:val="0070C0"/>
          <w:sz w:val="28"/>
        </w:rPr>
        <w:t>I) La mémoire immunitaire</w:t>
      </w:r>
    </w:p>
    <w:p w14:paraId="2FAB3CCA" w14:textId="77777777" w:rsidR="00647ABC" w:rsidRPr="0015131B" w:rsidRDefault="00647ABC" w:rsidP="00647ABC">
      <w:pPr>
        <w:pStyle w:val="Sansinterligne"/>
      </w:pPr>
    </w:p>
    <w:p w14:paraId="5747DA10" w14:textId="77777777" w:rsidR="00647ABC" w:rsidRPr="00234D82" w:rsidRDefault="00647ABC" w:rsidP="00647ABC">
      <w:pPr>
        <w:pStyle w:val="Sansinterligne"/>
        <w:rPr>
          <w:bCs/>
          <w:sz w:val="24"/>
        </w:rPr>
      </w:pPr>
      <w:r>
        <w:rPr>
          <w:bCs/>
          <w:sz w:val="24"/>
        </w:rPr>
        <w:tab/>
      </w:r>
      <w:r w:rsidRPr="00234D82">
        <w:rPr>
          <w:bCs/>
          <w:sz w:val="24"/>
        </w:rPr>
        <w:t>Lors d’un premier contact avec un antigène, une première réponse immunitaire faible et lent</w:t>
      </w:r>
      <w:r>
        <w:rPr>
          <w:bCs/>
          <w:sz w:val="24"/>
        </w:rPr>
        <w:t>e</w:t>
      </w:r>
      <w:r w:rsidRPr="00234D82">
        <w:rPr>
          <w:bCs/>
          <w:sz w:val="24"/>
        </w:rPr>
        <w:t xml:space="preserve"> se met en place</w:t>
      </w:r>
    </w:p>
    <w:p w14:paraId="7A8578FE" w14:textId="77777777" w:rsidR="00647ABC" w:rsidRDefault="00647ABC" w:rsidP="00647ABC">
      <w:pPr>
        <w:pStyle w:val="Sansinterligne"/>
        <w:rPr>
          <w:b/>
          <w:sz w:val="24"/>
        </w:rPr>
      </w:pPr>
    </w:p>
    <w:p w14:paraId="6D7F98AA" w14:textId="77777777" w:rsidR="00647ABC" w:rsidRDefault="00647ABC" w:rsidP="00647ABC">
      <w:pPr>
        <w:pStyle w:val="Sansinterligne"/>
        <w:rPr>
          <w:b/>
          <w:sz w:val="24"/>
        </w:rPr>
      </w:pPr>
      <w:r w:rsidRPr="00CC545F">
        <w:rPr>
          <w:b/>
          <w:sz w:val="24"/>
        </w:rPr>
        <w:t>Activité 1 :</w:t>
      </w:r>
      <w:r>
        <w:rPr>
          <w:b/>
          <w:sz w:val="24"/>
        </w:rPr>
        <w:t xml:space="preserve"> </w:t>
      </w:r>
      <w:r w:rsidRPr="00CC545F">
        <w:rPr>
          <w:b/>
          <w:sz w:val="24"/>
        </w:rPr>
        <w:t xml:space="preserve">Mise en évidence de la mémoire immunitaire </w:t>
      </w:r>
    </w:p>
    <w:p w14:paraId="53109D47" w14:textId="77777777" w:rsidR="00647ABC" w:rsidRDefault="00647ABC" w:rsidP="00647ABC">
      <w:pPr>
        <w:pStyle w:val="Sansinterligne"/>
        <w:rPr>
          <w:b/>
          <w:sz w:val="24"/>
        </w:rPr>
      </w:pPr>
    </w:p>
    <w:p w14:paraId="3F6E9FCF" w14:textId="77777777" w:rsidR="00647ABC" w:rsidRPr="00B32619" w:rsidRDefault="00647ABC" w:rsidP="00647ABC">
      <w:pPr>
        <w:pStyle w:val="Sansinterligne"/>
        <w:rPr>
          <w:bCs/>
          <w:sz w:val="20"/>
          <w:szCs w:val="20"/>
        </w:rPr>
      </w:pPr>
      <w:r>
        <w:rPr>
          <w:bCs/>
          <w:sz w:val="24"/>
        </w:rPr>
        <w:tab/>
      </w:r>
      <w:r w:rsidRPr="00B32619">
        <w:rPr>
          <w:bCs/>
          <w:sz w:val="20"/>
          <w:szCs w:val="20"/>
        </w:rPr>
        <w:t xml:space="preserve">Lors d’une greffe, les cellules immunitaires reconnaissent les cellules du greffon comme n’appartenant pas à l’organisme. Elles peuvent donc entraîner son rejet. Des expériences de greffe ont été réalisées à partir de 2 souris donneuses </w:t>
      </w:r>
      <w:proofErr w:type="gramStart"/>
      <w:r w:rsidRPr="00B32619">
        <w:rPr>
          <w:bCs/>
          <w:sz w:val="20"/>
          <w:szCs w:val="20"/>
        </w:rPr>
        <w:t>( A</w:t>
      </w:r>
      <w:proofErr w:type="gramEnd"/>
      <w:r w:rsidRPr="00B32619">
        <w:rPr>
          <w:bCs/>
          <w:sz w:val="20"/>
          <w:szCs w:val="20"/>
        </w:rPr>
        <w:t xml:space="preserve"> et B) vers une souris receveuse. La vitesse du rejet du greffon par la receveuse est donnée pour chaque expérience :</w:t>
      </w:r>
    </w:p>
    <w:p w14:paraId="11F59B13" w14:textId="77777777" w:rsidR="00647ABC" w:rsidRPr="00B32619" w:rsidRDefault="00647ABC" w:rsidP="00647ABC">
      <w:pPr>
        <w:pStyle w:val="Sansinterligne"/>
        <w:rPr>
          <w:bCs/>
          <w:sz w:val="20"/>
          <w:szCs w:val="20"/>
        </w:rPr>
      </w:pPr>
    </w:p>
    <w:p w14:paraId="164AD756" w14:textId="77777777" w:rsidR="00647ABC" w:rsidRPr="00B32619" w:rsidRDefault="00647ABC" w:rsidP="00647ABC">
      <w:pPr>
        <w:pStyle w:val="Sansinterligne"/>
        <w:rPr>
          <w:bCs/>
          <w:sz w:val="20"/>
          <w:szCs w:val="20"/>
        </w:rPr>
      </w:pPr>
      <w:r w:rsidRPr="00B32619">
        <w:rPr>
          <w:bCs/>
          <w:sz w:val="20"/>
          <w:szCs w:val="20"/>
        </w:rPr>
        <w:t>Résultats d’expériences de greffe et de la vitesse de rejet du greffon</w:t>
      </w:r>
    </w:p>
    <w:tbl>
      <w:tblPr>
        <w:tblStyle w:val="Grilledutableau"/>
        <w:tblW w:w="0" w:type="auto"/>
        <w:jc w:val="center"/>
        <w:tblLook w:val="04A0" w:firstRow="1" w:lastRow="0" w:firstColumn="1" w:lastColumn="0" w:noHBand="0" w:noVBand="1"/>
      </w:tblPr>
      <w:tblGrid>
        <w:gridCol w:w="2273"/>
        <w:gridCol w:w="2263"/>
        <w:gridCol w:w="2263"/>
        <w:gridCol w:w="2263"/>
      </w:tblGrid>
      <w:tr w:rsidR="00647ABC" w:rsidRPr="00B32619" w14:paraId="081EA09C" w14:textId="77777777" w:rsidTr="00090D31">
        <w:trPr>
          <w:jc w:val="center"/>
        </w:trPr>
        <w:tc>
          <w:tcPr>
            <w:tcW w:w="2614" w:type="dxa"/>
            <w:vAlign w:val="center"/>
          </w:tcPr>
          <w:p w14:paraId="5033B0E5" w14:textId="77777777" w:rsidR="00647ABC" w:rsidRPr="00B32619" w:rsidRDefault="00647ABC" w:rsidP="00090D31">
            <w:pPr>
              <w:pStyle w:val="Sansinterligne"/>
              <w:rPr>
                <w:bCs/>
                <w:sz w:val="20"/>
                <w:szCs w:val="20"/>
              </w:rPr>
            </w:pPr>
            <w:r w:rsidRPr="00B32619">
              <w:rPr>
                <w:bCs/>
                <w:sz w:val="20"/>
                <w:szCs w:val="20"/>
              </w:rPr>
              <w:t>Origine du greffon</w:t>
            </w:r>
          </w:p>
        </w:tc>
        <w:tc>
          <w:tcPr>
            <w:tcW w:w="2614" w:type="dxa"/>
            <w:vAlign w:val="center"/>
          </w:tcPr>
          <w:p w14:paraId="6A1612F0" w14:textId="77777777" w:rsidR="00647ABC" w:rsidRPr="00B32619" w:rsidRDefault="00647ABC" w:rsidP="00090D31">
            <w:pPr>
              <w:pStyle w:val="Sansinterligne"/>
              <w:jc w:val="center"/>
              <w:rPr>
                <w:bCs/>
                <w:sz w:val="20"/>
                <w:szCs w:val="20"/>
              </w:rPr>
            </w:pPr>
            <w:r w:rsidRPr="00B32619">
              <w:rPr>
                <w:bCs/>
                <w:sz w:val="20"/>
                <w:szCs w:val="20"/>
              </w:rPr>
              <w:t>Souris donneuse A</w:t>
            </w:r>
          </w:p>
          <w:p w14:paraId="6BE1618B" w14:textId="77777777" w:rsidR="00647ABC" w:rsidRPr="00B32619" w:rsidRDefault="00647ABC" w:rsidP="00090D31">
            <w:pPr>
              <w:pStyle w:val="Sansinterligne"/>
              <w:jc w:val="center"/>
              <w:rPr>
                <w:bCs/>
                <w:sz w:val="20"/>
                <w:szCs w:val="20"/>
              </w:rPr>
            </w:pPr>
            <w:r w:rsidRPr="00B32619">
              <w:rPr>
                <w:bCs/>
                <w:sz w:val="20"/>
                <w:szCs w:val="20"/>
              </w:rPr>
              <w:t>1</w:t>
            </w:r>
            <w:r w:rsidRPr="00B32619">
              <w:rPr>
                <w:bCs/>
                <w:sz w:val="20"/>
                <w:szCs w:val="20"/>
                <w:vertAlign w:val="superscript"/>
              </w:rPr>
              <w:t>ère</w:t>
            </w:r>
            <w:r w:rsidRPr="00B32619">
              <w:rPr>
                <w:bCs/>
                <w:sz w:val="20"/>
                <w:szCs w:val="20"/>
              </w:rPr>
              <w:t xml:space="preserve"> greffe </w:t>
            </w:r>
            <w:proofErr w:type="gramStart"/>
            <w:r w:rsidRPr="00B32619">
              <w:rPr>
                <w:bCs/>
                <w:sz w:val="20"/>
                <w:szCs w:val="20"/>
              </w:rPr>
              <w:t>( T</w:t>
            </w:r>
            <w:proofErr w:type="gramEnd"/>
            <w:r w:rsidRPr="00B32619">
              <w:rPr>
                <w:bCs/>
                <w:sz w:val="20"/>
                <w:szCs w:val="20"/>
              </w:rPr>
              <w:t>0)</w:t>
            </w:r>
          </w:p>
        </w:tc>
        <w:tc>
          <w:tcPr>
            <w:tcW w:w="2614" w:type="dxa"/>
            <w:vAlign w:val="center"/>
          </w:tcPr>
          <w:p w14:paraId="406801F7" w14:textId="77777777" w:rsidR="00647ABC" w:rsidRPr="00B32619" w:rsidRDefault="00647ABC" w:rsidP="00090D31">
            <w:pPr>
              <w:pStyle w:val="Sansinterligne"/>
              <w:jc w:val="center"/>
              <w:rPr>
                <w:bCs/>
                <w:sz w:val="20"/>
                <w:szCs w:val="20"/>
              </w:rPr>
            </w:pPr>
            <w:r w:rsidRPr="00B32619">
              <w:rPr>
                <w:bCs/>
                <w:sz w:val="20"/>
                <w:szCs w:val="20"/>
              </w:rPr>
              <w:t>Souris donneuse A</w:t>
            </w:r>
          </w:p>
          <w:p w14:paraId="71202CEE" w14:textId="77777777" w:rsidR="00647ABC" w:rsidRPr="00B32619" w:rsidRDefault="00647ABC" w:rsidP="00090D31">
            <w:pPr>
              <w:pStyle w:val="Sansinterligne"/>
              <w:jc w:val="center"/>
              <w:rPr>
                <w:bCs/>
                <w:sz w:val="20"/>
                <w:szCs w:val="20"/>
              </w:rPr>
            </w:pPr>
            <w:r w:rsidRPr="00B32619">
              <w:rPr>
                <w:bCs/>
                <w:sz w:val="20"/>
                <w:szCs w:val="20"/>
              </w:rPr>
              <w:t xml:space="preserve">2ème greffe </w:t>
            </w:r>
            <w:proofErr w:type="gramStart"/>
            <w:r w:rsidRPr="00B32619">
              <w:rPr>
                <w:bCs/>
                <w:sz w:val="20"/>
                <w:szCs w:val="20"/>
              </w:rPr>
              <w:t>( T</w:t>
            </w:r>
            <w:proofErr w:type="gramEnd"/>
            <w:r w:rsidRPr="00B32619">
              <w:rPr>
                <w:bCs/>
                <w:sz w:val="20"/>
                <w:szCs w:val="20"/>
              </w:rPr>
              <w:t>0 + 1 mois))</w:t>
            </w:r>
          </w:p>
        </w:tc>
        <w:tc>
          <w:tcPr>
            <w:tcW w:w="2614" w:type="dxa"/>
            <w:vAlign w:val="center"/>
          </w:tcPr>
          <w:p w14:paraId="7A689C3F" w14:textId="77777777" w:rsidR="00647ABC" w:rsidRPr="00B32619" w:rsidRDefault="00647ABC" w:rsidP="00090D31">
            <w:pPr>
              <w:pStyle w:val="Sansinterligne"/>
              <w:jc w:val="center"/>
              <w:rPr>
                <w:bCs/>
                <w:sz w:val="20"/>
                <w:szCs w:val="20"/>
              </w:rPr>
            </w:pPr>
            <w:r w:rsidRPr="00B32619">
              <w:rPr>
                <w:bCs/>
                <w:sz w:val="20"/>
                <w:szCs w:val="20"/>
              </w:rPr>
              <w:t>Souris donneuse B</w:t>
            </w:r>
          </w:p>
          <w:p w14:paraId="1A3F0B69" w14:textId="77777777" w:rsidR="00647ABC" w:rsidRPr="00B32619" w:rsidRDefault="00647ABC" w:rsidP="00090D31">
            <w:pPr>
              <w:pStyle w:val="Sansinterligne"/>
              <w:jc w:val="center"/>
              <w:rPr>
                <w:bCs/>
                <w:sz w:val="20"/>
                <w:szCs w:val="20"/>
              </w:rPr>
            </w:pPr>
            <w:r w:rsidRPr="00B32619">
              <w:rPr>
                <w:bCs/>
                <w:sz w:val="20"/>
                <w:szCs w:val="20"/>
              </w:rPr>
              <w:t>3ème greffe</w:t>
            </w:r>
          </w:p>
          <w:p w14:paraId="7FA56B9F" w14:textId="77777777" w:rsidR="00647ABC" w:rsidRPr="00B32619" w:rsidRDefault="00647ABC" w:rsidP="00090D31">
            <w:pPr>
              <w:pStyle w:val="Sansinterligne"/>
              <w:jc w:val="center"/>
              <w:rPr>
                <w:bCs/>
                <w:sz w:val="20"/>
                <w:szCs w:val="20"/>
              </w:rPr>
            </w:pPr>
            <w:r w:rsidRPr="00B32619">
              <w:rPr>
                <w:bCs/>
                <w:sz w:val="20"/>
                <w:szCs w:val="20"/>
              </w:rPr>
              <w:t>(</w:t>
            </w:r>
            <w:proofErr w:type="gramStart"/>
            <w:r w:rsidRPr="00B32619">
              <w:rPr>
                <w:bCs/>
                <w:sz w:val="20"/>
                <w:szCs w:val="20"/>
              </w:rPr>
              <w:t>quelques</w:t>
            </w:r>
            <w:proofErr w:type="gramEnd"/>
            <w:r w:rsidRPr="00B32619">
              <w:rPr>
                <w:bCs/>
                <w:sz w:val="20"/>
                <w:szCs w:val="20"/>
              </w:rPr>
              <w:t xml:space="preserve"> jours plus tard)</w:t>
            </w:r>
          </w:p>
        </w:tc>
      </w:tr>
      <w:tr w:rsidR="00647ABC" w:rsidRPr="00B32619" w14:paraId="0B7AAE56" w14:textId="77777777" w:rsidTr="00090D31">
        <w:trPr>
          <w:jc w:val="center"/>
        </w:trPr>
        <w:tc>
          <w:tcPr>
            <w:tcW w:w="2614" w:type="dxa"/>
            <w:vAlign w:val="center"/>
          </w:tcPr>
          <w:p w14:paraId="1A043F3D" w14:textId="77777777" w:rsidR="00647ABC" w:rsidRPr="00B32619" w:rsidRDefault="00647ABC" w:rsidP="00090D31">
            <w:pPr>
              <w:pStyle w:val="Sansinterligne"/>
              <w:rPr>
                <w:bCs/>
                <w:sz w:val="20"/>
                <w:szCs w:val="20"/>
              </w:rPr>
            </w:pPr>
            <w:r w:rsidRPr="00B32619">
              <w:rPr>
                <w:bCs/>
                <w:sz w:val="20"/>
                <w:szCs w:val="20"/>
              </w:rPr>
              <w:t>Vitesse de rejet du greffon chez la souris receveuse</w:t>
            </w:r>
          </w:p>
        </w:tc>
        <w:tc>
          <w:tcPr>
            <w:tcW w:w="2614" w:type="dxa"/>
            <w:vAlign w:val="center"/>
          </w:tcPr>
          <w:p w14:paraId="2FFAD456" w14:textId="77777777" w:rsidR="00647ABC" w:rsidRPr="00B32619" w:rsidRDefault="00647ABC" w:rsidP="00090D31">
            <w:pPr>
              <w:pStyle w:val="Sansinterligne"/>
              <w:jc w:val="center"/>
              <w:rPr>
                <w:bCs/>
                <w:sz w:val="20"/>
                <w:szCs w:val="20"/>
              </w:rPr>
            </w:pPr>
            <w:r w:rsidRPr="00B32619">
              <w:rPr>
                <w:bCs/>
                <w:sz w:val="20"/>
                <w:szCs w:val="20"/>
              </w:rPr>
              <w:t>10 jours</w:t>
            </w:r>
          </w:p>
        </w:tc>
        <w:tc>
          <w:tcPr>
            <w:tcW w:w="2614" w:type="dxa"/>
            <w:vAlign w:val="center"/>
          </w:tcPr>
          <w:p w14:paraId="44B0C487" w14:textId="77777777" w:rsidR="00647ABC" w:rsidRPr="00B32619" w:rsidRDefault="00647ABC" w:rsidP="00090D31">
            <w:pPr>
              <w:pStyle w:val="Sansinterligne"/>
              <w:jc w:val="center"/>
              <w:rPr>
                <w:bCs/>
                <w:sz w:val="20"/>
                <w:szCs w:val="20"/>
              </w:rPr>
            </w:pPr>
            <w:r w:rsidRPr="00B32619">
              <w:rPr>
                <w:bCs/>
                <w:sz w:val="20"/>
                <w:szCs w:val="20"/>
              </w:rPr>
              <w:t>3 jours</w:t>
            </w:r>
          </w:p>
        </w:tc>
        <w:tc>
          <w:tcPr>
            <w:tcW w:w="2614" w:type="dxa"/>
            <w:vAlign w:val="center"/>
          </w:tcPr>
          <w:p w14:paraId="4C704E5A" w14:textId="77777777" w:rsidR="00647ABC" w:rsidRPr="00B32619" w:rsidRDefault="00647ABC" w:rsidP="00090D31">
            <w:pPr>
              <w:pStyle w:val="Sansinterligne"/>
              <w:jc w:val="center"/>
              <w:rPr>
                <w:bCs/>
                <w:sz w:val="20"/>
                <w:szCs w:val="20"/>
              </w:rPr>
            </w:pPr>
            <w:r w:rsidRPr="00B32619">
              <w:rPr>
                <w:bCs/>
                <w:sz w:val="20"/>
                <w:szCs w:val="20"/>
              </w:rPr>
              <w:t>10 jours</w:t>
            </w:r>
          </w:p>
        </w:tc>
      </w:tr>
    </w:tbl>
    <w:p w14:paraId="7C7ED256" w14:textId="77777777" w:rsidR="00647ABC" w:rsidRPr="00B32619" w:rsidRDefault="00647ABC" w:rsidP="00647ABC">
      <w:pPr>
        <w:pStyle w:val="Sansinterligne"/>
        <w:rPr>
          <w:bCs/>
          <w:sz w:val="20"/>
          <w:szCs w:val="20"/>
        </w:rPr>
      </w:pPr>
    </w:p>
    <w:p w14:paraId="285816D1" w14:textId="77777777" w:rsidR="00647ABC" w:rsidRPr="00B32619" w:rsidRDefault="00647ABC" w:rsidP="00647ABC">
      <w:pPr>
        <w:pStyle w:val="Sansinterligne"/>
        <w:rPr>
          <w:b/>
          <w:sz w:val="20"/>
          <w:szCs w:val="20"/>
        </w:rPr>
      </w:pPr>
      <w:r w:rsidRPr="00B32619">
        <w:rPr>
          <w:b/>
          <w:sz w:val="20"/>
          <w:szCs w:val="20"/>
        </w:rPr>
        <w:t>Montrer qu’il existe une mémoire immunitaire, permettant une réponse plus rapide et efficace que la réponse primaire</w:t>
      </w:r>
    </w:p>
    <w:p w14:paraId="56702737" w14:textId="77777777" w:rsidR="00647ABC" w:rsidRDefault="00647ABC" w:rsidP="00647ABC">
      <w:pPr>
        <w:pStyle w:val="Sansinterligne"/>
        <w:rPr>
          <w:b/>
          <w:sz w:val="24"/>
        </w:rPr>
      </w:pPr>
    </w:p>
    <w:p w14:paraId="279D5A46" w14:textId="77777777" w:rsidR="00647ABC" w:rsidRDefault="00647ABC" w:rsidP="00647ABC">
      <w:pPr>
        <w:pStyle w:val="Sansinterligne"/>
        <w:rPr>
          <w:b/>
          <w:color w:val="00B050"/>
        </w:rPr>
      </w:pPr>
      <w:r>
        <w:rPr>
          <w:bCs/>
          <w:color w:val="00B050"/>
        </w:rPr>
        <w:tab/>
      </w:r>
      <w:r w:rsidRPr="0020408E">
        <w:rPr>
          <w:bCs/>
          <w:color w:val="00B050"/>
        </w:rPr>
        <w:t xml:space="preserve">Le rejet du greffon provenant de la souris A </w:t>
      </w:r>
      <w:proofErr w:type="spellStart"/>
      <w:r w:rsidRPr="0020408E">
        <w:rPr>
          <w:bCs/>
          <w:color w:val="00B050"/>
        </w:rPr>
        <w:t>a</w:t>
      </w:r>
      <w:proofErr w:type="spellEnd"/>
      <w:r w:rsidRPr="0020408E">
        <w:rPr>
          <w:bCs/>
          <w:color w:val="00B050"/>
        </w:rPr>
        <w:t xml:space="preserve"> lieu au bout de 10 jours. </w:t>
      </w:r>
      <w:proofErr w:type="gramStart"/>
      <w:r w:rsidRPr="0020408E">
        <w:rPr>
          <w:bCs/>
          <w:color w:val="00B050"/>
        </w:rPr>
        <w:t>Par contre</w:t>
      </w:r>
      <w:proofErr w:type="gramEnd"/>
      <w:r w:rsidRPr="0020408E">
        <w:rPr>
          <w:bCs/>
          <w:color w:val="00B050"/>
        </w:rPr>
        <w:t xml:space="preserve">, si une seconde greffe, toujours à partir de la souris A est pratiquée 1 mois après, le rejet intervient plus rapidement </w:t>
      </w:r>
      <w:proofErr w:type="gramStart"/>
      <w:r w:rsidRPr="0020408E">
        <w:rPr>
          <w:bCs/>
          <w:color w:val="00B050"/>
        </w:rPr>
        <w:t>( au</w:t>
      </w:r>
      <w:proofErr w:type="gramEnd"/>
      <w:r w:rsidRPr="0020408E">
        <w:rPr>
          <w:bCs/>
          <w:color w:val="00B050"/>
        </w:rPr>
        <w:t xml:space="preserve"> bout de 3 jours). </w:t>
      </w:r>
      <w:r w:rsidRPr="0020408E">
        <w:rPr>
          <w:b/>
          <w:color w:val="00B050"/>
        </w:rPr>
        <w:t>La deuxième réponse est donc plus rapide que la première</w:t>
      </w:r>
      <w:r>
        <w:rPr>
          <w:b/>
          <w:color w:val="00B050"/>
        </w:rPr>
        <w:t>.</w:t>
      </w:r>
    </w:p>
    <w:p w14:paraId="5A9CFB7B" w14:textId="77777777" w:rsidR="00647ABC" w:rsidRDefault="00647ABC" w:rsidP="00647ABC">
      <w:pPr>
        <w:pStyle w:val="Sansinterligne"/>
        <w:rPr>
          <w:b/>
          <w:color w:val="00B050"/>
        </w:rPr>
      </w:pPr>
      <w:r>
        <w:rPr>
          <w:b/>
          <w:color w:val="00B050"/>
        </w:rPr>
        <w:t xml:space="preserve">Quelques jours plus tard, on pratique une greffe provenant d’une souris B. Le rejet n’intervient qu’au bout de 10 jours </w:t>
      </w:r>
      <w:proofErr w:type="gramStart"/>
      <w:r>
        <w:rPr>
          <w:b/>
          <w:color w:val="00B050"/>
        </w:rPr>
        <w:t>( comme</w:t>
      </w:r>
      <w:proofErr w:type="gramEnd"/>
      <w:r>
        <w:rPr>
          <w:b/>
          <w:color w:val="00B050"/>
        </w:rPr>
        <w:t xml:space="preserve"> dans le cas de la première greffe avec la souris A)</w:t>
      </w:r>
    </w:p>
    <w:p w14:paraId="53688589" w14:textId="77777777" w:rsidR="00647ABC" w:rsidRPr="0020408E" w:rsidRDefault="00647ABC" w:rsidP="00647ABC">
      <w:pPr>
        <w:pStyle w:val="Sansinterligne"/>
        <w:numPr>
          <w:ilvl w:val="0"/>
          <w:numId w:val="2"/>
        </w:numPr>
        <w:rPr>
          <w:bCs/>
          <w:color w:val="00B050"/>
        </w:rPr>
      </w:pPr>
      <w:r>
        <w:rPr>
          <w:b/>
          <w:color w:val="00B050"/>
        </w:rPr>
        <w:t>Lors d’une première rencontre avec l’antigène, le système immunitaire répond en une dizaine de jours</w:t>
      </w:r>
    </w:p>
    <w:p w14:paraId="6BD7A92A" w14:textId="77777777" w:rsidR="00647ABC" w:rsidRPr="0020408E" w:rsidRDefault="00647ABC" w:rsidP="00647ABC">
      <w:pPr>
        <w:pStyle w:val="Sansinterligne"/>
        <w:numPr>
          <w:ilvl w:val="0"/>
          <w:numId w:val="2"/>
        </w:numPr>
        <w:rPr>
          <w:bCs/>
          <w:color w:val="00B050"/>
        </w:rPr>
      </w:pPr>
      <w:r>
        <w:rPr>
          <w:b/>
          <w:color w:val="00B050"/>
        </w:rPr>
        <w:t>Lors de la deuxième rencontre avec le même antigène, la réponse est beaucoup plus rapide et donc surement plus efficace</w:t>
      </w:r>
    </w:p>
    <w:p w14:paraId="4B81ACA3" w14:textId="77777777" w:rsidR="00647ABC" w:rsidRPr="0020408E" w:rsidRDefault="00647ABC" w:rsidP="00647ABC">
      <w:pPr>
        <w:pStyle w:val="Sansinterligne"/>
        <w:rPr>
          <w:bCs/>
          <w:color w:val="00B050"/>
        </w:rPr>
      </w:pPr>
    </w:p>
    <w:p w14:paraId="48C8D722" w14:textId="77777777" w:rsidR="00647ABC" w:rsidRDefault="00647ABC" w:rsidP="00647ABC">
      <w:pPr>
        <w:pStyle w:val="Sansinterligne"/>
        <w:rPr>
          <w:b/>
          <w:sz w:val="24"/>
        </w:rPr>
      </w:pPr>
    </w:p>
    <w:p w14:paraId="5BF21F19" w14:textId="77777777" w:rsidR="00647ABC" w:rsidRDefault="00647ABC" w:rsidP="00647ABC">
      <w:pPr>
        <w:pStyle w:val="Sansinterligne"/>
        <w:rPr>
          <w:b/>
          <w:sz w:val="24"/>
        </w:rPr>
      </w:pPr>
    </w:p>
    <w:p w14:paraId="729FE390" w14:textId="77777777" w:rsidR="00647ABC" w:rsidRDefault="00647ABC" w:rsidP="00647ABC">
      <w:pPr>
        <w:pStyle w:val="Sansinterligne"/>
        <w:rPr>
          <w:b/>
          <w:sz w:val="24"/>
        </w:rPr>
      </w:pPr>
    </w:p>
    <w:p w14:paraId="7AE9F136" w14:textId="77777777" w:rsidR="00647ABC" w:rsidRDefault="00647ABC" w:rsidP="00647ABC">
      <w:pPr>
        <w:pStyle w:val="Sansinterligne"/>
        <w:rPr>
          <w:b/>
          <w:sz w:val="24"/>
        </w:rPr>
      </w:pPr>
    </w:p>
    <w:p w14:paraId="7BD7A604" w14:textId="77777777" w:rsidR="00647ABC" w:rsidRDefault="00647ABC" w:rsidP="00647ABC">
      <w:pPr>
        <w:pStyle w:val="Sansinterligne"/>
        <w:rPr>
          <w:b/>
          <w:sz w:val="24"/>
        </w:rPr>
      </w:pPr>
    </w:p>
    <w:p w14:paraId="1B08DBF8" w14:textId="77777777" w:rsidR="00647ABC" w:rsidRDefault="00647ABC" w:rsidP="00647ABC">
      <w:pPr>
        <w:pStyle w:val="Sansinterligne"/>
        <w:rPr>
          <w:b/>
          <w:sz w:val="24"/>
        </w:rPr>
      </w:pPr>
    </w:p>
    <w:p w14:paraId="3DEB7DF4" w14:textId="77777777" w:rsidR="00647ABC" w:rsidRDefault="00647ABC" w:rsidP="00647ABC">
      <w:pPr>
        <w:pStyle w:val="Sansinterligne"/>
        <w:rPr>
          <w:b/>
          <w:sz w:val="24"/>
        </w:rPr>
      </w:pPr>
    </w:p>
    <w:p w14:paraId="0E4BD0B6" w14:textId="77777777" w:rsidR="00647ABC" w:rsidRDefault="00647ABC" w:rsidP="00647ABC">
      <w:pPr>
        <w:pStyle w:val="Sansinterligne"/>
        <w:rPr>
          <w:b/>
          <w:sz w:val="24"/>
        </w:rPr>
      </w:pPr>
    </w:p>
    <w:p w14:paraId="0D928C25" w14:textId="77777777" w:rsidR="00647ABC" w:rsidRPr="00B32619" w:rsidRDefault="00647ABC" w:rsidP="00647ABC">
      <w:pPr>
        <w:pStyle w:val="Sansinterligne"/>
        <w:rPr>
          <w:b/>
          <w:bCs/>
        </w:rPr>
      </w:pPr>
      <w:r w:rsidRPr="00CC545F">
        <w:rPr>
          <w:b/>
          <w:sz w:val="24"/>
        </w:rPr>
        <w:t xml:space="preserve">Activité </w:t>
      </w:r>
      <w:r>
        <w:rPr>
          <w:b/>
          <w:sz w:val="24"/>
        </w:rPr>
        <w:t>2</w:t>
      </w:r>
      <w:r w:rsidRPr="00CC545F">
        <w:rPr>
          <w:b/>
          <w:sz w:val="24"/>
        </w:rPr>
        <w:t xml:space="preserve"> : </w:t>
      </w:r>
      <w:r>
        <w:rPr>
          <w:b/>
          <w:sz w:val="24"/>
        </w:rPr>
        <w:t xml:space="preserve"> </w:t>
      </w:r>
      <w:r w:rsidRPr="00B32619">
        <w:rPr>
          <w:b/>
          <w:bCs/>
        </w:rPr>
        <w:t>A partir de ce document, présenter l’évolution de la réponse immunitaire au cours du temps et proposer une hypothèse permettant d’expliquer cette variation.</w:t>
      </w:r>
    </w:p>
    <w:p w14:paraId="4A17197E" w14:textId="77777777" w:rsidR="00647ABC" w:rsidRPr="00792661" w:rsidRDefault="00647ABC" w:rsidP="00647ABC">
      <w:pPr>
        <w:pStyle w:val="Sansinterligne"/>
        <w:rPr>
          <w:sz w:val="10"/>
          <w:szCs w:val="10"/>
        </w:rPr>
      </w:pPr>
    </w:p>
    <w:p w14:paraId="7339DD7F" w14:textId="77777777" w:rsidR="00647ABC" w:rsidRDefault="00647ABC" w:rsidP="00647ABC">
      <w:pPr>
        <w:pStyle w:val="Sansinterligne"/>
        <w:rPr>
          <w:b/>
          <w:sz w:val="24"/>
        </w:rPr>
      </w:pPr>
    </w:p>
    <w:p w14:paraId="0DF35277" w14:textId="77777777" w:rsidR="00647ABC" w:rsidRDefault="00647ABC" w:rsidP="00647ABC">
      <w:pPr>
        <w:pStyle w:val="Sansinterligne"/>
        <w:rPr>
          <w:b/>
          <w:sz w:val="24"/>
        </w:rPr>
      </w:pPr>
    </w:p>
    <w:p w14:paraId="4AAF667D" w14:textId="77777777" w:rsidR="00647ABC" w:rsidRDefault="00647ABC" w:rsidP="00647ABC">
      <w:pPr>
        <w:pStyle w:val="Sansinterligne"/>
        <w:rPr>
          <w:b/>
          <w:sz w:val="24"/>
        </w:rPr>
      </w:pPr>
    </w:p>
    <w:p w14:paraId="45FB9949" w14:textId="77777777" w:rsidR="00647ABC" w:rsidRDefault="00647ABC" w:rsidP="00647ABC">
      <w:pPr>
        <w:pStyle w:val="Sansinterligne"/>
        <w:rPr>
          <w:b/>
          <w:sz w:val="24"/>
        </w:rPr>
      </w:pPr>
      <w:r>
        <w:rPr>
          <w:b/>
          <w:noProof/>
          <w:sz w:val="24"/>
          <w:lang w:eastAsia="fr-FR"/>
        </w:rPr>
        <w:drawing>
          <wp:anchor distT="0" distB="0" distL="114300" distR="114300" simplePos="0" relativeHeight="251659264" behindDoc="0" locked="0" layoutInCell="1" allowOverlap="1" wp14:anchorId="26C8BFCB" wp14:editId="7E72885D">
            <wp:simplePos x="0" y="0"/>
            <wp:positionH relativeFrom="column">
              <wp:posOffset>1560830</wp:posOffset>
            </wp:positionH>
            <wp:positionV relativeFrom="paragraph">
              <wp:posOffset>170180</wp:posOffset>
            </wp:positionV>
            <wp:extent cx="3300730" cy="2997200"/>
            <wp:effectExtent l="19050" t="0" r="0" b="0"/>
            <wp:wrapSquare wrapText="bothSides"/>
            <wp:docPr id="7" name="Image 3" descr="http://jeanvilarsciences.free.fr/images/troisiemes/immuno/chapitre2/reponse%20primaire%20second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eanvilarsciences.free.fr/images/troisiemes/immuno/chapitre2/reponse%20primaire%20secondaire.jpg"/>
                    <pic:cNvPicPr>
                      <a:picLocks noChangeAspect="1" noChangeArrowheads="1"/>
                    </pic:cNvPicPr>
                  </pic:nvPicPr>
                  <pic:blipFill>
                    <a:blip r:embed="rId5" cstate="print">
                      <a:lum bright="-20000" contrast="40000"/>
                      <a:extLst>
                        <a:ext uri="{28A0092B-C50C-407E-A947-70E740481C1C}">
                          <a14:useLocalDpi xmlns:a14="http://schemas.microsoft.com/office/drawing/2010/main" val="0"/>
                        </a:ext>
                      </a:extLst>
                    </a:blip>
                    <a:srcRect/>
                    <a:stretch>
                      <a:fillRect/>
                    </a:stretch>
                  </pic:blipFill>
                  <pic:spPr bwMode="auto">
                    <a:xfrm>
                      <a:off x="0" y="0"/>
                      <a:ext cx="3300730" cy="2997200"/>
                    </a:xfrm>
                    <a:prstGeom prst="rect">
                      <a:avLst/>
                    </a:prstGeom>
                    <a:noFill/>
                    <a:ln>
                      <a:noFill/>
                    </a:ln>
                  </pic:spPr>
                </pic:pic>
              </a:graphicData>
            </a:graphic>
          </wp:anchor>
        </w:drawing>
      </w:r>
    </w:p>
    <w:p w14:paraId="6034511F" w14:textId="77777777" w:rsidR="00647ABC" w:rsidRDefault="00647ABC" w:rsidP="00647ABC">
      <w:pPr>
        <w:pStyle w:val="Sansinterligne"/>
        <w:rPr>
          <w:b/>
          <w:sz w:val="24"/>
        </w:rPr>
      </w:pPr>
    </w:p>
    <w:p w14:paraId="5218F6AA" w14:textId="77777777" w:rsidR="00647ABC" w:rsidRDefault="00647ABC" w:rsidP="00647ABC">
      <w:pPr>
        <w:pStyle w:val="Sansinterligne"/>
        <w:rPr>
          <w:b/>
          <w:sz w:val="24"/>
        </w:rPr>
      </w:pPr>
    </w:p>
    <w:p w14:paraId="22BBC0E2" w14:textId="77777777" w:rsidR="00647ABC" w:rsidRDefault="00647ABC" w:rsidP="00647ABC">
      <w:pPr>
        <w:pStyle w:val="Sansinterligne"/>
        <w:rPr>
          <w:b/>
          <w:sz w:val="24"/>
        </w:rPr>
      </w:pPr>
    </w:p>
    <w:p w14:paraId="17E371E0" w14:textId="77777777" w:rsidR="00647ABC" w:rsidRDefault="00647ABC" w:rsidP="00647ABC">
      <w:pPr>
        <w:pStyle w:val="Sansinterligne"/>
        <w:rPr>
          <w:b/>
          <w:sz w:val="24"/>
        </w:rPr>
      </w:pPr>
    </w:p>
    <w:p w14:paraId="0B9454B4" w14:textId="77777777" w:rsidR="00647ABC" w:rsidRDefault="00647ABC" w:rsidP="00647ABC">
      <w:pPr>
        <w:pStyle w:val="Sansinterligne"/>
        <w:rPr>
          <w:b/>
          <w:sz w:val="24"/>
        </w:rPr>
      </w:pPr>
    </w:p>
    <w:p w14:paraId="548224F4" w14:textId="77777777" w:rsidR="00647ABC" w:rsidRDefault="00647ABC" w:rsidP="00647ABC">
      <w:pPr>
        <w:pStyle w:val="Sansinterligne"/>
        <w:rPr>
          <w:b/>
          <w:sz w:val="24"/>
        </w:rPr>
      </w:pPr>
    </w:p>
    <w:p w14:paraId="1FD07AE3" w14:textId="77777777" w:rsidR="00647ABC" w:rsidRDefault="00647ABC" w:rsidP="00647ABC">
      <w:pPr>
        <w:pStyle w:val="Sansinterligne"/>
        <w:rPr>
          <w:b/>
          <w:sz w:val="24"/>
        </w:rPr>
      </w:pPr>
    </w:p>
    <w:p w14:paraId="1C070C91" w14:textId="77777777" w:rsidR="00647ABC" w:rsidRDefault="00647ABC" w:rsidP="00647ABC">
      <w:pPr>
        <w:pStyle w:val="Sansinterligne"/>
        <w:rPr>
          <w:b/>
          <w:sz w:val="24"/>
        </w:rPr>
      </w:pPr>
    </w:p>
    <w:p w14:paraId="5579CFB2" w14:textId="77777777" w:rsidR="00647ABC" w:rsidRDefault="00647ABC" w:rsidP="00647ABC">
      <w:pPr>
        <w:pStyle w:val="Sansinterligne"/>
        <w:rPr>
          <w:b/>
          <w:sz w:val="24"/>
        </w:rPr>
      </w:pPr>
    </w:p>
    <w:p w14:paraId="3D21C245" w14:textId="77777777" w:rsidR="00647ABC" w:rsidRDefault="00647ABC" w:rsidP="00647ABC">
      <w:pPr>
        <w:pStyle w:val="Sansinterligne"/>
        <w:rPr>
          <w:b/>
          <w:sz w:val="24"/>
        </w:rPr>
      </w:pPr>
    </w:p>
    <w:p w14:paraId="5326AC67" w14:textId="77777777" w:rsidR="00647ABC" w:rsidRDefault="00647ABC" w:rsidP="00647ABC">
      <w:pPr>
        <w:pStyle w:val="Sansinterligne"/>
        <w:rPr>
          <w:b/>
          <w:sz w:val="24"/>
        </w:rPr>
      </w:pPr>
    </w:p>
    <w:p w14:paraId="0DB0D55F" w14:textId="77777777" w:rsidR="00647ABC" w:rsidRDefault="00647ABC" w:rsidP="00647ABC">
      <w:pPr>
        <w:pStyle w:val="Sansinterligne"/>
        <w:rPr>
          <w:b/>
          <w:sz w:val="24"/>
        </w:rPr>
      </w:pPr>
    </w:p>
    <w:p w14:paraId="53F64AD8" w14:textId="77777777" w:rsidR="00647ABC" w:rsidRDefault="00647ABC" w:rsidP="00647ABC">
      <w:pPr>
        <w:pStyle w:val="Sansinterligne"/>
        <w:jc w:val="center"/>
      </w:pPr>
    </w:p>
    <w:p w14:paraId="2AA21630" w14:textId="77777777" w:rsidR="00647ABC" w:rsidRDefault="00647ABC" w:rsidP="00647ABC">
      <w:pPr>
        <w:pStyle w:val="Sansinterligne"/>
        <w:jc w:val="center"/>
      </w:pPr>
    </w:p>
    <w:p w14:paraId="273A017C" w14:textId="77777777" w:rsidR="00647ABC" w:rsidRDefault="00647ABC" w:rsidP="00647ABC">
      <w:pPr>
        <w:pStyle w:val="Sansinterligne"/>
        <w:jc w:val="center"/>
      </w:pPr>
    </w:p>
    <w:p w14:paraId="7757C7E9" w14:textId="77777777" w:rsidR="00647ABC" w:rsidRDefault="00647ABC" w:rsidP="00647ABC">
      <w:pPr>
        <w:pStyle w:val="Sansinterligne"/>
        <w:jc w:val="center"/>
      </w:pPr>
    </w:p>
    <w:p w14:paraId="7D9D3BFD" w14:textId="77777777" w:rsidR="00647ABC" w:rsidRDefault="00647ABC" w:rsidP="00647ABC">
      <w:pPr>
        <w:pStyle w:val="Sansinterligne"/>
        <w:jc w:val="center"/>
      </w:pPr>
    </w:p>
    <w:p w14:paraId="14134CFA" w14:textId="77777777" w:rsidR="00647ABC" w:rsidRDefault="00647ABC" w:rsidP="00647ABC">
      <w:pPr>
        <w:pStyle w:val="Sansinterligne"/>
        <w:jc w:val="center"/>
      </w:pPr>
    </w:p>
    <w:p w14:paraId="437CD43C" w14:textId="77777777" w:rsidR="00647ABC" w:rsidRDefault="00647ABC" w:rsidP="00647ABC">
      <w:pPr>
        <w:pStyle w:val="Sansinterligne"/>
        <w:jc w:val="center"/>
      </w:pPr>
    </w:p>
    <w:p w14:paraId="26E6CB3A" w14:textId="77777777" w:rsidR="00647ABC" w:rsidRDefault="00647ABC" w:rsidP="00647ABC">
      <w:pPr>
        <w:pStyle w:val="Sansinterligne"/>
        <w:jc w:val="center"/>
      </w:pPr>
    </w:p>
    <w:p w14:paraId="7F0F4A35" w14:textId="77777777" w:rsidR="00647ABC" w:rsidRDefault="00647ABC" w:rsidP="00647ABC">
      <w:pPr>
        <w:pStyle w:val="Sansinterligne"/>
        <w:jc w:val="center"/>
      </w:pPr>
    </w:p>
    <w:p w14:paraId="089EC0CE" w14:textId="77777777" w:rsidR="00647ABC" w:rsidRDefault="00647ABC" w:rsidP="00647ABC">
      <w:pPr>
        <w:pStyle w:val="Sansinterligne"/>
        <w:jc w:val="center"/>
      </w:pPr>
    </w:p>
    <w:p w14:paraId="4D574187" w14:textId="77777777" w:rsidR="00647ABC" w:rsidRDefault="00647ABC" w:rsidP="00647ABC">
      <w:pPr>
        <w:pStyle w:val="Sansinterligne"/>
        <w:jc w:val="center"/>
      </w:pPr>
    </w:p>
    <w:p w14:paraId="2779B5B5" w14:textId="77777777" w:rsidR="00647ABC" w:rsidRDefault="00647ABC" w:rsidP="00647ABC">
      <w:pPr>
        <w:pStyle w:val="Sansinterligne"/>
        <w:jc w:val="center"/>
      </w:pPr>
    </w:p>
    <w:p w14:paraId="033C962F" w14:textId="77777777" w:rsidR="00647ABC" w:rsidRDefault="00647ABC" w:rsidP="00647ABC">
      <w:pPr>
        <w:pStyle w:val="Sansinterligne"/>
        <w:jc w:val="center"/>
      </w:pPr>
    </w:p>
    <w:p w14:paraId="465A29BE" w14:textId="77777777" w:rsidR="00647ABC" w:rsidRDefault="00647ABC" w:rsidP="00647ABC">
      <w:pPr>
        <w:pStyle w:val="Sansinterligne"/>
        <w:jc w:val="center"/>
      </w:pPr>
    </w:p>
    <w:p w14:paraId="0C003F5C" w14:textId="77777777" w:rsidR="00647ABC" w:rsidRDefault="00647ABC" w:rsidP="00647ABC">
      <w:pPr>
        <w:pStyle w:val="Sansinterligne"/>
        <w:jc w:val="center"/>
      </w:pPr>
    </w:p>
    <w:p w14:paraId="008B7508" w14:textId="77777777" w:rsidR="00647ABC" w:rsidRDefault="00647ABC" w:rsidP="00647ABC">
      <w:pPr>
        <w:pStyle w:val="Sansinterligne"/>
        <w:jc w:val="center"/>
      </w:pPr>
    </w:p>
    <w:p w14:paraId="011567C3" w14:textId="77777777" w:rsidR="00647ABC" w:rsidRDefault="00647ABC" w:rsidP="00647ABC">
      <w:pPr>
        <w:pStyle w:val="Sansinterligne"/>
        <w:jc w:val="center"/>
      </w:pPr>
    </w:p>
    <w:p w14:paraId="2D3A4BA1" w14:textId="77777777" w:rsidR="00647ABC" w:rsidRDefault="00647ABC" w:rsidP="00647ABC">
      <w:pPr>
        <w:pStyle w:val="Sansinterligne"/>
        <w:jc w:val="center"/>
      </w:pPr>
    </w:p>
    <w:p w14:paraId="30742FC6" w14:textId="77777777" w:rsidR="00647ABC" w:rsidRDefault="00647ABC" w:rsidP="00647ABC">
      <w:pPr>
        <w:pStyle w:val="Sansinterligne"/>
        <w:jc w:val="center"/>
      </w:pPr>
    </w:p>
    <w:p w14:paraId="745986AC" w14:textId="77777777" w:rsidR="00647ABC" w:rsidRDefault="00647ABC" w:rsidP="00647ABC">
      <w:pPr>
        <w:pStyle w:val="Sansinterligne"/>
        <w:jc w:val="center"/>
      </w:pPr>
    </w:p>
    <w:p w14:paraId="29905E79" w14:textId="77777777" w:rsidR="00647ABC" w:rsidRDefault="00647ABC" w:rsidP="00647ABC">
      <w:pPr>
        <w:pStyle w:val="Sansinterligne"/>
        <w:jc w:val="center"/>
      </w:pPr>
    </w:p>
    <w:p w14:paraId="22850C12" w14:textId="77777777" w:rsidR="00647ABC" w:rsidRDefault="00647ABC" w:rsidP="00647ABC">
      <w:pPr>
        <w:pStyle w:val="Sansinterligne"/>
        <w:rPr>
          <w:bCs/>
          <w:color w:val="00B050"/>
        </w:rPr>
      </w:pPr>
      <w:r>
        <w:rPr>
          <w:bCs/>
          <w:color w:val="00B050"/>
        </w:rPr>
        <w:t xml:space="preserve">La courbe conforte la conclusion de la première activité. En effet on note une réponse </w:t>
      </w:r>
      <w:proofErr w:type="gramStart"/>
      <w:r>
        <w:rPr>
          <w:bCs/>
          <w:color w:val="00B050"/>
        </w:rPr>
        <w:t>( en</w:t>
      </w:r>
      <w:proofErr w:type="gramEnd"/>
      <w:r>
        <w:rPr>
          <w:bCs/>
          <w:color w:val="00B050"/>
        </w:rPr>
        <w:t xml:space="preserve"> terme de production d’anticorps) plus rapide et beaucoup plus forte lors du deuxième contact avec le même antigène.</w:t>
      </w:r>
    </w:p>
    <w:p w14:paraId="652CC649" w14:textId="77777777" w:rsidR="00647ABC" w:rsidRDefault="00647ABC" w:rsidP="00647ABC">
      <w:pPr>
        <w:pStyle w:val="Sansinterligne"/>
        <w:rPr>
          <w:bCs/>
          <w:color w:val="00B050"/>
        </w:rPr>
      </w:pPr>
    </w:p>
    <w:p w14:paraId="01BFBDC2" w14:textId="77777777" w:rsidR="00647ABC" w:rsidRPr="00EB7AA1" w:rsidRDefault="00647ABC" w:rsidP="00647ABC">
      <w:pPr>
        <w:pStyle w:val="Sansinterligne"/>
        <w:rPr>
          <w:b/>
          <w:u w:val="single"/>
        </w:rPr>
      </w:pPr>
      <w:r w:rsidRPr="00EB7AA1">
        <w:rPr>
          <w:b/>
          <w:color w:val="00B050"/>
        </w:rPr>
        <w:t xml:space="preserve">On peut en conclure que le système immunitaire garde en mémoire les antigènes préalablement rencontrés : </w:t>
      </w:r>
      <w:r w:rsidRPr="00EB7AA1">
        <w:rPr>
          <w:b/>
          <w:color w:val="00B050"/>
          <w:u w:val="single"/>
        </w:rPr>
        <w:t>On parle de mémoire immunitaire</w:t>
      </w:r>
    </w:p>
    <w:p w14:paraId="33DF69C9" w14:textId="77777777" w:rsidR="00647ABC" w:rsidRDefault="00647ABC" w:rsidP="00647ABC">
      <w:pPr>
        <w:pStyle w:val="Sansinterligne"/>
        <w:jc w:val="center"/>
      </w:pPr>
    </w:p>
    <w:p w14:paraId="1CEA013E" w14:textId="77777777" w:rsidR="00647ABC" w:rsidRDefault="00647ABC" w:rsidP="00647ABC">
      <w:pPr>
        <w:pStyle w:val="Sansinterligne"/>
        <w:jc w:val="center"/>
      </w:pPr>
    </w:p>
    <w:bookmarkEnd w:id="0"/>
    <w:p w14:paraId="583E5AFF" w14:textId="77777777" w:rsidR="00647ABC" w:rsidRPr="0015131B" w:rsidRDefault="00647ABC" w:rsidP="00647ABC">
      <w:pPr>
        <w:pStyle w:val="Sansinterligne"/>
      </w:pPr>
      <w:r>
        <w:rPr>
          <w:noProof/>
          <w:lang w:eastAsia="fr-FR"/>
        </w:rPr>
        <w:drawing>
          <wp:inline distT="0" distB="0" distL="0" distR="0" wp14:anchorId="0AE64BC7" wp14:editId="3FF5CBAA">
            <wp:extent cx="5732585" cy="3644376"/>
            <wp:effectExtent l="0" t="0" r="190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6227" cy="3646692"/>
                    </a:xfrm>
                    <a:prstGeom prst="rect">
                      <a:avLst/>
                    </a:prstGeom>
                    <a:noFill/>
                    <a:ln>
                      <a:noFill/>
                    </a:ln>
                  </pic:spPr>
                </pic:pic>
              </a:graphicData>
            </a:graphic>
          </wp:inline>
        </w:drawing>
      </w:r>
    </w:p>
    <w:p w14:paraId="6B35E0AB" w14:textId="77777777" w:rsidR="00647ABC" w:rsidRPr="0015131B" w:rsidRDefault="00647ABC" w:rsidP="00647ABC">
      <w:pPr>
        <w:pStyle w:val="Sansinterligne"/>
        <w:numPr>
          <w:ilvl w:val="0"/>
          <w:numId w:val="1"/>
        </w:numPr>
        <w:ind w:left="426"/>
        <w:rPr>
          <w:b/>
        </w:rPr>
      </w:pPr>
      <w:r>
        <w:t>P</w:t>
      </w:r>
      <w:r w:rsidRPr="0015131B">
        <w:t>remier contact = réponse primaire, lente et peu importante.</w:t>
      </w:r>
    </w:p>
    <w:p w14:paraId="0CF8FFE1" w14:textId="77777777" w:rsidR="00647ABC" w:rsidRPr="0015131B" w:rsidRDefault="00647ABC" w:rsidP="00647ABC">
      <w:pPr>
        <w:pStyle w:val="Sansinterligne"/>
        <w:numPr>
          <w:ilvl w:val="0"/>
          <w:numId w:val="1"/>
        </w:numPr>
        <w:ind w:left="426"/>
      </w:pPr>
      <w:r>
        <w:t>S</w:t>
      </w:r>
      <w:r w:rsidRPr="0015131B">
        <w:t xml:space="preserve">econd contact </w:t>
      </w:r>
      <w:r>
        <w:t xml:space="preserve">avec le même antigène </w:t>
      </w:r>
      <w:r w:rsidRPr="0015131B">
        <w:t xml:space="preserve">= réponse secondaire, </w:t>
      </w:r>
      <w:r>
        <w:t xml:space="preserve">plus </w:t>
      </w:r>
      <w:r w:rsidRPr="0015131B">
        <w:t xml:space="preserve">rapide, </w:t>
      </w:r>
      <w:r>
        <w:t>plus de lymphocytes, plus d’anticorps</w:t>
      </w:r>
      <w:r w:rsidRPr="0015131B">
        <w:t xml:space="preserve"> </w:t>
      </w:r>
    </w:p>
    <w:p w14:paraId="477D02AD" w14:textId="77777777" w:rsidR="00647ABC" w:rsidRDefault="00647ABC" w:rsidP="00647ABC">
      <w:pPr>
        <w:pStyle w:val="Sansinterligne"/>
      </w:pPr>
      <w:r w:rsidRPr="0015131B">
        <w:sym w:font="Wingdings" w:char="F0E8"/>
      </w:r>
      <w:r w:rsidRPr="00246346">
        <w:t xml:space="preserve">Traduit l’existence </w:t>
      </w:r>
      <w:r w:rsidRPr="00246346">
        <w:rPr>
          <w:b/>
        </w:rPr>
        <w:t>d’une mémoire immunitaire</w:t>
      </w:r>
      <w:r>
        <w:rPr>
          <w:b/>
        </w:rPr>
        <w:t xml:space="preserve"> </w:t>
      </w:r>
      <w:r w:rsidRPr="00246346">
        <w:rPr>
          <w:b/>
        </w:rPr>
        <w:t>=</w:t>
      </w:r>
      <w:r w:rsidRPr="00246346">
        <w:t xml:space="preserve"> </w:t>
      </w:r>
      <w:r>
        <w:t xml:space="preserve">les </w:t>
      </w:r>
      <w:r w:rsidRPr="00246346">
        <w:t>effecteurs de l’immunité adaptative sont conservés grâce à des cellules mémoires à longue durée de vie</w:t>
      </w:r>
      <w:r>
        <w:t> : Ces cellules sont les LB, plasmocytes, LT4 et LT8.</w:t>
      </w:r>
    </w:p>
    <w:p w14:paraId="21DC7992" w14:textId="77777777" w:rsidR="00647ABC" w:rsidRPr="00246346" w:rsidRDefault="00647ABC" w:rsidP="00647ABC">
      <w:pPr>
        <w:pStyle w:val="Sansinterligne"/>
        <w:rPr>
          <w:b/>
        </w:rPr>
      </w:pPr>
    </w:p>
    <w:p w14:paraId="22309DE6" w14:textId="77777777" w:rsidR="00647ABC" w:rsidRDefault="00647ABC" w:rsidP="00647ABC">
      <w:pPr>
        <w:pStyle w:val="Titre3"/>
      </w:pPr>
      <w:r>
        <w:lastRenderedPageBreak/>
        <w:t xml:space="preserve">Lors d’un premier contact avec l’antigène, il se produit une réponse </w:t>
      </w:r>
      <w:r w:rsidRPr="00F767E1">
        <w:rPr>
          <w:highlight w:val="yellow"/>
        </w:rPr>
        <w:t>primaire, lente et peu importante.</w:t>
      </w:r>
    </w:p>
    <w:p w14:paraId="3E263B73" w14:textId="77777777" w:rsidR="00647ABC" w:rsidRPr="00246346" w:rsidRDefault="00647ABC" w:rsidP="00647ABC">
      <w:pPr>
        <w:pStyle w:val="Titre3"/>
      </w:pPr>
      <w:r>
        <w:t xml:space="preserve">Lors d’un second contact avec le même antigène, il se produit une réponse </w:t>
      </w:r>
      <w:r w:rsidRPr="00F767E1">
        <w:rPr>
          <w:highlight w:val="yellow"/>
        </w:rPr>
        <w:t>secondaire, rapide et beaucoup plus importante</w:t>
      </w:r>
      <w:r>
        <w:t xml:space="preserve"> (plus de lymphocytes et d’anticorps spécifiques de l’antigène)</w:t>
      </w:r>
    </w:p>
    <w:p w14:paraId="5BC37BC6" w14:textId="77777777" w:rsidR="00647ABC" w:rsidRDefault="00647ABC" w:rsidP="00647ABC">
      <w:pPr>
        <w:pStyle w:val="Titre3"/>
      </w:pPr>
      <w:r>
        <w:t>L’ampleur de la réponse immunitaire adaptative secondaire révèle la présence d’un grand nombre de cellules à mémoire spécifique de l’antigène, capables de réagir très rapidement et de façon plus importante que lors du premier contact.</w:t>
      </w:r>
    </w:p>
    <w:p w14:paraId="75704254" w14:textId="77777777" w:rsidR="00647ABC" w:rsidRDefault="00647ABC" w:rsidP="00647ABC">
      <w:pPr>
        <w:pStyle w:val="Titre3"/>
      </w:pPr>
      <w:r>
        <w:t>Ainsi, l</w:t>
      </w:r>
      <w:r w:rsidRPr="0015131B">
        <w:t xml:space="preserve">e système immunitaire répond plus efficacement lorsqu’il rencontre un agent </w:t>
      </w:r>
      <w:r>
        <w:t>infectieux pour la seconde fois,</w:t>
      </w:r>
      <w:r w:rsidRPr="0015131B">
        <w:t xml:space="preserve"> la plupart du temps sans symptômes apparents</w:t>
      </w:r>
      <w:r>
        <w:t>.</w:t>
      </w:r>
    </w:p>
    <w:p w14:paraId="6EAD83D4" w14:textId="77777777" w:rsidR="00647ABC" w:rsidRDefault="00647ABC" w:rsidP="00647ABC">
      <w:pPr>
        <w:pStyle w:val="Titre3"/>
      </w:pPr>
      <w:r w:rsidRPr="0015131B">
        <w:t>Ces caractéristiques montrent l’exist</w:t>
      </w:r>
      <w:r>
        <w:t xml:space="preserve">ence d’une </w:t>
      </w:r>
      <w:r w:rsidRPr="00F767E1">
        <w:rPr>
          <w:highlight w:val="yellow"/>
        </w:rPr>
        <w:t>mémoire immunitaire</w:t>
      </w:r>
      <w:r>
        <w:t xml:space="preserve">. </w:t>
      </w:r>
      <w:r w:rsidRPr="0015131B">
        <w:t>Elle implique l’existence de cellules immu</w:t>
      </w:r>
      <w:r>
        <w:t>nitaires à longue durée de vie (</w:t>
      </w:r>
      <w:r w:rsidRPr="0015131B">
        <w:t>plusieurs dizaines d’années</w:t>
      </w:r>
      <w:r>
        <w:t xml:space="preserve">) nommées « cellules mémoires » produites lors de la première rencontre avec l’antigène. Ces LB mémoires, LT mémoires ont un </w:t>
      </w:r>
      <w:r w:rsidRPr="0015131B">
        <w:t>délai d’activation réduit et une capacité de prolifération s</w:t>
      </w:r>
      <w:r>
        <w:t xml:space="preserve">upérieure aux lymphocytes naïfs. </w:t>
      </w:r>
      <w:r w:rsidRPr="0015131B">
        <w:t>Ces cellules mémoires dérivent d’une partie des cellules naïves activées.</w:t>
      </w:r>
    </w:p>
    <w:p w14:paraId="11A74AD6" w14:textId="77777777" w:rsidR="00647ABC" w:rsidRPr="00890BCF" w:rsidRDefault="00647ABC" w:rsidP="00647ABC">
      <w:pPr>
        <w:pStyle w:val="Titre3"/>
      </w:pPr>
      <w:r>
        <w:t>Cette mémoire immunitaire assure une protection de l’organisme vis-à-vis de l’antigène rencontré.</w:t>
      </w:r>
    </w:p>
    <w:p w14:paraId="59EEC018" w14:textId="77777777" w:rsidR="00647ABC" w:rsidRPr="0015131B" w:rsidRDefault="00647ABC" w:rsidP="00647ABC">
      <w:pPr>
        <w:pStyle w:val="Sansinterligne"/>
      </w:pPr>
    </w:p>
    <w:p w14:paraId="374C3615" w14:textId="77777777" w:rsidR="00647ABC" w:rsidRPr="0000083B" w:rsidRDefault="00647ABC" w:rsidP="00647ABC">
      <w:pPr>
        <w:pStyle w:val="Sansinterligne"/>
        <w:rPr>
          <w:i/>
          <w:sz w:val="12"/>
          <w:szCs w:val="12"/>
        </w:rPr>
      </w:pPr>
      <w:r w:rsidRPr="0000083B">
        <w:rPr>
          <w:i/>
          <w:sz w:val="12"/>
          <w:szCs w:val="12"/>
        </w:rPr>
        <w:t>NB : Il est admis que les cellules-mémoires ont une durée de vie très longue (notamment les TCD8+, connues depuis une dizaine d’années), il est possible qu’elles se multiplient, mais les scientifiques ignorent actuellement dans quel organe. De plus, des plasmocytes à longue durée de vie présents dans la moelle osseuse continuent de produire des anticorps (ce qui explique la persistance des anticorps longtemps après vaccination). La production de toutes ces cellules, naturellement ou après vaccination, entraîne une évolution du phénotype immunitaire selon son environnement.</w:t>
      </w:r>
    </w:p>
    <w:p w14:paraId="01C3838C" w14:textId="77777777" w:rsidR="00647ABC" w:rsidRDefault="00647ABC" w:rsidP="00647ABC">
      <w:pPr>
        <w:pStyle w:val="Sansinterligne"/>
      </w:pPr>
    </w:p>
    <w:p w14:paraId="449A4303" w14:textId="77777777" w:rsidR="00647ABC" w:rsidRDefault="00647ABC" w:rsidP="00647ABC">
      <w:pPr>
        <w:pStyle w:val="Sansinterligne"/>
      </w:pPr>
      <w:r w:rsidRPr="0015131B">
        <w:t>La vaccination met à profit cette mémoire immunitaire. La vaccination a pour objectif une protection collective et une éradication du pathogène (lorsque son seul hôte est l’Homme). La couverture vaccinale de la population constitue un véritable enjeu de société.</w:t>
      </w:r>
    </w:p>
    <w:p w14:paraId="6D09A9EC" w14:textId="77777777" w:rsidR="00647ABC" w:rsidRPr="0015131B" w:rsidRDefault="00647ABC" w:rsidP="00647ABC">
      <w:pPr>
        <w:pStyle w:val="Sansinterligne"/>
      </w:pPr>
    </w:p>
    <w:p w14:paraId="32E3280F" w14:textId="77777777" w:rsidR="00710B94" w:rsidRDefault="00710B94"/>
    <w:sectPr w:rsidR="00710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E505C"/>
    <w:multiLevelType w:val="hybridMultilevel"/>
    <w:tmpl w:val="37FC1C3A"/>
    <w:lvl w:ilvl="0" w:tplc="957A0E2E">
      <w:start w:val="10"/>
      <w:numFmt w:val="bullet"/>
      <w:lvlText w:val=""/>
      <w:lvlJc w:val="left"/>
      <w:pPr>
        <w:ind w:left="720" w:hanging="360"/>
      </w:pPr>
      <w:rPr>
        <w:rFonts w:ascii="Wingdings" w:eastAsiaTheme="minorHAnsi" w:hAnsi="Wingding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3E5D76"/>
    <w:multiLevelType w:val="hybridMultilevel"/>
    <w:tmpl w:val="85429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58327062">
    <w:abstractNumId w:val="1"/>
  </w:num>
  <w:num w:numId="2" w16cid:durableId="1633050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BC"/>
    <w:rsid w:val="00185E70"/>
    <w:rsid w:val="00647ABC"/>
    <w:rsid w:val="00710B94"/>
    <w:rsid w:val="00F965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83F06"/>
  <w15:chartTrackingRefBased/>
  <w15:docId w15:val="{4E56D616-4500-4244-8194-9B5DD810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ABC"/>
    <w:pPr>
      <w:spacing w:after="200" w:line="276" w:lineRule="auto"/>
    </w:pPr>
    <w:rPr>
      <w:rFonts w:ascii="Arial" w:hAnsi="Arial" w:cs="Arial"/>
      <w:kern w:val="0"/>
      <w14:ligatures w14:val="none"/>
    </w:rPr>
  </w:style>
  <w:style w:type="paragraph" w:styleId="Titre1">
    <w:name w:val="heading 1"/>
    <w:basedOn w:val="Normal"/>
    <w:next w:val="Normal"/>
    <w:link w:val="Titre1Car"/>
    <w:uiPriority w:val="9"/>
    <w:qFormat/>
    <w:rsid w:val="00647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47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bilan"/>
    <w:basedOn w:val="Normal"/>
    <w:next w:val="Normal"/>
    <w:link w:val="Titre3Car"/>
    <w:uiPriority w:val="9"/>
    <w:unhideWhenUsed/>
    <w:qFormat/>
    <w:rsid w:val="00647AB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47AB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47AB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47AB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47AB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47AB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47AB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7AB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47ABC"/>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bilan Car"/>
    <w:basedOn w:val="Policepardfaut"/>
    <w:link w:val="Titre3"/>
    <w:uiPriority w:val="9"/>
    <w:rsid w:val="00647AB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47AB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47AB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47AB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47AB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47AB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47ABC"/>
    <w:rPr>
      <w:rFonts w:eastAsiaTheme="majorEastAsia" w:cstheme="majorBidi"/>
      <w:color w:val="272727" w:themeColor="text1" w:themeTint="D8"/>
    </w:rPr>
  </w:style>
  <w:style w:type="paragraph" w:styleId="Titre">
    <w:name w:val="Title"/>
    <w:basedOn w:val="Normal"/>
    <w:next w:val="Normal"/>
    <w:link w:val="TitreCar"/>
    <w:uiPriority w:val="10"/>
    <w:qFormat/>
    <w:rsid w:val="00647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47AB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47AB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47AB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47ABC"/>
    <w:pPr>
      <w:spacing w:before="160"/>
      <w:jc w:val="center"/>
    </w:pPr>
    <w:rPr>
      <w:i/>
      <w:iCs/>
      <w:color w:val="404040" w:themeColor="text1" w:themeTint="BF"/>
    </w:rPr>
  </w:style>
  <w:style w:type="character" w:customStyle="1" w:styleId="CitationCar">
    <w:name w:val="Citation Car"/>
    <w:basedOn w:val="Policepardfaut"/>
    <w:link w:val="Citation"/>
    <w:uiPriority w:val="29"/>
    <w:rsid w:val="00647ABC"/>
    <w:rPr>
      <w:i/>
      <w:iCs/>
      <w:color w:val="404040" w:themeColor="text1" w:themeTint="BF"/>
    </w:rPr>
  </w:style>
  <w:style w:type="paragraph" w:styleId="Paragraphedeliste">
    <w:name w:val="List Paragraph"/>
    <w:basedOn w:val="Normal"/>
    <w:uiPriority w:val="34"/>
    <w:qFormat/>
    <w:rsid w:val="00647ABC"/>
    <w:pPr>
      <w:ind w:left="720"/>
      <w:contextualSpacing/>
    </w:pPr>
  </w:style>
  <w:style w:type="character" w:styleId="Accentuationintense">
    <w:name w:val="Intense Emphasis"/>
    <w:basedOn w:val="Policepardfaut"/>
    <w:uiPriority w:val="21"/>
    <w:qFormat/>
    <w:rsid w:val="00647ABC"/>
    <w:rPr>
      <w:i/>
      <w:iCs/>
      <w:color w:val="0F4761" w:themeColor="accent1" w:themeShade="BF"/>
    </w:rPr>
  </w:style>
  <w:style w:type="paragraph" w:styleId="Citationintense">
    <w:name w:val="Intense Quote"/>
    <w:basedOn w:val="Normal"/>
    <w:next w:val="Normal"/>
    <w:link w:val="CitationintenseCar"/>
    <w:uiPriority w:val="30"/>
    <w:qFormat/>
    <w:rsid w:val="00647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47ABC"/>
    <w:rPr>
      <w:i/>
      <w:iCs/>
      <w:color w:val="0F4761" w:themeColor="accent1" w:themeShade="BF"/>
    </w:rPr>
  </w:style>
  <w:style w:type="character" w:styleId="Rfrenceintense">
    <w:name w:val="Intense Reference"/>
    <w:basedOn w:val="Policepardfaut"/>
    <w:uiPriority w:val="32"/>
    <w:qFormat/>
    <w:rsid w:val="00647ABC"/>
    <w:rPr>
      <w:b/>
      <w:bCs/>
      <w:smallCaps/>
      <w:color w:val="0F4761" w:themeColor="accent1" w:themeShade="BF"/>
      <w:spacing w:val="5"/>
    </w:rPr>
  </w:style>
  <w:style w:type="paragraph" w:styleId="Sansinterligne">
    <w:name w:val="No Spacing"/>
    <w:uiPriority w:val="1"/>
    <w:qFormat/>
    <w:rsid w:val="00647ABC"/>
    <w:pPr>
      <w:spacing w:after="0" w:line="240" w:lineRule="auto"/>
    </w:pPr>
    <w:rPr>
      <w:rFonts w:ascii="Arial" w:hAnsi="Arial"/>
      <w:kern w:val="0"/>
      <w:sz w:val="22"/>
      <w:szCs w:val="22"/>
      <w14:ligatures w14:val="none"/>
    </w:rPr>
  </w:style>
  <w:style w:type="table" w:styleId="Grilledutableau">
    <w:name w:val="Table Grid"/>
    <w:basedOn w:val="TableauNormal"/>
    <w:uiPriority w:val="59"/>
    <w:rsid w:val="00647AB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905</Words>
  <Characters>4980</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HNN</dc:creator>
  <cp:keywords/>
  <dc:description/>
  <cp:lastModifiedBy>jp HNN</cp:lastModifiedBy>
  <cp:revision>1</cp:revision>
  <dcterms:created xsi:type="dcterms:W3CDTF">2026-04-29T14:05:00Z</dcterms:created>
  <dcterms:modified xsi:type="dcterms:W3CDTF">2026-04-29T14:06:00Z</dcterms:modified>
</cp:coreProperties>
</file>