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D66A8" w14:textId="421E8A5D" w:rsidR="00975670" w:rsidRPr="0087469C" w:rsidRDefault="006535C5">
      <w:pPr>
        <w:tabs>
          <w:tab w:val="center" w:pos="1416"/>
          <w:tab w:val="center" w:pos="2124"/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89"/>
          <w:tab w:val="center" w:pos="8497"/>
          <w:tab w:val="center" w:pos="9953"/>
        </w:tabs>
        <w:spacing w:after="169"/>
        <w:rPr>
          <w:rFonts w:asciiTheme="majorHAnsi" w:hAnsiTheme="majorHAnsi"/>
        </w:rPr>
      </w:pPr>
      <w:r w:rsidRPr="0087469C">
        <w:rPr>
          <w:rFonts w:asciiTheme="majorHAnsi" w:hAnsiTheme="majorHAnsi"/>
          <w:b/>
        </w:rPr>
        <w:tab/>
        <w:t xml:space="preserve"> </w:t>
      </w:r>
      <w:r w:rsidRPr="0087469C">
        <w:rPr>
          <w:rFonts w:asciiTheme="majorHAnsi" w:hAnsiTheme="majorHAnsi"/>
          <w:b/>
        </w:rPr>
        <w:tab/>
        <w:t xml:space="preserve"> </w:t>
      </w:r>
      <w:r w:rsidRPr="0087469C">
        <w:rPr>
          <w:rFonts w:asciiTheme="majorHAnsi" w:hAnsiTheme="majorHAnsi"/>
          <w:b/>
        </w:rPr>
        <w:tab/>
        <w:t xml:space="preserve"> </w:t>
      </w:r>
      <w:r w:rsidRPr="0087469C">
        <w:rPr>
          <w:rFonts w:asciiTheme="majorHAnsi" w:hAnsiTheme="majorHAnsi"/>
          <w:b/>
        </w:rPr>
        <w:tab/>
        <w:t xml:space="preserve"> </w:t>
      </w:r>
      <w:r w:rsidRPr="0087469C">
        <w:rPr>
          <w:rFonts w:asciiTheme="majorHAnsi" w:hAnsiTheme="majorHAnsi"/>
          <w:b/>
        </w:rPr>
        <w:tab/>
        <w:t xml:space="preserve"> </w:t>
      </w:r>
      <w:r w:rsidRPr="0087469C">
        <w:rPr>
          <w:rFonts w:asciiTheme="majorHAnsi" w:hAnsiTheme="majorHAnsi"/>
          <w:b/>
        </w:rPr>
        <w:tab/>
        <w:t xml:space="preserve"> </w:t>
      </w:r>
      <w:r w:rsidRPr="0087469C">
        <w:rPr>
          <w:rFonts w:asciiTheme="majorHAnsi" w:hAnsiTheme="majorHAnsi"/>
          <w:b/>
        </w:rPr>
        <w:tab/>
        <w:t xml:space="preserve"> </w:t>
      </w:r>
      <w:r w:rsidRPr="0087469C">
        <w:rPr>
          <w:rFonts w:asciiTheme="majorHAnsi" w:hAnsiTheme="majorHAnsi"/>
          <w:b/>
        </w:rPr>
        <w:tab/>
        <w:t xml:space="preserve"> </w:t>
      </w:r>
      <w:r w:rsidRPr="0087469C">
        <w:rPr>
          <w:rFonts w:asciiTheme="majorHAnsi" w:hAnsiTheme="majorHAnsi"/>
          <w:b/>
        </w:rPr>
        <w:tab/>
        <w:t xml:space="preserve"> </w:t>
      </w:r>
      <w:r w:rsidRPr="0087469C">
        <w:rPr>
          <w:rFonts w:asciiTheme="majorHAnsi" w:hAnsiTheme="majorHAnsi"/>
          <w:b/>
        </w:rPr>
        <w:tab/>
        <w:t xml:space="preserve"> </w:t>
      </w:r>
      <w:r w:rsidRPr="0087469C">
        <w:rPr>
          <w:rFonts w:asciiTheme="majorHAnsi" w:hAnsiTheme="majorHAnsi"/>
          <w:b/>
        </w:rPr>
        <w:tab/>
        <w:t xml:space="preserve"> </w:t>
      </w:r>
      <w:r w:rsidRPr="0087469C">
        <w:rPr>
          <w:rFonts w:asciiTheme="majorHAnsi" w:hAnsiTheme="majorHAnsi"/>
          <w:b/>
        </w:rPr>
        <w:tab/>
        <w:t>DS n°</w:t>
      </w:r>
      <w:proofErr w:type="gramStart"/>
      <w:r w:rsidRPr="0087469C">
        <w:rPr>
          <w:rFonts w:asciiTheme="majorHAnsi" w:hAnsiTheme="majorHAnsi"/>
          <w:b/>
        </w:rPr>
        <w:t xml:space="preserve">1 </w:t>
      </w:r>
      <w:r w:rsidR="00E30019">
        <w:rPr>
          <w:rFonts w:asciiTheme="majorHAnsi" w:hAnsiTheme="majorHAnsi"/>
          <w:b/>
        </w:rPr>
        <w:t xml:space="preserve"> suite</w:t>
      </w:r>
      <w:proofErr w:type="gramEnd"/>
      <w:r w:rsidR="00E30019">
        <w:rPr>
          <w:rFonts w:asciiTheme="majorHAnsi" w:hAnsiTheme="majorHAnsi"/>
          <w:b/>
        </w:rPr>
        <w:t xml:space="preserve"> </w:t>
      </w:r>
      <w:r w:rsidRPr="0087469C">
        <w:rPr>
          <w:rFonts w:asciiTheme="majorHAnsi" w:hAnsiTheme="majorHAnsi"/>
          <w:b/>
        </w:rPr>
        <w:t>– 1</w:t>
      </w:r>
      <w:r w:rsidRPr="0087469C">
        <w:rPr>
          <w:rFonts w:asciiTheme="majorHAnsi" w:hAnsiTheme="majorHAnsi"/>
          <w:b/>
          <w:vertAlign w:val="superscript"/>
        </w:rPr>
        <w:t>ère</w:t>
      </w:r>
      <w:r w:rsidRPr="0087469C">
        <w:rPr>
          <w:rFonts w:asciiTheme="majorHAnsi" w:hAnsiTheme="majorHAnsi"/>
          <w:b/>
        </w:rPr>
        <w:t xml:space="preserve"> Spé  </w:t>
      </w:r>
    </w:p>
    <w:p w14:paraId="36E73153" w14:textId="477C1C7F" w:rsidR="00975670" w:rsidRPr="0087469C" w:rsidRDefault="006535C5" w:rsidP="0087469C">
      <w:pPr>
        <w:spacing w:after="158"/>
        <w:rPr>
          <w:rFonts w:asciiTheme="majorHAnsi" w:hAnsiTheme="majorHAnsi"/>
          <w:sz w:val="24"/>
          <w:szCs w:val="24"/>
        </w:rPr>
      </w:pPr>
      <w:r w:rsidRPr="0087469C">
        <w:rPr>
          <w:rFonts w:asciiTheme="majorHAnsi" w:hAnsiTheme="majorHAnsi"/>
          <w:b/>
          <w:sz w:val="24"/>
          <w:szCs w:val="24"/>
        </w:rPr>
        <w:t xml:space="preserve"> </w:t>
      </w:r>
      <w:r w:rsidRPr="0087469C">
        <w:rPr>
          <w:rFonts w:asciiTheme="majorHAnsi" w:hAnsiTheme="majorHAnsi"/>
          <w:b/>
          <w:sz w:val="24"/>
          <w:szCs w:val="24"/>
          <w:u w:val="single" w:color="000000"/>
        </w:rPr>
        <w:t>E</w:t>
      </w:r>
      <w:r w:rsidR="00E30019">
        <w:rPr>
          <w:rFonts w:asciiTheme="majorHAnsi" w:hAnsiTheme="majorHAnsi"/>
          <w:b/>
          <w:sz w:val="24"/>
          <w:szCs w:val="24"/>
          <w:u w:val="single" w:color="000000"/>
        </w:rPr>
        <w:t>tude de documents</w:t>
      </w:r>
      <w:r w:rsidRPr="0087469C">
        <w:rPr>
          <w:rFonts w:asciiTheme="majorHAnsi" w:hAnsiTheme="majorHAnsi"/>
          <w:b/>
          <w:sz w:val="24"/>
          <w:szCs w:val="24"/>
          <w:u w:val="single" w:color="000000"/>
        </w:rPr>
        <w:t xml:space="preserve"> :</w:t>
      </w:r>
      <w:r w:rsidRPr="0087469C">
        <w:rPr>
          <w:rFonts w:asciiTheme="majorHAnsi" w:hAnsiTheme="majorHAnsi"/>
          <w:b/>
          <w:sz w:val="24"/>
          <w:szCs w:val="24"/>
        </w:rPr>
        <w:t xml:space="preserve"> </w:t>
      </w:r>
    </w:p>
    <w:p w14:paraId="5E5C05FB" w14:textId="0DF9EC92" w:rsidR="00975670" w:rsidRPr="0087469C" w:rsidRDefault="006535C5">
      <w:pPr>
        <w:tabs>
          <w:tab w:val="center" w:pos="4193"/>
        </w:tabs>
        <w:spacing w:after="167" w:line="263" w:lineRule="auto"/>
        <w:rPr>
          <w:rFonts w:asciiTheme="majorHAnsi" w:hAnsiTheme="majorHAnsi"/>
        </w:rPr>
      </w:pPr>
      <w:r w:rsidRPr="0087469C">
        <w:rPr>
          <w:rFonts w:asciiTheme="majorHAnsi" w:hAnsiTheme="majorHAnsi"/>
        </w:rPr>
        <w:t xml:space="preserve"> </w:t>
      </w:r>
      <w:r w:rsidRPr="0087469C">
        <w:rPr>
          <w:rFonts w:asciiTheme="majorHAnsi" w:hAnsiTheme="majorHAnsi"/>
        </w:rPr>
        <w:tab/>
        <w:t xml:space="preserve">On cherche à visualiser les différents acides nucléiques dans les cellules : ADN et ARN. </w:t>
      </w:r>
    </w:p>
    <w:p w14:paraId="0B5E5D4E" w14:textId="150CC4CA" w:rsidR="00975670" w:rsidRPr="0087469C" w:rsidRDefault="006535C5">
      <w:pPr>
        <w:numPr>
          <w:ilvl w:val="0"/>
          <w:numId w:val="1"/>
        </w:numPr>
        <w:spacing w:after="1" w:line="263" w:lineRule="auto"/>
        <w:ind w:hanging="360"/>
        <w:rPr>
          <w:rFonts w:asciiTheme="majorHAnsi" w:hAnsiTheme="majorHAnsi"/>
        </w:rPr>
      </w:pPr>
      <w:r w:rsidRPr="0087469C">
        <w:rPr>
          <w:rFonts w:asciiTheme="majorHAnsi" w:hAnsiTheme="majorHAnsi"/>
        </w:rPr>
        <w:t xml:space="preserve">On utilise dans un premier temps, les colorants suivants : vert de méthyle et rouge </w:t>
      </w:r>
      <w:proofErr w:type="spellStart"/>
      <w:r w:rsidRPr="0087469C">
        <w:rPr>
          <w:rFonts w:asciiTheme="majorHAnsi" w:hAnsiTheme="majorHAnsi"/>
        </w:rPr>
        <w:t>pyronine</w:t>
      </w:r>
      <w:proofErr w:type="spellEnd"/>
      <w:r w:rsidRPr="0087469C">
        <w:rPr>
          <w:rFonts w:asciiTheme="majorHAnsi" w:hAnsiTheme="majorHAnsi"/>
        </w:rPr>
        <w:t xml:space="preserve">. On emploie également dans cette expérience, deux enzymes : la DNase </w:t>
      </w:r>
      <w:proofErr w:type="gramStart"/>
      <w:r w:rsidRPr="0087469C">
        <w:rPr>
          <w:rFonts w:asciiTheme="majorHAnsi" w:hAnsiTheme="majorHAnsi"/>
        </w:rPr>
        <w:t>( =</w:t>
      </w:r>
      <w:proofErr w:type="gramEnd"/>
      <w:r w:rsidRPr="0087469C">
        <w:rPr>
          <w:rFonts w:asciiTheme="majorHAnsi" w:hAnsiTheme="majorHAnsi"/>
        </w:rPr>
        <w:t xml:space="preserve"> désoxyribonucléase), qui hydrolyse de manière spécifique les molécules d’ADN et la RNase </w:t>
      </w:r>
      <w:proofErr w:type="gramStart"/>
      <w:r w:rsidRPr="0087469C">
        <w:rPr>
          <w:rFonts w:asciiTheme="majorHAnsi" w:hAnsiTheme="majorHAnsi"/>
        </w:rPr>
        <w:t>( =</w:t>
      </w:r>
      <w:proofErr w:type="gramEnd"/>
      <w:r w:rsidRPr="0087469C">
        <w:rPr>
          <w:rFonts w:asciiTheme="majorHAnsi" w:hAnsiTheme="majorHAnsi"/>
        </w:rPr>
        <w:t xml:space="preserve"> ribonucléase</w:t>
      </w:r>
      <w:proofErr w:type="gramStart"/>
      <w:r w:rsidRPr="0087469C">
        <w:rPr>
          <w:rFonts w:asciiTheme="majorHAnsi" w:hAnsiTheme="majorHAnsi"/>
        </w:rPr>
        <w:t>) ,</w:t>
      </w:r>
      <w:proofErr w:type="gramEnd"/>
      <w:r w:rsidRPr="0087469C">
        <w:rPr>
          <w:rFonts w:asciiTheme="majorHAnsi" w:hAnsiTheme="majorHAnsi"/>
        </w:rPr>
        <w:t xml:space="preserve"> détruisant spécifiquement l’ARN. </w:t>
      </w:r>
    </w:p>
    <w:p w14:paraId="3E2E3B20" w14:textId="758F604A" w:rsidR="00975670" w:rsidRPr="0087469C" w:rsidRDefault="0087469C">
      <w:pPr>
        <w:spacing w:after="15"/>
        <w:ind w:left="720"/>
        <w:rPr>
          <w:rFonts w:asciiTheme="majorHAnsi" w:hAnsiTheme="majorHAnsi"/>
        </w:rPr>
      </w:pPr>
      <w:r w:rsidRPr="0087469C">
        <w:rPr>
          <w:rFonts w:asciiTheme="majorHAnsi" w:hAnsiTheme="majorHAnsi"/>
          <w:noProof/>
        </w:rPr>
        <w:drawing>
          <wp:anchor distT="0" distB="0" distL="114300" distR="114300" simplePos="0" relativeHeight="251658240" behindDoc="0" locked="0" layoutInCell="1" allowOverlap="0" wp14:anchorId="20FF862E" wp14:editId="588F15F8">
            <wp:simplePos x="0" y="0"/>
            <wp:positionH relativeFrom="column">
              <wp:posOffset>2806776</wp:posOffset>
            </wp:positionH>
            <wp:positionV relativeFrom="paragraph">
              <wp:posOffset>14349</wp:posOffset>
            </wp:positionV>
            <wp:extent cx="4025900" cy="3766185"/>
            <wp:effectExtent l="0" t="0" r="0" b="5715"/>
            <wp:wrapSquare wrapText="bothSides"/>
            <wp:docPr id="141" name="Picture 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Picture 141"/>
                    <pic:cNvPicPr/>
                  </pic:nvPicPr>
                  <pic:blipFill rotWithShape="1">
                    <a:blip r:embed="rId5"/>
                    <a:srcRect l="15863" r="14295"/>
                    <a:stretch/>
                  </pic:blipFill>
                  <pic:spPr bwMode="auto">
                    <a:xfrm>
                      <a:off x="0" y="0"/>
                      <a:ext cx="4025900" cy="3766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35C5" w:rsidRPr="0087469C">
        <w:rPr>
          <w:rFonts w:asciiTheme="majorHAnsi" w:hAnsiTheme="majorHAnsi"/>
          <w:sz w:val="20"/>
        </w:rPr>
        <w:t xml:space="preserve"> </w:t>
      </w:r>
    </w:p>
    <w:p w14:paraId="0E9F0089" w14:textId="3E52DA3F" w:rsidR="00975670" w:rsidRPr="0087469C" w:rsidRDefault="006535C5">
      <w:pPr>
        <w:tabs>
          <w:tab w:val="center" w:pos="720"/>
          <w:tab w:val="center" w:pos="1416"/>
          <w:tab w:val="center" w:pos="2124"/>
          <w:tab w:val="center" w:pos="4419"/>
        </w:tabs>
        <w:spacing w:after="1"/>
        <w:ind w:right="-4869"/>
        <w:rPr>
          <w:rFonts w:asciiTheme="majorHAnsi" w:hAnsiTheme="majorHAnsi"/>
        </w:rPr>
      </w:pPr>
      <w:r w:rsidRPr="0087469C">
        <w:rPr>
          <w:rFonts w:asciiTheme="majorHAnsi" w:hAnsiTheme="majorHAnsi"/>
        </w:rPr>
        <w:tab/>
      </w:r>
      <w:r w:rsidRPr="0087469C">
        <w:rPr>
          <w:rFonts w:asciiTheme="majorHAnsi" w:hAnsiTheme="majorHAnsi"/>
          <w:sz w:val="20"/>
        </w:rPr>
        <w:t xml:space="preserve">  </w:t>
      </w:r>
      <w:r w:rsidRPr="0087469C">
        <w:rPr>
          <w:rFonts w:asciiTheme="majorHAnsi" w:hAnsiTheme="majorHAnsi"/>
          <w:sz w:val="20"/>
        </w:rPr>
        <w:tab/>
        <w:t xml:space="preserve"> </w:t>
      </w:r>
      <w:r w:rsidRPr="0087469C">
        <w:rPr>
          <w:rFonts w:asciiTheme="majorHAnsi" w:hAnsiTheme="majorHAnsi"/>
          <w:i/>
          <w:sz w:val="20"/>
        </w:rPr>
        <w:t xml:space="preserve">Les résultats obtenus sont les suivants :  </w:t>
      </w:r>
    </w:p>
    <w:p w14:paraId="04E44D4F" w14:textId="1B9FA92F" w:rsidR="00975670" w:rsidRPr="0087469C" w:rsidRDefault="006535C5">
      <w:pPr>
        <w:spacing w:after="1"/>
        <w:ind w:left="720"/>
        <w:rPr>
          <w:rFonts w:asciiTheme="majorHAnsi" w:hAnsiTheme="majorHAnsi"/>
        </w:rPr>
      </w:pPr>
      <w:r w:rsidRPr="0087469C">
        <w:rPr>
          <w:rFonts w:asciiTheme="majorHAnsi" w:hAnsiTheme="majorHAnsi"/>
          <w:sz w:val="20"/>
        </w:rPr>
        <w:t xml:space="preserve"> </w:t>
      </w:r>
    </w:p>
    <w:p w14:paraId="54E850E2" w14:textId="77777777" w:rsidR="0087469C" w:rsidRPr="0087469C" w:rsidRDefault="0087469C">
      <w:pPr>
        <w:spacing w:after="20" w:line="258" w:lineRule="auto"/>
        <w:ind w:left="720"/>
        <w:rPr>
          <w:rFonts w:asciiTheme="majorHAnsi" w:hAnsiTheme="majorHAnsi"/>
          <w:b/>
          <w:sz w:val="20"/>
        </w:rPr>
      </w:pPr>
    </w:p>
    <w:p w14:paraId="49C42376" w14:textId="77777777" w:rsidR="0087469C" w:rsidRPr="0087469C" w:rsidRDefault="0087469C">
      <w:pPr>
        <w:spacing w:after="20" w:line="258" w:lineRule="auto"/>
        <w:ind w:left="720"/>
        <w:rPr>
          <w:rFonts w:asciiTheme="majorHAnsi" w:hAnsiTheme="majorHAnsi"/>
          <w:b/>
          <w:sz w:val="20"/>
        </w:rPr>
      </w:pPr>
    </w:p>
    <w:p w14:paraId="6AE0368B" w14:textId="77777777" w:rsidR="0087469C" w:rsidRPr="0087469C" w:rsidRDefault="0087469C">
      <w:pPr>
        <w:spacing w:after="20" w:line="258" w:lineRule="auto"/>
        <w:ind w:left="720"/>
        <w:rPr>
          <w:rFonts w:asciiTheme="majorHAnsi" w:hAnsiTheme="majorHAnsi"/>
          <w:b/>
          <w:sz w:val="20"/>
        </w:rPr>
      </w:pPr>
    </w:p>
    <w:p w14:paraId="4F6393F9" w14:textId="77777777" w:rsidR="0087469C" w:rsidRPr="0087469C" w:rsidRDefault="0087469C">
      <w:pPr>
        <w:spacing w:after="20" w:line="258" w:lineRule="auto"/>
        <w:ind w:left="720"/>
        <w:rPr>
          <w:rFonts w:asciiTheme="majorHAnsi" w:hAnsiTheme="majorHAnsi"/>
          <w:b/>
          <w:sz w:val="28"/>
          <w:szCs w:val="28"/>
        </w:rPr>
      </w:pPr>
    </w:p>
    <w:p w14:paraId="45767264" w14:textId="11D910BB" w:rsidR="00975670" w:rsidRPr="0087469C" w:rsidRDefault="006535C5" w:rsidP="0087469C">
      <w:pPr>
        <w:spacing w:after="20" w:line="258" w:lineRule="auto"/>
        <w:ind w:left="142"/>
        <w:rPr>
          <w:rFonts w:asciiTheme="majorHAnsi" w:hAnsiTheme="majorHAnsi"/>
          <w:sz w:val="28"/>
          <w:szCs w:val="28"/>
        </w:rPr>
      </w:pPr>
      <w:r w:rsidRPr="0087469C">
        <w:rPr>
          <w:rFonts w:asciiTheme="majorHAnsi" w:hAnsiTheme="majorHAnsi"/>
          <w:b/>
          <w:sz w:val="28"/>
          <w:szCs w:val="28"/>
        </w:rPr>
        <w:t xml:space="preserve">Après avoir analysé ces expériences, montrez ce qu’elles apportent quant à la localisation de ces acides nucléiques dans la cellule. </w:t>
      </w:r>
    </w:p>
    <w:p w14:paraId="6C0F43FC" w14:textId="77777777" w:rsidR="00975670" w:rsidRPr="0087469C" w:rsidRDefault="006535C5">
      <w:pPr>
        <w:spacing w:after="0"/>
        <w:ind w:left="720"/>
        <w:rPr>
          <w:rFonts w:asciiTheme="majorHAnsi" w:hAnsiTheme="majorHAnsi"/>
        </w:rPr>
      </w:pPr>
      <w:r w:rsidRPr="0087469C">
        <w:rPr>
          <w:rFonts w:asciiTheme="majorHAnsi" w:hAnsiTheme="majorHAnsi"/>
        </w:rPr>
        <w:t xml:space="preserve"> </w:t>
      </w:r>
    </w:p>
    <w:p w14:paraId="20B01CB3" w14:textId="77777777" w:rsidR="00975670" w:rsidRPr="0087469C" w:rsidRDefault="006535C5">
      <w:pPr>
        <w:spacing w:after="0"/>
        <w:ind w:left="720"/>
        <w:rPr>
          <w:rFonts w:asciiTheme="majorHAnsi" w:hAnsiTheme="majorHAnsi"/>
        </w:rPr>
      </w:pPr>
      <w:r w:rsidRPr="0087469C">
        <w:rPr>
          <w:rFonts w:asciiTheme="majorHAnsi" w:hAnsiTheme="majorHAnsi"/>
        </w:rPr>
        <w:t xml:space="preserve"> </w:t>
      </w:r>
    </w:p>
    <w:p w14:paraId="6B2AF7BD" w14:textId="69A62D9D" w:rsidR="00975670" w:rsidRPr="0087469C" w:rsidRDefault="006535C5">
      <w:pPr>
        <w:spacing w:after="0"/>
        <w:ind w:left="720"/>
        <w:rPr>
          <w:rFonts w:asciiTheme="majorHAnsi" w:hAnsiTheme="majorHAnsi"/>
        </w:rPr>
      </w:pPr>
      <w:r w:rsidRPr="0087469C">
        <w:rPr>
          <w:rFonts w:asciiTheme="majorHAnsi" w:hAnsiTheme="majorHAnsi"/>
        </w:rPr>
        <w:t xml:space="preserve"> </w:t>
      </w:r>
    </w:p>
    <w:p w14:paraId="6A6F052B" w14:textId="77777777" w:rsidR="00975670" w:rsidRPr="0087469C" w:rsidRDefault="006535C5">
      <w:pPr>
        <w:spacing w:after="0"/>
        <w:ind w:left="720"/>
        <w:rPr>
          <w:rFonts w:asciiTheme="majorHAnsi" w:hAnsiTheme="majorHAnsi"/>
        </w:rPr>
      </w:pPr>
      <w:r w:rsidRPr="0087469C">
        <w:rPr>
          <w:rFonts w:asciiTheme="majorHAnsi" w:hAnsiTheme="majorHAnsi"/>
        </w:rPr>
        <w:t xml:space="preserve"> </w:t>
      </w:r>
    </w:p>
    <w:p w14:paraId="40263809" w14:textId="77777777" w:rsidR="00975670" w:rsidRPr="0087469C" w:rsidRDefault="006535C5">
      <w:pPr>
        <w:spacing w:after="0"/>
        <w:ind w:left="720"/>
        <w:rPr>
          <w:rFonts w:asciiTheme="majorHAnsi" w:hAnsiTheme="majorHAnsi"/>
        </w:rPr>
      </w:pPr>
      <w:r w:rsidRPr="0087469C">
        <w:rPr>
          <w:rFonts w:asciiTheme="majorHAnsi" w:hAnsiTheme="majorHAnsi"/>
        </w:rPr>
        <w:t xml:space="preserve"> </w:t>
      </w:r>
    </w:p>
    <w:p w14:paraId="15407CF3" w14:textId="665AF4A2" w:rsidR="00975670" w:rsidRDefault="006535C5">
      <w:pPr>
        <w:spacing w:after="0"/>
        <w:ind w:left="720"/>
        <w:rPr>
          <w:rFonts w:asciiTheme="majorHAnsi" w:hAnsiTheme="majorHAnsi"/>
        </w:rPr>
      </w:pPr>
      <w:r w:rsidRPr="0087469C">
        <w:rPr>
          <w:rFonts w:asciiTheme="majorHAnsi" w:hAnsiTheme="majorHAnsi"/>
        </w:rPr>
        <w:t xml:space="preserve"> </w:t>
      </w:r>
    </w:p>
    <w:p w14:paraId="4A67C55D" w14:textId="0A0B6AD0" w:rsidR="0087469C" w:rsidRDefault="0087469C">
      <w:pPr>
        <w:spacing w:after="0"/>
        <w:ind w:left="720"/>
        <w:rPr>
          <w:rFonts w:asciiTheme="majorHAnsi" w:hAnsiTheme="majorHAnsi"/>
        </w:rPr>
      </w:pPr>
    </w:p>
    <w:p w14:paraId="730D61DC" w14:textId="77777777" w:rsidR="0087469C" w:rsidRPr="0087469C" w:rsidRDefault="0087469C">
      <w:pPr>
        <w:spacing w:after="0"/>
        <w:ind w:left="720"/>
        <w:rPr>
          <w:rFonts w:asciiTheme="majorHAnsi" w:hAnsiTheme="majorHAnsi"/>
        </w:rPr>
      </w:pPr>
    </w:p>
    <w:p w14:paraId="66063B49" w14:textId="77777777" w:rsidR="00975670" w:rsidRPr="0087469C" w:rsidRDefault="006535C5">
      <w:pPr>
        <w:spacing w:after="13"/>
        <w:ind w:left="720"/>
        <w:rPr>
          <w:rFonts w:asciiTheme="majorHAnsi" w:hAnsiTheme="majorHAnsi"/>
        </w:rPr>
      </w:pPr>
      <w:r w:rsidRPr="0087469C">
        <w:rPr>
          <w:rFonts w:asciiTheme="majorHAnsi" w:hAnsiTheme="majorHAnsi"/>
        </w:rPr>
        <w:t xml:space="preserve"> </w:t>
      </w:r>
    </w:p>
    <w:p w14:paraId="181D4487" w14:textId="387AC738" w:rsidR="00975670" w:rsidRPr="0087469C" w:rsidRDefault="006535C5">
      <w:pPr>
        <w:numPr>
          <w:ilvl w:val="0"/>
          <w:numId w:val="1"/>
        </w:numPr>
        <w:spacing w:after="1" w:line="263" w:lineRule="auto"/>
        <w:ind w:hanging="360"/>
        <w:rPr>
          <w:rFonts w:asciiTheme="majorHAnsi" w:hAnsiTheme="majorHAnsi"/>
        </w:rPr>
      </w:pPr>
      <w:r w:rsidRPr="0087469C">
        <w:rPr>
          <w:rFonts w:asciiTheme="majorHAnsi" w:hAnsiTheme="majorHAnsi"/>
        </w:rPr>
        <w:t xml:space="preserve">On utilise à présent un précurseur </w:t>
      </w:r>
      <w:proofErr w:type="gramStart"/>
      <w:r w:rsidRPr="0087469C">
        <w:rPr>
          <w:rFonts w:asciiTheme="majorHAnsi" w:hAnsiTheme="majorHAnsi"/>
        </w:rPr>
        <w:t>( molécule</w:t>
      </w:r>
      <w:proofErr w:type="gramEnd"/>
      <w:r w:rsidRPr="0087469C">
        <w:rPr>
          <w:rFonts w:asciiTheme="majorHAnsi" w:hAnsiTheme="majorHAnsi"/>
        </w:rPr>
        <w:t xml:space="preserve"> qui sert çà la synthèse) de l’ARN, l’Uracile, marqué par un atome radioactif le </w:t>
      </w:r>
      <w:r w:rsidRPr="0087469C">
        <w:rPr>
          <w:rFonts w:asciiTheme="majorHAnsi" w:hAnsiTheme="majorHAnsi"/>
          <w:vertAlign w:val="superscript"/>
        </w:rPr>
        <w:t>14</w:t>
      </w:r>
      <w:r w:rsidRPr="0087469C">
        <w:rPr>
          <w:rFonts w:asciiTheme="majorHAnsi" w:hAnsiTheme="majorHAnsi"/>
        </w:rPr>
        <w:t xml:space="preserve">C. On incube des cellules avec ce composé radioactif </w:t>
      </w:r>
      <w:proofErr w:type="gramStart"/>
      <w:r w:rsidRPr="0087469C">
        <w:rPr>
          <w:rFonts w:asciiTheme="majorHAnsi" w:hAnsiTheme="majorHAnsi"/>
        </w:rPr>
        <w:t>( milieu</w:t>
      </w:r>
      <w:proofErr w:type="gramEnd"/>
      <w:r w:rsidRPr="0087469C">
        <w:rPr>
          <w:rFonts w:asciiTheme="majorHAnsi" w:hAnsiTheme="majorHAnsi"/>
        </w:rPr>
        <w:t xml:space="preserve"> dit « chaud »), puis on les replace dans un milieu « froid » </w:t>
      </w:r>
      <w:proofErr w:type="gramStart"/>
      <w:r w:rsidRPr="0087469C">
        <w:rPr>
          <w:rFonts w:asciiTheme="majorHAnsi" w:hAnsiTheme="majorHAnsi"/>
        </w:rPr>
        <w:t>( sans</w:t>
      </w:r>
      <w:proofErr w:type="gramEnd"/>
      <w:r w:rsidRPr="0087469C">
        <w:rPr>
          <w:rFonts w:asciiTheme="majorHAnsi" w:hAnsiTheme="majorHAnsi"/>
        </w:rPr>
        <w:t xml:space="preserve"> source de radioactivité). Après 5, puis 15 minutes dans ce dernier milieu, on prélève quelques cellules et on pratique une autoradiographie </w:t>
      </w:r>
      <w:proofErr w:type="gramStart"/>
      <w:r w:rsidRPr="0087469C">
        <w:rPr>
          <w:rFonts w:asciiTheme="majorHAnsi" w:hAnsiTheme="majorHAnsi"/>
        </w:rPr>
        <w:t>( technique</w:t>
      </w:r>
      <w:proofErr w:type="gramEnd"/>
      <w:r w:rsidRPr="0087469C">
        <w:rPr>
          <w:rFonts w:asciiTheme="majorHAnsi" w:hAnsiTheme="majorHAnsi"/>
        </w:rPr>
        <w:t xml:space="preserve"> qui permet de localiser la localisation, par apparition de grains d’argent) </w:t>
      </w:r>
    </w:p>
    <w:p w14:paraId="35DA9CD3" w14:textId="593993F9" w:rsidR="00975670" w:rsidRPr="0087469C" w:rsidRDefault="0087469C">
      <w:pPr>
        <w:spacing w:after="15"/>
        <w:ind w:left="720" w:right="254"/>
        <w:rPr>
          <w:rFonts w:asciiTheme="majorHAnsi" w:hAnsiTheme="majorHAnsi"/>
        </w:rPr>
      </w:pPr>
      <w:r w:rsidRPr="0087469C">
        <w:rPr>
          <w:rFonts w:asciiTheme="majorHAnsi" w:hAnsiTheme="majorHAnsi"/>
          <w:noProof/>
        </w:rPr>
        <w:drawing>
          <wp:anchor distT="0" distB="0" distL="114300" distR="114300" simplePos="0" relativeHeight="251659264" behindDoc="0" locked="0" layoutInCell="1" allowOverlap="0" wp14:anchorId="64477A7A" wp14:editId="51223A24">
            <wp:simplePos x="0" y="0"/>
            <wp:positionH relativeFrom="column">
              <wp:posOffset>3052435</wp:posOffset>
            </wp:positionH>
            <wp:positionV relativeFrom="paragraph">
              <wp:posOffset>14520</wp:posOffset>
            </wp:positionV>
            <wp:extent cx="3725545" cy="3357245"/>
            <wp:effectExtent l="0" t="0" r="8255" b="0"/>
            <wp:wrapSquare wrapText="bothSides"/>
            <wp:docPr id="143" name="Picture 1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Picture 14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25545" cy="3357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35C5" w:rsidRPr="0087469C">
        <w:rPr>
          <w:rFonts w:asciiTheme="majorHAnsi" w:hAnsiTheme="majorHAnsi"/>
          <w:sz w:val="20"/>
        </w:rPr>
        <w:t xml:space="preserve"> </w:t>
      </w:r>
    </w:p>
    <w:p w14:paraId="1EBF23D2" w14:textId="10EE8F20" w:rsidR="00975670" w:rsidRPr="0087469C" w:rsidRDefault="006535C5">
      <w:pPr>
        <w:tabs>
          <w:tab w:val="center" w:pos="720"/>
          <w:tab w:val="center" w:pos="1416"/>
          <w:tab w:val="center" w:pos="3711"/>
        </w:tabs>
        <w:spacing w:after="1"/>
        <w:rPr>
          <w:rFonts w:asciiTheme="majorHAnsi" w:hAnsiTheme="majorHAnsi"/>
        </w:rPr>
      </w:pPr>
      <w:r w:rsidRPr="0087469C">
        <w:rPr>
          <w:rFonts w:asciiTheme="majorHAnsi" w:hAnsiTheme="majorHAnsi"/>
        </w:rPr>
        <w:tab/>
      </w:r>
      <w:r w:rsidRPr="0087469C">
        <w:rPr>
          <w:rFonts w:asciiTheme="majorHAnsi" w:hAnsiTheme="majorHAnsi"/>
          <w:sz w:val="20"/>
        </w:rPr>
        <w:t xml:space="preserve"> </w:t>
      </w:r>
      <w:r w:rsidRPr="0087469C">
        <w:rPr>
          <w:rFonts w:asciiTheme="majorHAnsi" w:hAnsiTheme="majorHAnsi"/>
          <w:sz w:val="20"/>
        </w:rPr>
        <w:tab/>
      </w:r>
      <w:r w:rsidRPr="0087469C">
        <w:rPr>
          <w:rFonts w:asciiTheme="majorHAnsi" w:hAnsiTheme="majorHAnsi"/>
          <w:sz w:val="20"/>
        </w:rPr>
        <w:tab/>
      </w:r>
      <w:r w:rsidRPr="0087469C">
        <w:rPr>
          <w:rFonts w:asciiTheme="majorHAnsi" w:hAnsiTheme="majorHAnsi"/>
          <w:i/>
          <w:sz w:val="20"/>
        </w:rPr>
        <w:t xml:space="preserve">Les résultats obtenus sont les suivants :  </w:t>
      </w:r>
    </w:p>
    <w:p w14:paraId="25CDE89C" w14:textId="77777777" w:rsidR="00975670" w:rsidRPr="0087469C" w:rsidRDefault="006535C5">
      <w:pPr>
        <w:spacing w:after="1"/>
        <w:ind w:left="720" w:right="254"/>
        <w:rPr>
          <w:rFonts w:asciiTheme="majorHAnsi" w:hAnsiTheme="majorHAnsi"/>
        </w:rPr>
      </w:pPr>
      <w:r w:rsidRPr="0087469C">
        <w:rPr>
          <w:rFonts w:asciiTheme="majorHAnsi" w:hAnsiTheme="majorHAnsi"/>
          <w:sz w:val="20"/>
        </w:rPr>
        <w:t xml:space="preserve"> </w:t>
      </w:r>
    </w:p>
    <w:p w14:paraId="676180C9" w14:textId="77777777" w:rsidR="00975670" w:rsidRPr="0087469C" w:rsidRDefault="006535C5">
      <w:pPr>
        <w:spacing w:after="1" w:line="263" w:lineRule="auto"/>
        <w:ind w:left="730" w:hanging="10"/>
        <w:rPr>
          <w:rFonts w:asciiTheme="majorHAnsi" w:hAnsiTheme="majorHAnsi"/>
          <w:i/>
          <w:iCs/>
        </w:rPr>
      </w:pPr>
      <w:r w:rsidRPr="0087469C">
        <w:rPr>
          <w:rFonts w:asciiTheme="majorHAnsi" w:hAnsiTheme="majorHAnsi"/>
          <w:i/>
          <w:iCs/>
          <w:sz w:val="20"/>
        </w:rPr>
        <w:t xml:space="preserve">On précise que la quantité totale de radioactivité par cellule est la même à 5 et 15 minutes. </w:t>
      </w:r>
    </w:p>
    <w:p w14:paraId="2296903D" w14:textId="77777777" w:rsidR="00975670" w:rsidRPr="0087469C" w:rsidRDefault="006535C5">
      <w:pPr>
        <w:spacing w:after="0"/>
        <w:ind w:left="720" w:right="254"/>
        <w:rPr>
          <w:rFonts w:asciiTheme="majorHAnsi" w:hAnsiTheme="majorHAnsi"/>
        </w:rPr>
      </w:pPr>
      <w:r w:rsidRPr="0087469C">
        <w:rPr>
          <w:rFonts w:asciiTheme="majorHAnsi" w:hAnsiTheme="majorHAnsi"/>
          <w:sz w:val="20"/>
        </w:rPr>
        <w:t xml:space="preserve"> </w:t>
      </w:r>
    </w:p>
    <w:p w14:paraId="0CE1DBA6" w14:textId="22BCA789" w:rsidR="0087469C" w:rsidRDefault="006535C5">
      <w:pPr>
        <w:spacing w:after="326" w:line="260" w:lineRule="auto"/>
        <w:ind w:left="730" w:right="254" w:hanging="10"/>
        <w:rPr>
          <w:rFonts w:asciiTheme="majorHAnsi" w:hAnsiTheme="majorHAnsi"/>
          <w:b/>
          <w:sz w:val="24"/>
          <w:szCs w:val="24"/>
        </w:rPr>
      </w:pPr>
      <w:r w:rsidRPr="0087469C">
        <w:rPr>
          <w:rFonts w:asciiTheme="majorHAnsi" w:hAnsiTheme="majorHAnsi"/>
          <w:b/>
          <w:sz w:val="24"/>
          <w:szCs w:val="24"/>
        </w:rPr>
        <w:t xml:space="preserve">Après avoir soigneusement analysé les documents, indiquez quels renseignements </w:t>
      </w:r>
      <w:r w:rsidR="00E30019" w:rsidRPr="0087469C">
        <w:rPr>
          <w:rFonts w:asciiTheme="majorHAnsi" w:hAnsiTheme="majorHAnsi"/>
          <w:b/>
          <w:sz w:val="24"/>
          <w:szCs w:val="24"/>
        </w:rPr>
        <w:t>supplémentaires apportent</w:t>
      </w:r>
      <w:r w:rsidR="0087469C">
        <w:rPr>
          <w:rFonts w:asciiTheme="majorHAnsi" w:hAnsiTheme="majorHAnsi"/>
          <w:b/>
          <w:sz w:val="24"/>
          <w:szCs w:val="24"/>
        </w:rPr>
        <w:t xml:space="preserve"> ces expériences.</w:t>
      </w:r>
    </w:p>
    <w:p w14:paraId="0528393F" w14:textId="0C0DEA4A" w:rsidR="00975670" w:rsidRPr="0087469C" w:rsidRDefault="006535C5">
      <w:pPr>
        <w:spacing w:after="326" w:line="260" w:lineRule="auto"/>
        <w:ind w:left="730" w:right="254" w:hanging="10"/>
        <w:rPr>
          <w:rFonts w:asciiTheme="majorHAnsi" w:hAnsiTheme="majorHAnsi"/>
          <w:sz w:val="24"/>
          <w:szCs w:val="24"/>
        </w:rPr>
      </w:pPr>
      <w:r w:rsidRPr="0087469C">
        <w:rPr>
          <w:rFonts w:asciiTheme="majorHAnsi" w:hAnsiTheme="majorHAnsi"/>
          <w:b/>
          <w:sz w:val="24"/>
          <w:szCs w:val="24"/>
        </w:rPr>
        <w:t xml:space="preserve">Ces expériences sont-elles en particulier en accord avec le fait que l’ARN puisse être un intermédiaire dans le phénomène de synthèse protéique ? </w:t>
      </w:r>
    </w:p>
    <w:p w14:paraId="6176AC99" w14:textId="77777777" w:rsidR="0087469C" w:rsidRDefault="006535C5">
      <w:pPr>
        <w:tabs>
          <w:tab w:val="center" w:pos="720"/>
          <w:tab w:val="center" w:pos="9432"/>
        </w:tabs>
        <w:spacing w:after="436"/>
        <w:rPr>
          <w:rFonts w:asciiTheme="majorHAnsi" w:hAnsiTheme="majorHAnsi"/>
        </w:rPr>
      </w:pPr>
      <w:r w:rsidRPr="0087469C">
        <w:rPr>
          <w:rFonts w:asciiTheme="majorHAnsi" w:hAnsiTheme="majorHAnsi"/>
        </w:rPr>
        <w:tab/>
        <w:t xml:space="preserve"> </w:t>
      </w:r>
      <w:r w:rsidRPr="0087469C">
        <w:rPr>
          <w:rFonts w:asciiTheme="majorHAnsi" w:hAnsiTheme="majorHAnsi"/>
        </w:rPr>
        <w:tab/>
      </w:r>
    </w:p>
    <w:p w14:paraId="7BF549F0" w14:textId="178EB634" w:rsidR="00975670" w:rsidRPr="0087469C" w:rsidRDefault="0087469C" w:rsidP="00E30019">
      <w:pPr>
        <w:tabs>
          <w:tab w:val="center" w:pos="720"/>
          <w:tab w:val="center" w:pos="9432"/>
        </w:tabs>
        <w:spacing w:after="436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="00D32149">
        <w:rPr>
          <w:rFonts w:asciiTheme="majorHAnsi" w:hAnsiTheme="majorHAnsi"/>
        </w:rPr>
        <w:tab/>
      </w:r>
      <w:r w:rsidR="00D32149">
        <w:rPr>
          <w:rFonts w:asciiTheme="majorHAnsi" w:hAnsiTheme="majorHAnsi"/>
        </w:rPr>
        <w:tab/>
      </w:r>
      <w:r w:rsidR="006535C5" w:rsidRPr="0087469C">
        <w:rPr>
          <w:rFonts w:asciiTheme="majorHAnsi" w:hAnsiTheme="majorHAnsi"/>
          <w:sz w:val="16"/>
          <w:szCs w:val="16"/>
        </w:rPr>
        <w:t xml:space="preserve">Marquage de l’ARN par un élément radioactif </w:t>
      </w:r>
    </w:p>
    <w:sectPr w:rsidR="00975670" w:rsidRPr="0087469C">
      <w:pgSz w:w="11906" w:h="16838"/>
      <w:pgMar w:top="325" w:right="464" w:bottom="224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CA5153"/>
    <w:multiLevelType w:val="hybridMultilevel"/>
    <w:tmpl w:val="4E3CA398"/>
    <w:lvl w:ilvl="0" w:tplc="741259C0">
      <w:start w:val="1"/>
      <w:numFmt w:val="decimal"/>
      <w:lvlText w:val="%1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7B493E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8AEBF7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750925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E8090F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E146FB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6127C3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FB6C5CC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A6C16B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3EC7F6E"/>
    <w:multiLevelType w:val="hybridMultilevel"/>
    <w:tmpl w:val="DA4ACF32"/>
    <w:lvl w:ilvl="0" w:tplc="3648EE2A">
      <w:start w:val="1"/>
      <w:numFmt w:val="decimal"/>
      <w:lvlText w:val="%1-"/>
      <w:lvlJc w:val="left"/>
      <w:pPr>
        <w:ind w:left="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200C65E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01CE036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F766192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10382E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6FA12AA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51CA1E4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8A0A5F0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D528016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94743245">
    <w:abstractNumId w:val="0"/>
  </w:num>
  <w:num w:numId="2" w16cid:durableId="1749690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670"/>
    <w:rsid w:val="002D5380"/>
    <w:rsid w:val="003C2335"/>
    <w:rsid w:val="00584047"/>
    <w:rsid w:val="006535C5"/>
    <w:rsid w:val="0087469C"/>
    <w:rsid w:val="00975670"/>
    <w:rsid w:val="00D32149"/>
    <w:rsid w:val="00D4638F"/>
    <w:rsid w:val="00E3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B7F3B"/>
  <w15:docId w15:val="{0E604436-9AA2-43F4-9468-D856A3812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jph</dc:creator>
  <cp:keywords/>
  <cp:lastModifiedBy>jp HNN</cp:lastModifiedBy>
  <cp:revision>2</cp:revision>
  <cp:lastPrinted>2020-10-03T15:01:00Z</cp:lastPrinted>
  <dcterms:created xsi:type="dcterms:W3CDTF">2026-09-17T08:51:00Z</dcterms:created>
  <dcterms:modified xsi:type="dcterms:W3CDTF">2026-09-17T08:51:00Z</dcterms:modified>
</cp:coreProperties>
</file>