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F1EE" w14:textId="77777777" w:rsidR="007E25F3" w:rsidRDefault="0047504F">
      <w:pPr>
        <w:pBdr>
          <w:top w:val="single" w:sz="4" w:space="0" w:color="000000"/>
          <w:left w:val="single" w:sz="4" w:space="0" w:color="000000"/>
          <w:bottom w:val="single" w:sz="4" w:space="0" w:color="000000"/>
          <w:right w:val="single" w:sz="4" w:space="0" w:color="000000"/>
        </w:pBdr>
        <w:spacing w:after="29" w:line="259" w:lineRule="auto"/>
        <w:ind w:left="427" w:right="0" w:firstLine="0"/>
        <w:jc w:val="center"/>
      </w:pPr>
      <w:r>
        <w:rPr>
          <w:b/>
          <w:sz w:val="24"/>
        </w:rPr>
        <w:t xml:space="preserve">Sensibilité au PTC : du phénotype au génotype </w:t>
      </w:r>
    </w:p>
    <w:p w14:paraId="1DE13199" w14:textId="77777777" w:rsidR="007E25F3" w:rsidRDefault="0047504F">
      <w:pPr>
        <w:spacing w:after="0" w:line="259" w:lineRule="auto"/>
        <w:ind w:left="566" w:right="0" w:firstLine="0"/>
        <w:jc w:val="left"/>
      </w:pPr>
      <w:r>
        <w:t xml:space="preserve"> </w:t>
      </w:r>
    </w:p>
    <w:p w14:paraId="07504236" w14:textId="1A8DFD79" w:rsidR="007E25F3" w:rsidRDefault="007E25F3">
      <w:pPr>
        <w:spacing w:after="0" w:line="259" w:lineRule="auto"/>
        <w:ind w:left="566" w:right="0" w:firstLine="0"/>
        <w:jc w:val="left"/>
      </w:pPr>
    </w:p>
    <w:p w14:paraId="43F40199" w14:textId="40223B7B" w:rsidR="007E25F3" w:rsidRDefault="0047504F" w:rsidP="0047504F">
      <w:pPr>
        <w:ind w:left="567" w:right="125" w:hanging="16"/>
      </w:pPr>
      <w:r>
        <w:rPr>
          <w:u w:val="single" w:color="000000"/>
        </w:rPr>
        <w:t>Objectifs de connaissances</w:t>
      </w:r>
      <w:r>
        <w:t xml:space="preserve"> : L’ensemble des protéines qui se trouvent dans une cellule (phénotype </w:t>
      </w:r>
      <w:proofErr w:type="gramStart"/>
      <w:r>
        <w:t xml:space="preserve">moléculaire)   </w:t>
      </w:r>
      <w:proofErr w:type="gramEnd"/>
      <w:r>
        <w:t xml:space="preserve">dépend du phénotype cellulaire, lui-même induit par le phénotype moléculaire. </w:t>
      </w:r>
    </w:p>
    <w:p w14:paraId="02DFEF14" w14:textId="200FD5E9" w:rsidR="007E25F3" w:rsidRDefault="00442CC6" w:rsidP="00442CC6">
      <w:pPr>
        <w:spacing w:after="0" w:line="259" w:lineRule="auto"/>
        <w:ind w:left="0" w:right="187" w:firstLine="0"/>
        <w:jc w:val="left"/>
      </w:pPr>
      <w:r>
        <w:rPr>
          <w:noProof/>
        </w:rPr>
        <w:drawing>
          <wp:anchor distT="0" distB="0" distL="114300" distR="114300" simplePos="0" relativeHeight="251658240" behindDoc="1" locked="0" layoutInCell="1" allowOverlap="0" wp14:anchorId="06CE76F6" wp14:editId="3488D23F">
            <wp:simplePos x="0" y="0"/>
            <wp:positionH relativeFrom="margin">
              <wp:posOffset>6005830</wp:posOffset>
            </wp:positionH>
            <wp:positionV relativeFrom="paragraph">
              <wp:posOffset>6985</wp:posOffset>
            </wp:positionV>
            <wp:extent cx="1285875" cy="1162050"/>
            <wp:effectExtent l="0" t="0" r="9525" b="0"/>
            <wp:wrapTight wrapText="bothSides">
              <wp:wrapPolygon edited="0">
                <wp:start x="0" y="0"/>
                <wp:lineTo x="0" y="21246"/>
                <wp:lineTo x="21440" y="21246"/>
                <wp:lineTo x="21440" y="0"/>
                <wp:lineTo x="0" y="0"/>
              </wp:wrapPolygon>
            </wp:wrapTight>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7"/>
                    <a:stretch>
                      <a:fillRect/>
                    </a:stretch>
                  </pic:blipFill>
                  <pic:spPr>
                    <a:xfrm>
                      <a:off x="0" y="0"/>
                      <a:ext cx="1285875" cy="1162050"/>
                    </a:xfrm>
                    <a:prstGeom prst="rect">
                      <a:avLst/>
                    </a:prstGeom>
                  </pic:spPr>
                </pic:pic>
              </a:graphicData>
            </a:graphic>
            <wp14:sizeRelH relativeFrom="margin">
              <wp14:pctWidth>0</wp14:pctWidth>
            </wp14:sizeRelH>
            <wp14:sizeRelV relativeFrom="margin">
              <wp14:pctHeight>0</wp14:pctHeight>
            </wp14:sizeRelV>
          </wp:anchor>
        </w:drawing>
      </w:r>
      <w:r w:rsidR="0047504F">
        <w:t xml:space="preserve">  </w:t>
      </w:r>
    </w:p>
    <w:p w14:paraId="0F9FE74D" w14:textId="26CC2D1C" w:rsidR="00442CC6" w:rsidRDefault="0047504F" w:rsidP="00442CC6">
      <w:pPr>
        <w:ind w:left="561" w:right="125"/>
      </w:pPr>
      <w:r>
        <w:t xml:space="preserve">En 1931 le chimiste Arthur L. Fox découvre que la molécule sur laquelle il travaille, le </w:t>
      </w:r>
      <w:proofErr w:type="spellStart"/>
      <w:r>
        <w:rPr>
          <w:b/>
        </w:rPr>
        <w:t>PhénylThioCarbamide</w:t>
      </w:r>
      <w:proofErr w:type="spellEnd"/>
      <w:r>
        <w:t xml:space="preserve"> (</w:t>
      </w:r>
      <w:r>
        <w:rPr>
          <w:b/>
        </w:rPr>
        <w:t>PTC</w:t>
      </w:r>
      <w:r>
        <w:t>), a un goût très amer pour certaines personnes, aucun goût pour d’autres, dont lui-même. A partir de cette observation, de très nombreuses études sont menées. Environ 75 % de la population mondiale est sensible, et 25 % non</w:t>
      </w:r>
      <w:r w:rsidR="00442CC6">
        <w:t>-</w:t>
      </w:r>
      <w:r>
        <w:t xml:space="preserve">sensible. Mais la sensibilité des populations est très inégalement </w:t>
      </w:r>
      <w:r w:rsidR="00442CC6">
        <w:t xml:space="preserve">répartie selon les continents : </w:t>
      </w:r>
    </w:p>
    <w:p w14:paraId="29A8A60C" w14:textId="047935B7" w:rsidR="007E25F3" w:rsidRDefault="007E25F3" w:rsidP="00442CC6">
      <w:pPr>
        <w:ind w:left="561" w:right="125"/>
      </w:pPr>
    </w:p>
    <w:p w14:paraId="294EB063" w14:textId="77777777" w:rsidR="007E25F3" w:rsidRDefault="0047504F">
      <w:pPr>
        <w:spacing w:after="0" w:line="259" w:lineRule="auto"/>
        <w:ind w:left="0" w:right="91" w:firstLine="0"/>
        <w:jc w:val="right"/>
      </w:pPr>
      <w:r>
        <w:rPr>
          <w:noProof/>
        </w:rPr>
        <w:drawing>
          <wp:inline distT="0" distB="0" distL="0" distR="0" wp14:anchorId="2967C7E1" wp14:editId="0D6BD6E3">
            <wp:extent cx="5760720" cy="3305556"/>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8"/>
                    <a:stretch>
                      <a:fillRect/>
                    </a:stretch>
                  </pic:blipFill>
                  <pic:spPr>
                    <a:xfrm>
                      <a:off x="0" y="0"/>
                      <a:ext cx="5760720" cy="3305556"/>
                    </a:xfrm>
                    <a:prstGeom prst="rect">
                      <a:avLst/>
                    </a:prstGeom>
                  </pic:spPr>
                </pic:pic>
              </a:graphicData>
            </a:graphic>
          </wp:inline>
        </w:drawing>
      </w:r>
      <w:r>
        <w:t xml:space="preserve"> </w:t>
      </w:r>
    </w:p>
    <w:p w14:paraId="4AD19FBB" w14:textId="77777777" w:rsidR="007E25F3" w:rsidRDefault="0047504F">
      <w:pPr>
        <w:spacing w:after="0" w:line="259" w:lineRule="auto"/>
        <w:ind w:left="2184" w:right="0"/>
        <w:jc w:val="left"/>
      </w:pPr>
      <w:r>
        <w:rPr>
          <w:u w:val="single" w:color="000000"/>
        </w:rPr>
        <w:t>Carte mondiale de la sensibilité des populations humaines au PTC</w:t>
      </w:r>
      <w:r>
        <w:t xml:space="preserve"> </w:t>
      </w:r>
    </w:p>
    <w:p w14:paraId="66E993A3" w14:textId="77777777" w:rsidR="007E25F3" w:rsidRDefault="0047504F">
      <w:pPr>
        <w:spacing w:after="0" w:line="259" w:lineRule="auto"/>
        <w:ind w:left="566" w:right="0" w:firstLine="0"/>
        <w:jc w:val="left"/>
      </w:pPr>
      <w:r>
        <w:t xml:space="preserve"> </w:t>
      </w:r>
    </w:p>
    <w:p w14:paraId="29D1B1BA" w14:textId="682991E5" w:rsidR="007E25F3" w:rsidRDefault="00442CC6">
      <w:pPr>
        <w:ind w:left="561" w:right="125"/>
      </w:pPr>
      <w:r>
        <w:tab/>
      </w:r>
      <w:r>
        <w:tab/>
      </w:r>
      <w:r>
        <w:tab/>
      </w:r>
      <w:r w:rsidR="0047504F">
        <w:t xml:space="preserve">Il est assez rapidement établi que la sensibilité au PTC dépend d’un gène à 2 allèles : un allèle dominant, qui confère la sensibilité, et un allèle récessif, associé au phénotype d’insensibilité. </w:t>
      </w:r>
    </w:p>
    <w:p w14:paraId="6C9BFA6B" w14:textId="3E00735F" w:rsidR="007E25F3" w:rsidRDefault="00442CC6">
      <w:pPr>
        <w:ind w:left="561" w:right="125"/>
      </w:pPr>
      <w:r>
        <w:tab/>
      </w:r>
      <w:r>
        <w:tab/>
      </w:r>
      <w:r>
        <w:tab/>
      </w:r>
      <w:r w:rsidR="0047504F">
        <w:t>En 2003 le gène du récepteur au PTC est cloné. Nommé TAS2R38 il est localisé sur le chromosome 7</w:t>
      </w:r>
      <w:r>
        <w:t xml:space="preserve"> et</w:t>
      </w:r>
      <w:r w:rsidR="0047504F">
        <w:t xml:space="preserve"> code pour un récepteur membranaire. Ces gènes sont portés par les cellules sensorielles des bourgeons du goût situés sur les papilles linguales. Ils sont impliqués dans la détection des substances amères, de la famille des </w:t>
      </w:r>
      <w:proofErr w:type="spellStart"/>
      <w:r w:rsidR="0047504F">
        <w:t>glucosinolates</w:t>
      </w:r>
      <w:proofErr w:type="spellEnd"/>
      <w:r w:rsidR="0047504F">
        <w:t xml:space="preserve">, en particulier celles contenues dans les Brassicacées. </w:t>
      </w:r>
    </w:p>
    <w:p w14:paraId="36E2D082" w14:textId="77777777" w:rsidR="007E25F3" w:rsidRDefault="0047504F">
      <w:pPr>
        <w:ind w:left="561" w:right="125"/>
      </w:pPr>
      <w:r>
        <w:t xml:space="preserve">Trois variants ponctuels de l’ADN (=SNP, Single </w:t>
      </w:r>
      <w:proofErr w:type="spellStart"/>
      <w:r>
        <w:t>Nucleotide</w:t>
      </w:r>
      <w:proofErr w:type="spellEnd"/>
      <w:r>
        <w:t xml:space="preserve"> </w:t>
      </w:r>
      <w:proofErr w:type="spellStart"/>
      <w:r>
        <w:t>Polymorphism</w:t>
      </w:r>
      <w:proofErr w:type="spellEnd"/>
      <w:r>
        <w:t xml:space="preserve">) ont été identifiés dans ce gène, correspondant à l’existence de 5 allèles différents. Parmi ces allèles, 2 sont très largement majoritaires dans la population :  </w:t>
      </w:r>
    </w:p>
    <w:p w14:paraId="3665EBF6" w14:textId="77777777" w:rsidR="007E25F3" w:rsidRDefault="0047504F">
      <w:pPr>
        <w:spacing w:after="0" w:line="259" w:lineRule="auto"/>
        <w:ind w:left="566" w:right="0" w:firstLine="0"/>
        <w:jc w:val="left"/>
      </w:pPr>
      <w:r>
        <w:t xml:space="preserve"> </w:t>
      </w:r>
    </w:p>
    <w:tbl>
      <w:tblPr>
        <w:tblStyle w:val="TableGrid"/>
        <w:tblW w:w="9000" w:type="dxa"/>
        <w:tblInd w:w="602" w:type="dxa"/>
        <w:tblCellMar>
          <w:top w:w="52" w:type="dxa"/>
          <w:left w:w="110" w:type="dxa"/>
          <w:right w:w="66" w:type="dxa"/>
        </w:tblCellMar>
        <w:tblLook w:val="04A0" w:firstRow="1" w:lastRow="0" w:firstColumn="1" w:lastColumn="0" w:noHBand="0" w:noVBand="1"/>
      </w:tblPr>
      <w:tblGrid>
        <w:gridCol w:w="1133"/>
        <w:gridCol w:w="2623"/>
        <w:gridCol w:w="2623"/>
        <w:gridCol w:w="2621"/>
      </w:tblGrid>
      <w:tr w:rsidR="007E25F3" w14:paraId="5918046C" w14:textId="77777777">
        <w:trPr>
          <w:trHeight w:val="499"/>
        </w:trPr>
        <w:tc>
          <w:tcPr>
            <w:tcW w:w="1133" w:type="dxa"/>
            <w:tcBorders>
              <w:top w:val="single" w:sz="4" w:space="0" w:color="000000"/>
              <w:left w:val="single" w:sz="4" w:space="0" w:color="000000"/>
              <w:bottom w:val="single" w:sz="4" w:space="0" w:color="000000"/>
              <w:right w:val="single" w:sz="4" w:space="0" w:color="000000"/>
            </w:tcBorders>
          </w:tcPr>
          <w:p w14:paraId="7F1A02F2" w14:textId="77777777" w:rsidR="007E25F3" w:rsidRDefault="0047504F">
            <w:pPr>
              <w:spacing w:after="0" w:line="259" w:lineRule="auto"/>
              <w:ind w:left="0" w:right="0" w:firstLine="0"/>
              <w:jc w:val="center"/>
            </w:pPr>
            <w:r>
              <w:rPr>
                <w:sz w:val="20"/>
              </w:rPr>
              <w:t xml:space="preserve">Position du nucléotide </w:t>
            </w:r>
          </w:p>
        </w:tc>
        <w:tc>
          <w:tcPr>
            <w:tcW w:w="2623" w:type="dxa"/>
            <w:tcBorders>
              <w:top w:val="single" w:sz="4" w:space="0" w:color="000000"/>
              <w:left w:val="single" w:sz="4" w:space="0" w:color="000000"/>
              <w:bottom w:val="single" w:sz="4" w:space="0" w:color="000000"/>
              <w:right w:val="single" w:sz="4" w:space="0" w:color="000000"/>
            </w:tcBorders>
          </w:tcPr>
          <w:p w14:paraId="23F0022A" w14:textId="77777777" w:rsidR="007E25F3" w:rsidRDefault="0047504F">
            <w:pPr>
              <w:spacing w:after="0" w:line="259" w:lineRule="auto"/>
              <w:ind w:left="0" w:right="45" w:firstLine="0"/>
              <w:jc w:val="center"/>
            </w:pPr>
            <w:r>
              <w:rPr>
                <w:sz w:val="20"/>
              </w:rPr>
              <w:t xml:space="preserve">Changement de </w:t>
            </w:r>
            <w:r>
              <w:rPr>
                <w:b/>
                <w:sz w:val="20"/>
              </w:rPr>
              <w:t xml:space="preserve">nucléotide </w:t>
            </w:r>
          </w:p>
          <w:p w14:paraId="498FCFA9" w14:textId="77777777" w:rsidR="007E25F3" w:rsidRDefault="0047504F">
            <w:pPr>
              <w:spacing w:after="0" w:line="259" w:lineRule="auto"/>
              <w:ind w:left="0" w:right="47" w:firstLine="0"/>
              <w:jc w:val="center"/>
            </w:pPr>
            <w:r>
              <w:rPr>
                <w:sz w:val="20"/>
              </w:rPr>
              <w:t xml:space="preserve">(Sensible -&gt; Non Sensible) </w:t>
            </w:r>
          </w:p>
        </w:tc>
        <w:tc>
          <w:tcPr>
            <w:tcW w:w="2623" w:type="dxa"/>
            <w:tcBorders>
              <w:top w:val="single" w:sz="4" w:space="0" w:color="000000"/>
              <w:left w:val="single" w:sz="4" w:space="0" w:color="000000"/>
              <w:bottom w:val="single" w:sz="4" w:space="0" w:color="000000"/>
              <w:right w:val="single" w:sz="4" w:space="0" w:color="000000"/>
            </w:tcBorders>
          </w:tcPr>
          <w:p w14:paraId="2D1E6E65" w14:textId="77777777" w:rsidR="007E25F3" w:rsidRDefault="0047504F">
            <w:pPr>
              <w:spacing w:after="0" w:line="259" w:lineRule="auto"/>
              <w:ind w:left="0" w:right="48" w:firstLine="0"/>
              <w:jc w:val="center"/>
            </w:pPr>
            <w:r>
              <w:rPr>
                <w:sz w:val="20"/>
              </w:rPr>
              <w:t xml:space="preserve">Changement de </w:t>
            </w:r>
            <w:r>
              <w:rPr>
                <w:b/>
                <w:sz w:val="20"/>
              </w:rPr>
              <w:t>codon</w:t>
            </w:r>
            <w:r>
              <w:rPr>
                <w:sz w:val="20"/>
              </w:rPr>
              <w:t xml:space="preserve"> </w:t>
            </w:r>
          </w:p>
          <w:p w14:paraId="037DF708" w14:textId="77777777" w:rsidR="007E25F3" w:rsidRDefault="0047504F">
            <w:pPr>
              <w:spacing w:after="0" w:line="259" w:lineRule="auto"/>
              <w:ind w:left="0" w:right="47" w:firstLine="0"/>
              <w:jc w:val="center"/>
            </w:pPr>
            <w:r>
              <w:rPr>
                <w:sz w:val="20"/>
              </w:rPr>
              <w:t xml:space="preserve">(Sensible -&gt; Non Sensible) </w:t>
            </w:r>
          </w:p>
        </w:tc>
        <w:tc>
          <w:tcPr>
            <w:tcW w:w="2621" w:type="dxa"/>
            <w:tcBorders>
              <w:top w:val="single" w:sz="4" w:space="0" w:color="000000"/>
              <w:left w:val="single" w:sz="4" w:space="0" w:color="000000"/>
              <w:bottom w:val="single" w:sz="4" w:space="0" w:color="000000"/>
              <w:right w:val="single" w:sz="4" w:space="0" w:color="000000"/>
            </w:tcBorders>
          </w:tcPr>
          <w:p w14:paraId="127A9552" w14:textId="77777777" w:rsidR="007E25F3" w:rsidRDefault="0047504F">
            <w:pPr>
              <w:spacing w:after="0" w:line="259" w:lineRule="auto"/>
              <w:ind w:left="0" w:right="45" w:firstLine="0"/>
              <w:jc w:val="center"/>
            </w:pPr>
            <w:r>
              <w:rPr>
                <w:sz w:val="20"/>
              </w:rPr>
              <w:t>Changement d’</w:t>
            </w:r>
            <w:r>
              <w:rPr>
                <w:b/>
                <w:sz w:val="20"/>
              </w:rPr>
              <w:t>acide aminé</w:t>
            </w:r>
            <w:r>
              <w:rPr>
                <w:sz w:val="20"/>
              </w:rPr>
              <w:t xml:space="preserve"> </w:t>
            </w:r>
          </w:p>
          <w:p w14:paraId="03BF3319" w14:textId="77777777" w:rsidR="007E25F3" w:rsidRDefault="0047504F">
            <w:pPr>
              <w:spacing w:after="0" w:line="259" w:lineRule="auto"/>
              <w:ind w:left="0" w:right="45" w:firstLine="0"/>
              <w:jc w:val="center"/>
            </w:pPr>
            <w:r>
              <w:rPr>
                <w:sz w:val="20"/>
              </w:rPr>
              <w:t xml:space="preserve">(Sensible -&gt; Non Sensible) </w:t>
            </w:r>
          </w:p>
        </w:tc>
      </w:tr>
      <w:tr w:rsidR="007E25F3" w14:paraId="63F3C7B2" w14:textId="77777777">
        <w:trPr>
          <w:trHeight w:val="278"/>
        </w:trPr>
        <w:tc>
          <w:tcPr>
            <w:tcW w:w="1133" w:type="dxa"/>
            <w:tcBorders>
              <w:top w:val="single" w:sz="4" w:space="0" w:color="000000"/>
              <w:left w:val="single" w:sz="4" w:space="0" w:color="000000"/>
              <w:bottom w:val="single" w:sz="4" w:space="0" w:color="000000"/>
              <w:right w:val="single" w:sz="4" w:space="0" w:color="000000"/>
            </w:tcBorders>
          </w:tcPr>
          <w:p w14:paraId="096E81DF" w14:textId="77777777" w:rsidR="007E25F3" w:rsidRDefault="0047504F">
            <w:pPr>
              <w:spacing w:after="0" w:line="259" w:lineRule="auto"/>
              <w:ind w:left="0" w:right="45" w:firstLine="0"/>
              <w:jc w:val="center"/>
            </w:pPr>
            <w:r>
              <w:t xml:space="preserve">145 </w:t>
            </w:r>
          </w:p>
        </w:tc>
        <w:tc>
          <w:tcPr>
            <w:tcW w:w="2623" w:type="dxa"/>
            <w:tcBorders>
              <w:top w:val="single" w:sz="4" w:space="0" w:color="000000"/>
              <w:left w:val="single" w:sz="4" w:space="0" w:color="000000"/>
              <w:bottom w:val="single" w:sz="4" w:space="0" w:color="000000"/>
              <w:right w:val="single" w:sz="4" w:space="0" w:color="000000"/>
            </w:tcBorders>
          </w:tcPr>
          <w:p w14:paraId="6F790B4B" w14:textId="77777777" w:rsidR="007E25F3" w:rsidRDefault="0047504F">
            <w:pPr>
              <w:spacing w:after="0" w:line="259" w:lineRule="auto"/>
              <w:ind w:left="0" w:right="46" w:firstLine="0"/>
              <w:jc w:val="center"/>
            </w:pPr>
            <w:r>
              <w:rPr>
                <w:rFonts w:ascii="Courier New" w:eastAsia="Courier New" w:hAnsi="Courier New" w:cs="Courier New"/>
              </w:rPr>
              <w:t xml:space="preserve">C -&gt; G </w:t>
            </w:r>
          </w:p>
        </w:tc>
        <w:tc>
          <w:tcPr>
            <w:tcW w:w="2623" w:type="dxa"/>
            <w:tcBorders>
              <w:top w:val="single" w:sz="4" w:space="0" w:color="000000"/>
              <w:left w:val="single" w:sz="4" w:space="0" w:color="000000"/>
              <w:bottom w:val="single" w:sz="4" w:space="0" w:color="000000"/>
              <w:right w:val="single" w:sz="4" w:space="0" w:color="000000"/>
            </w:tcBorders>
          </w:tcPr>
          <w:p w14:paraId="11B340CC" w14:textId="77777777" w:rsidR="007E25F3" w:rsidRDefault="0047504F">
            <w:pPr>
              <w:spacing w:after="0" w:line="259" w:lineRule="auto"/>
              <w:ind w:left="0" w:right="46" w:firstLine="0"/>
              <w:jc w:val="center"/>
            </w:pPr>
            <w:r>
              <w:rPr>
                <w:rFonts w:ascii="Courier New" w:eastAsia="Courier New" w:hAnsi="Courier New" w:cs="Courier New"/>
              </w:rPr>
              <w:t xml:space="preserve">CCA -&gt; GCA </w:t>
            </w:r>
          </w:p>
        </w:tc>
        <w:tc>
          <w:tcPr>
            <w:tcW w:w="2621" w:type="dxa"/>
            <w:tcBorders>
              <w:top w:val="single" w:sz="4" w:space="0" w:color="000000"/>
              <w:left w:val="single" w:sz="4" w:space="0" w:color="000000"/>
              <w:bottom w:val="single" w:sz="4" w:space="0" w:color="000000"/>
              <w:right w:val="single" w:sz="4" w:space="0" w:color="000000"/>
            </w:tcBorders>
          </w:tcPr>
          <w:p w14:paraId="24C99206" w14:textId="77777777" w:rsidR="007E25F3" w:rsidRDefault="0047504F">
            <w:pPr>
              <w:spacing w:after="0" w:line="259" w:lineRule="auto"/>
              <w:ind w:left="0" w:right="43" w:firstLine="0"/>
              <w:jc w:val="center"/>
            </w:pPr>
            <w:r>
              <w:rPr>
                <w:b/>
              </w:rPr>
              <w:t>P</w:t>
            </w:r>
            <w:r>
              <w:t xml:space="preserve">roline -&gt; </w:t>
            </w:r>
            <w:r>
              <w:rPr>
                <w:b/>
              </w:rPr>
              <w:t>A</w:t>
            </w:r>
            <w:r>
              <w:t xml:space="preserve">lanine </w:t>
            </w:r>
          </w:p>
        </w:tc>
      </w:tr>
      <w:tr w:rsidR="007E25F3" w14:paraId="3E6D8D89" w14:textId="77777777">
        <w:trPr>
          <w:trHeight w:val="278"/>
        </w:trPr>
        <w:tc>
          <w:tcPr>
            <w:tcW w:w="1133" w:type="dxa"/>
            <w:tcBorders>
              <w:top w:val="single" w:sz="4" w:space="0" w:color="000000"/>
              <w:left w:val="single" w:sz="4" w:space="0" w:color="000000"/>
              <w:bottom w:val="single" w:sz="4" w:space="0" w:color="000000"/>
              <w:right w:val="single" w:sz="4" w:space="0" w:color="000000"/>
            </w:tcBorders>
          </w:tcPr>
          <w:p w14:paraId="1A40D780" w14:textId="77777777" w:rsidR="007E25F3" w:rsidRDefault="0047504F">
            <w:pPr>
              <w:spacing w:after="0" w:line="259" w:lineRule="auto"/>
              <w:ind w:left="0" w:right="45" w:firstLine="0"/>
              <w:jc w:val="center"/>
            </w:pPr>
            <w:r>
              <w:t xml:space="preserve">785 </w:t>
            </w:r>
          </w:p>
        </w:tc>
        <w:tc>
          <w:tcPr>
            <w:tcW w:w="2623" w:type="dxa"/>
            <w:tcBorders>
              <w:top w:val="single" w:sz="4" w:space="0" w:color="000000"/>
              <w:left w:val="single" w:sz="4" w:space="0" w:color="000000"/>
              <w:bottom w:val="single" w:sz="4" w:space="0" w:color="000000"/>
              <w:right w:val="single" w:sz="4" w:space="0" w:color="000000"/>
            </w:tcBorders>
          </w:tcPr>
          <w:p w14:paraId="44980930" w14:textId="77777777" w:rsidR="007E25F3" w:rsidRDefault="0047504F">
            <w:pPr>
              <w:spacing w:after="0" w:line="259" w:lineRule="auto"/>
              <w:ind w:left="0" w:right="46" w:firstLine="0"/>
              <w:jc w:val="center"/>
            </w:pPr>
            <w:r>
              <w:rPr>
                <w:rFonts w:ascii="Courier New" w:eastAsia="Courier New" w:hAnsi="Courier New" w:cs="Courier New"/>
              </w:rPr>
              <w:t xml:space="preserve">C -&gt; T </w:t>
            </w:r>
          </w:p>
        </w:tc>
        <w:tc>
          <w:tcPr>
            <w:tcW w:w="2623" w:type="dxa"/>
            <w:tcBorders>
              <w:top w:val="single" w:sz="4" w:space="0" w:color="000000"/>
              <w:left w:val="single" w:sz="4" w:space="0" w:color="000000"/>
              <w:bottom w:val="single" w:sz="4" w:space="0" w:color="000000"/>
              <w:right w:val="single" w:sz="4" w:space="0" w:color="000000"/>
            </w:tcBorders>
          </w:tcPr>
          <w:p w14:paraId="17A55F6A" w14:textId="77777777" w:rsidR="007E25F3" w:rsidRDefault="0047504F">
            <w:pPr>
              <w:spacing w:after="0" w:line="259" w:lineRule="auto"/>
              <w:ind w:left="0" w:right="46" w:firstLine="0"/>
              <w:jc w:val="center"/>
            </w:pPr>
            <w:r>
              <w:rPr>
                <w:rFonts w:ascii="Courier New" w:eastAsia="Courier New" w:hAnsi="Courier New" w:cs="Courier New"/>
              </w:rPr>
              <w:t xml:space="preserve">GCT -&gt; GTT </w:t>
            </w:r>
          </w:p>
        </w:tc>
        <w:tc>
          <w:tcPr>
            <w:tcW w:w="2621" w:type="dxa"/>
            <w:tcBorders>
              <w:top w:val="single" w:sz="4" w:space="0" w:color="000000"/>
              <w:left w:val="single" w:sz="4" w:space="0" w:color="000000"/>
              <w:bottom w:val="single" w:sz="4" w:space="0" w:color="000000"/>
              <w:right w:val="single" w:sz="4" w:space="0" w:color="000000"/>
            </w:tcBorders>
          </w:tcPr>
          <w:p w14:paraId="3E4A2B57" w14:textId="77777777" w:rsidR="007E25F3" w:rsidRDefault="0047504F">
            <w:pPr>
              <w:spacing w:after="0" w:line="259" w:lineRule="auto"/>
              <w:ind w:left="0" w:right="45" w:firstLine="0"/>
              <w:jc w:val="center"/>
            </w:pPr>
            <w:r>
              <w:rPr>
                <w:b/>
              </w:rPr>
              <w:t>A</w:t>
            </w:r>
            <w:r>
              <w:t xml:space="preserve">lanine -&gt; </w:t>
            </w:r>
            <w:r>
              <w:rPr>
                <w:b/>
              </w:rPr>
              <w:t>V</w:t>
            </w:r>
            <w:r>
              <w:t xml:space="preserve">aline </w:t>
            </w:r>
          </w:p>
        </w:tc>
      </w:tr>
      <w:tr w:rsidR="007E25F3" w14:paraId="0B242A2A" w14:textId="77777777">
        <w:trPr>
          <w:trHeight w:val="278"/>
        </w:trPr>
        <w:tc>
          <w:tcPr>
            <w:tcW w:w="1133" w:type="dxa"/>
            <w:tcBorders>
              <w:top w:val="single" w:sz="4" w:space="0" w:color="000000"/>
              <w:left w:val="single" w:sz="4" w:space="0" w:color="000000"/>
              <w:bottom w:val="single" w:sz="4" w:space="0" w:color="000000"/>
              <w:right w:val="single" w:sz="4" w:space="0" w:color="000000"/>
            </w:tcBorders>
          </w:tcPr>
          <w:p w14:paraId="0BDB8DF3" w14:textId="77777777" w:rsidR="007E25F3" w:rsidRDefault="0047504F">
            <w:pPr>
              <w:spacing w:after="0" w:line="259" w:lineRule="auto"/>
              <w:ind w:left="0" w:right="45" w:firstLine="0"/>
              <w:jc w:val="center"/>
            </w:pPr>
            <w:r>
              <w:t xml:space="preserve">886 </w:t>
            </w:r>
          </w:p>
        </w:tc>
        <w:tc>
          <w:tcPr>
            <w:tcW w:w="2623" w:type="dxa"/>
            <w:tcBorders>
              <w:top w:val="single" w:sz="4" w:space="0" w:color="000000"/>
              <w:left w:val="single" w:sz="4" w:space="0" w:color="000000"/>
              <w:bottom w:val="single" w:sz="4" w:space="0" w:color="000000"/>
              <w:right w:val="single" w:sz="4" w:space="0" w:color="000000"/>
            </w:tcBorders>
          </w:tcPr>
          <w:p w14:paraId="00E15A34" w14:textId="77777777" w:rsidR="007E25F3" w:rsidRDefault="0047504F">
            <w:pPr>
              <w:spacing w:after="0" w:line="259" w:lineRule="auto"/>
              <w:ind w:left="0" w:right="46" w:firstLine="0"/>
              <w:jc w:val="center"/>
            </w:pPr>
            <w:r>
              <w:rPr>
                <w:rFonts w:ascii="Courier New" w:eastAsia="Courier New" w:hAnsi="Courier New" w:cs="Courier New"/>
              </w:rPr>
              <w:t xml:space="preserve">G -&gt; A </w:t>
            </w:r>
          </w:p>
        </w:tc>
        <w:tc>
          <w:tcPr>
            <w:tcW w:w="2623" w:type="dxa"/>
            <w:tcBorders>
              <w:top w:val="single" w:sz="4" w:space="0" w:color="000000"/>
              <w:left w:val="single" w:sz="4" w:space="0" w:color="000000"/>
              <w:bottom w:val="single" w:sz="4" w:space="0" w:color="000000"/>
              <w:right w:val="single" w:sz="4" w:space="0" w:color="000000"/>
            </w:tcBorders>
          </w:tcPr>
          <w:p w14:paraId="604E35D6" w14:textId="77777777" w:rsidR="007E25F3" w:rsidRDefault="0047504F">
            <w:pPr>
              <w:spacing w:after="0" w:line="259" w:lineRule="auto"/>
              <w:ind w:left="0" w:right="46" w:firstLine="0"/>
              <w:jc w:val="center"/>
            </w:pPr>
            <w:r>
              <w:rPr>
                <w:rFonts w:ascii="Courier New" w:eastAsia="Courier New" w:hAnsi="Courier New" w:cs="Courier New"/>
              </w:rPr>
              <w:t xml:space="preserve">GTC -&gt; ATC </w:t>
            </w:r>
          </w:p>
        </w:tc>
        <w:tc>
          <w:tcPr>
            <w:tcW w:w="2621" w:type="dxa"/>
            <w:tcBorders>
              <w:top w:val="single" w:sz="4" w:space="0" w:color="000000"/>
              <w:left w:val="single" w:sz="4" w:space="0" w:color="000000"/>
              <w:bottom w:val="single" w:sz="4" w:space="0" w:color="000000"/>
              <w:right w:val="single" w:sz="4" w:space="0" w:color="000000"/>
            </w:tcBorders>
          </w:tcPr>
          <w:p w14:paraId="33742E62" w14:textId="77777777" w:rsidR="007E25F3" w:rsidRDefault="0047504F">
            <w:pPr>
              <w:spacing w:after="0" w:line="259" w:lineRule="auto"/>
              <w:ind w:left="0" w:right="43" w:firstLine="0"/>
              <w:jc w:val="center"/>
            </w:pPr>
            <w:r>
              <w:rPr>
                <w:b/>
              </w:rPr>
              <w:t>V</w:t>
            </w:r>
            <w:r>
              <w:t xml:space="preserve">aline -&gt; </w:t>
            </w:r>
            <w:r>
              <w:rPr>
                <w:b/>
              </w:rPr>
              <w:t>I</w:t>
            </w:r>
            <w:r>
              <w:t xml:space="preserve">soleucine </w:t>
            </w:r>
          </w:p>
        </w:tc>
      </w:tr>
    </w:tbl>
    <w:p w14:paraId="05724874" w14:textId="77777777" w:rsidR="007E25F3" w:rsidRDefault="0047504F">
      <w:pPr>
        <w:spacing w:after="0" w:line="259" w:lineRule="auto"/>
        <w:ind w:left="566" w:right="0" w:firstLine="0"/>
        <w:jc w:val="left"/>
      </w:pPr>
      <w:r>
        <w:t xml:space="preserve"> </w:t>
      </w:r>
    </w:p>
    <w:p w14:paraId="0C5250A7" w14:textId="77777777" w:rsidR="007E25F3" w:rsidRDefault="0047504F">
      <w:pPr>
        <w:ind w:left="561" w:right="125"/>
      </w:pPr>
      <w:r>
        <w:t xml:space="preserve">L’allèle conduisant à la combinaison </w:t>
      </w:r>
      <w:r>
        <w:rPr>
          <w:b/>
        </w:rPr>
        <w:t>PAV</w:t>
      </w:r>
      <w:r>
        <w:t xml:space="preserve"> est celui qui confère la sensibilité. L’allèle conduisant </w:t>
      </w:r>
      <w:proofErr w:type="gramStart"/>
      <w:r>
        <w:t>à  la</w:t>
      </w:r>
      <w:proofErr w:type="gramEnd"/>
      <w:r>
        <w:t xml:space="preserve"> combinaison </w:t>
      </w:r>
      <w:r>
        <w:rPr>
          <w:b/>
        </w:rPr>
        <w:t>AVI</w:t>
      </w:r>
      <w:r>
        <w:t xml:space="preserve"> produit un récepteur membranaire qui ne fixe plus le PTC. Par commodité ces allèles sont donc dénommés PAV et AVI. </w:t>
      </w:r>
    </w:p>
    <w:p w14:paraId="4CECC739" w14:textId="77777777" w:rsidR="007E25F3" w:rsidRDefault="0047504F">
      <w:pPr>
        <w:spacing w:after="0" w:line="259" w:lineRule="auto"/>
        <w:ind w:left="0" w:right="0" w:firstLine="0"/>
        <w:jc w:val="left"/>
      </w:pPr>
      <w:r>
        <w:t xml:space="preserve"> </w:t>
      </w:r>
    </w:p>
    <w:p w14:paraId="6AEA2A67" w14:textId="566D7EF3" w:rsidR="007E25F3" w:rsidRDefault="00442CC6" w:rsidP="00442CC6">
      <w:pPr>
        <w:pStyle w:val="Titre1"/>
        <w:ind w:left="561" w:right="187"/>
      </w:pPr>
      <w:r>
        <w:lastRenderedPageBreak/>
        <w:t>T</w:t>
      </w:r>
      <w:r w:rsidR="0047504F">
        <w:t>est de la sensibilité au PTC</w:t>
      </w:r>
      <w:r>
        <w:t> :  P</w:t>
      </w:r>
      <w:r w:rsidR="0047504F">
        <w:t xml:space="preserve">oser la bandelette contrôle sur la langue, et relever les sensations. </w:t>
      </w:r>
    </w:p>
    <w:p w14:paraId="34699B25" w14:textId="77777777" w:rsidR="007E25F3" w:rsidRDefault="0047504F">
      <w:pPr>
        <w:spacing w:after="0" w:line="259" w:lineRule="auto"/>
        <w:ind w:left="566" w:right="0" w:firstLine="0"/>
        <w:jc w:val="left"/>
      </w:pPr>
      <w:r>
        <w:t xml:space="preserve"> </w:t>
      </w:r>
    </w:p>
    <w:p w14:paraId="5271994E" w14:textId="77777777" w:rsidR="007E25F3" w:rsidRDefault="0047504F">
      <w:pPr>
        <w:ind w:left="561" w:right="125"/>
      </w:pPr>
      <w:r>
        <w:t xml:space="preserve">Les individus PAV / PAV sont très sensibles, les PAV / AVI sont sensibles, et les AVI / AVI sont insensibles. Mais les allèles PAV et AVI ne rendent compte que d’environ 90 % des phénotypes de sensibilité au PTC. Les 10 % restants sont dépendants des autres allèles, mais aussi de l’environnement : la sensibilité est conditionnée par l’état de sécheresse de la bouche, par ce qui a été mangé auparavant, et décroît généralement avec l’âge. </w:t>
      </w:r>
    </w:p>
    <w:p w14:paraId="6B132E62" w14:textId="77777777" w:rsidR="007E25F3" w:rsidRDefault="0047504F">
      <w:pPr>
        <w:spacing w:after="0" w:line="259" w:lineRule="auto"/>
        <w:ind w:left="566" w:right="0" w:firstLine="0"/>
        <w:jc w:val="left"/>
      </w:pPr>
      <w:r>
        <w:t xml:space="preserve"> </w:t>
      </w:r>
    </w:p>
    <w:p w14:paraId="59E758C4" w14:textId="77777777" w:rsidR="007E25F3" w:rsidRDefault="0047504F">
      <w:pPr>
        <w:pStyle w:val="Titre1"/>
        <w:ind w:left="561" w:right="187"/>
      </w:pPr>
      <w:r>
        <w:t xml:space="preserve">Alignements de séquences </w:t>
      </w:r>
    </w:p>
    <w:p w14:paraId="1B453817" w14:textId="77777777" w:rsidR="007E25F3" w:rsidRDefault="0047504F">
      <w:pPr>
        <w:spacing w:after="0" w:line="259" w:lineRule="auto"/>
        <w:ind w:left="566" w:right="0" w:firstLine="0"/>
        <w:jc w:val="left"/>
      </w:pPr>
      <w:r>
        <w:t xml:space="preserve"> </w:t>
      </w:r>
    </w:p>
    <w:p w14:paraId="49857883" w14:textId="77777777" w:rsidR="007E25F3" w:rsidRDefault="0047504F">
      <w:pPr>
        <w:ind w:left="561" w:right="125"/>
      </w:pPr>
      <w:r>
        <w:t xml:space="preserve">Les séquences des ADNc et des protéines pour les allèles PAV et AVI sont fournies. </w:t>
      </w:r>
    </w:p>
    <w:p w14:paraId="206D0F3C" w14:textId="77777777" w:rsidR="007E25F3" w:rsidRDefault="0047504F">
      <w:pPr>
        <w:spacing w:after="27"/>
        <w:ind w:left="561" w:right="125"/>
      </w:pPr>
      <w:r>
        <w:t xml:space="preserve">Liste des fichiers au </w:t>
      </w:r>
      <w:proofErr w:type="gramStart"/>
      <w:r>
        <w:t>format .EDI</w:t>
      </w:r>
      <w:proofErr w:type="gramEnd"/>
      <w:r>
        <w:t xml:space="preserve"> utilisables avec </w:t>
      </w:r>
      <w:r>
        <w:rPr>
          <w:b/>
        </w:rPr>
        <w:t>Anagène</w:t>
      </w:r>
      <w:r>
        <w:t xml:space="preserve"> ou </w:t>
      </w:r>
      <w:proofErr w:type="spellStart"/>
      <w:r>
        <w:rPr>
          <w:b/>
        </w:rPr>
        <w:t>GeniGen</w:t>
      </w:r>
      <w:proofErr w:type="spellEnd"/>
      <w:r>
        <w:t xml:space="preserve"> :</w:t>
      </w:r>
      <w:r>
        <w:rPr>
          <w:b/>
        </w:rPr>
        <w:t xml:space="preserve"> </w:t>
      </w:r>
    </w:p>
    <w:p w14:paraId="12EE3BE1" w14:textId="77777777" w:rsidR="007E25F3" w:rsidRDefault="0047504F">
      <w:pPr>
        <w:numPr>
          <w:ilvl w:val="0"/>
          <w:numId w:val="2"/>
        </w:numPr>
        <w:ind w:right="125" w:hanging="348"/>
      </w:pPr>
      <w:proofErr w:type="spellStart"/>
      <w:r>
        <w:rPr>
          <w:b/>
        </w:rPr>
        <w:t>Recepteurs_PTC_adn.edi</w:t>
      </w:r>
      <w:proofErr w:type="spellEnd"/>
      <w:r>
        <w:t xml:space="preserve"> : contient les séquences ADN des allèles PAV et AVI </w:t>
      </w:r>
    </w:p>
    <w:p w14:paraId="587BDA5D" w14:textId="77777777" w:rsidR="007E25F3" w:rsidRDefault="0047504F">
      <w:pPr>
        <w:numPr>
          <w:ilvl w:val="0"/>
          <w:numId w:val="2"/>
        </w:numPr>
        <w:spacing w:after="27"/>
        <w:ind w:right="125" w:hanging="348"/>
      </w:pPr>
      <w:proofErr w:type="spellStart"/>
      <w:r>
        <w:rPr>
          <w:b/>
        </w:rPr>
        <w:t>Recepteurs_PTC_proteine.edi</w:t>
      </w:r>
      <w:proofErr w:type="spellEnd"/>
      <w:r>
        <w:t xml:space="preserve"> : contient les séquences protéiques des produits des allèles PAV et AVI </w:t>
      </w:r>
    </w:p>
    <w:p w14:paraId="22750165" w14:textId="04DE50ED" w:rsidR="007E25F3" w:rsidRDefault="0047504F">
      <w:pPr>
        <w:numPr>
          <w:ilvl w:val="0"/>
          <w:numId w:val="2"/>
        </w:numPr>
        <w:ind w:right="125" w:hanging="348"/>
      </w:pPr>
      <w:proofErr w:type="spellStart"/>
      <w:r>
        <w:rPr>
          <w:b/>
        </w:rPr>
        <w:t>Recepteurs_PTC.edi</w:t>
      </w:r>
      <w:proofErr w:type="spellEnd"/>
      <w:r>
        <w:t xml:space="preserve"> : contient les séquences ADN et les produits protéiques des allèles PAV et AVI </w:t>
      </w:r>
    </w:p>
    <w:p w14:paraId="7DC350D6" w14:textId="2FC8D775" w:rsidR="007E25F3" w:rsidRDefault="0047504F">
      <w:pPr>
        <w:spacing w:after="0" w:line="259" w:lineRule="auto"/>
        <w:ind w:left="566" w:right="0" w:firstLine="0"/>
        <w:jc w:val="left"/>
      </w:pPr>
      <w:r>
        <w:rPr>
          <w:b/>
        </w:rPr>
        <w:t xml:space="preserve"> </w:t>
      </w:r>
    </w:p>
    <w:p w14:paraId="49011714" w14:textId="0826CAB0" w:rsidR="007E25F3" w:rsidRDefault="00442CC6">
      <w:pPr>
        <w:ind w:left="561" w:right="125"/>
      </w:pPr>
      <w:r>
        <w:rPr>
          <w:noProof/>
        </w:rPr>
        <w:drawing>
          <wp:anchor distT="0" distB="0" distL="114300" distR="114300" simplePos="0" relativeHeight="251662336" behindDoc="1" locked="0" layoutInCell="1" allowOverlap="1" wp14:anchorId="20F05B28" wp14:editId="351F9417">
            <wp:simplePos x="0" y="0"/>
            <wp:positionH relativeFrom="column">
              <wp:posOffset>2233930</wp:posOffset>
            </wp:positionH>
            <wp:positionV relativeFrom="paragraph">
              <wp:posOffset>10160</wp:posOffset>
            </wp:positionV>
            <wp:extent cx="5019675" cy="1724025"/>
            <wp:effectExtent l="0" t="0" r="9525" b="9525"/>
            <wp:wrapTight wrapText="bothSides">
              <wp:wrapPolygon edited="0">
                <wp:start x="0" y="0"/>
                <wp:lineTo x="0" y="21481"/>
                <wp:lineTo x="21559" y="21481"/>
                <wp:lineTo x="21559" y="0"/>
                <wp:lineTo x="0" y="0"/>
              </wp:wrapPolygon>
            </wp:wrapTight>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9">
                      <a:extLst>
                        <a:ext uri="{28A0092B-C50C-407E-A947-70E740481C1C}">
                          <a14:useLocalDpi xmlns:a14="http://schemas.microsoft.com/office/drawing/2010/main" val="0"/>
                        </a:ext>
                      </a:extLst>
                    </a:blip>
                    <a:stretch>
                      <a:fillRect/>
                    </a:stretch>
                  </pic:blipFill>
                  <pic:spPr>
                    <a:xfrm>
                      <a:off x="0" y="0"/>
                      <a:ext cx="5019675" cy="1724025"/>
                    </a:xfrm>
                    <a:prstGeom prst="rect">
                      <a:avLst/>
                    </a:prstGeom>
                  </pic:spPr>
                </pic:pic>
              </a:graphicData>
            </a:graphic>
          </wp:anchor>
        </w:drawing>
      </w:r>
      <w:r w:rsidR="0047504F">
        <w:t xml:space="preserve">Ces séquences peuvent être utilisées pour réaliser des alignements (exemple ici avec </w:t>
      </w:r>
      <w:proofErr w:type="spellStart"/>
      <w:r w:rsidR="0047504F">
        <w:t>GenieGen</w:t>
      </w:r>
      <w:proofErr w:type="spellEnd"/>
      <w:r w:rsidR="0047504F">
        <w:t xml:space="preserve">) : </w:t>
      </w:r>
    </w:p>
    <w:p w14:paraId="49DF457D" w14:textId="77777777" w:rsidR="007E25F3" w:rsidRDefault="0047504F">
      <w:pPr>
        <w:spacing w:after="0" w:line="259" w:lineRule="auto"/>
        <w:ind w:left="566" w:right="0" w:firstLine="0"/>
        <w:jc w:val="left"/>
      </w:pPr>
      <w:r>
        <w:t xml:space="preserve"> </w:t>
      </w:r>
    </w:p>
    <w:p w14:paraId="1579A37B" w14:textId="7E9DD5FA" w:rsidR="007E25F3" w:rsidRDefault="0047504F">
      <w:pPr>
        <w:spacing w:after="0" w:line="259" w:lineRule="auto"/>
        <w:ind w:left="0" w:right="91" w:firstLine="0"/>
        <w:jc w:val="right"/>
      </w:pPr>
      <w:r>
        <w:t xml:space="preserve"> </w:t>
      </w:r>
    </w:p>
    <w:p w14:paraId="76815BB4" w14:textId="533A86F2" w:rsidR="007E25F3" w:rsidRDefault="0047504F">
      <w:pPr>
        <w:spacing w:after="0" w:line="259" w:lineRule="auto"/>
        <w:ind w:left="566" w:right="0" w:firstLine="0"/>
        <w:jc w:val="left"/>
      </w:pPr>
      <w:r>
        <w:t xml:space="preserve"> </w:t>
      </w:r>
    </w:p>
    <w:p w14:paraId="0757D6EC" w14:textId="3E39A83F" w:rsidR="00442CC6" w:rsidRDefault="00442CC6">
      <w:pPr>
        <w:spacing w:after="0" w:line="259" w:lineRule="auto"/>
        <w:ind w:left="566" w:right="0" w:firstLine="0"/>
        <w:jc w:val="left"/>
      </w:pPr>
    </w:p>
    <w:p w14:paraId="44F843BD" w14:textId="77777777" w:rsidR="00442CC6" w:rsidRDefault="00442CC6">
      <w:pPr>
        <w:spacing w:after="0" w:line="259" w:lineRule="auto"/>
        <w:ind w:left="566" w:right="0" w:firstLine="0"/>
        <w:jc w:val="left"/>
      </w:pPr>
    </w:p>
    <w:p w14:paraId="5BA8072B" w14:textId="77777777" w:rsidR="007E25F3" w:rsidRDefault="0047504F">
      <w:pPr>
        <w:pStyle w:val="Titre1"/>
        <w:ind w:left="561" w:right="187"/>
      </w:pPr>
      <w:r>
        <w:t xml:space="preserve">Aspect évolutif </w:t>
      </w:r>
    </w:p>
    <w:p w14:paraId="5827E359" w14:textId="77777777" w:rsidR="007E25F3" w:rsidRDefault="0047504F">
      <w:pPr>
        <w:spacing w:after="0" w:line="259" w:lineRule="auto"/>
        <w:ind w:left="566" w:right="0" w:firstLine="0"/>
        <w:jc w:val="left"/>
      </w:pPr>
      <w:r>
        <w:t xml:space="preserve"> </w:t>
      </w:r>
    </w:p>
    <w:p w14:paraId="0D49A84C" w14:textId="034B951D" w:rsidR="007E25F3" w:rsidRDefault="0047504F">
      <w:pPr>
        <w:ind w:left="561" w:right="125"/>
      </w:pPr>
      <w:r>
        <w:t>L’allèle PAV est considéré comme l’allèle ancestral dans l’espèce humaine car on retrouve les trois mêmes acides aminés (Proline, Alanine, Valine) aux mêmes positions dans le produit du gène homologue des chimpanzés, des gorilles, des orangs-outangs</w:t>
      </w:r>
      <w:proofErr w:type="gramStart"/>
      <w:r>
        <w:t>, ,</w:t>
      </w:r>
      <w:proofErr w:type="gramEnd"/>
      <w:r>
        <w:t xml:space="preserve"> d’un gibbon, d’un macaque et d’un babouin. Ceci peut être mis en évidence en alignant les séquences avec </w:t>
      </w:r>
      <w:proofErr w:type="gramStart"/>
      <w:r>
        <w:rPr>
          <w:b/>
        </w:rPr>
        <w:t>Anagène</w:t>
      </w:r>
      <w:r>
        <w:t>:</w:t>
      </w:r>
      <w:proofErr w:type="gramEnd"/>
      <w:r>
        <w:t xml:space="preserve"> </w:t>
      </w:r>
    </w:p>
    <w:p w14:paraId="31087EC8" w14:textId="77777777" w:rsidR="007E25F3" w:rsidRDefault="0047504F">
      <w:pPr>
        <w:spacing w:after="0" w:line="216" w:lineRule="auto"/>
        <w:ind w:left="566" w:right="94" w:firstLine="0"/>
        <w:jc w:val="left"/>
      </w:pPr>
      <w:r>
        <w:rPr>
          <w:noProof/>
        </w:rPr>
        <w:drawing>
          <wp:inline distT="0" distB="0" distL="0" distR="0" wp14:anchorId="70B66705" wp14:editId="209B172A">
            <wp:extent cx="5759196" cy="1961388"/>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10"/>
                    <a:stretch>
                      <a:fillRect/>
                    </a:stretch>
                  </pic:blipFill>
                  <pic:spPr>
                    <a:xfrm>
                      <a:off x="0" y="0"/>
                      <a:ext cx="5759196" cy="1961388"/>
                    </a:xfrm>
                    <a:prstGeom prst="rect">
                      <a:avLst/>
                    </a:prstGeom>
                  </pic:spPr>
                </pic:pic>
              </a:graphicData>
            </a:graphic>
          </wp:inline>
        </w:drawing>
      </w:r>
      <w:r>
        <w:t xml:space="preserve">  </w:t>
      </w:r>
    </w:p>
    <w:p w14:paraId="2DF49281" w14:textId="77777777" w:rsidR="007E25F3" w:rsidRDefault="0047504F">
      <w:pPr>
        <w:spacing w:after="0" w:line="259" w:lineRule="auto"/>
        <w:ind w:left="566" w:right="0" w:firstLine="0"/>
        <w:jc w:val="left"/>
      </w:pPr>
      <w:r>
        <w:t xml:space="preserve"> </w:t>
      </w:r>
    </w:p>
    <w:p w14:paraId="337C99DD" w14:textId="41AC0BD7" w:rsidR="007E25F3" w:rsidRDefault="0047504F">
      <w:pPr>
        <w:spacing w:after="0" w:line="259" w:lineRule="auto"/>
        <w:ind w:left="0" w:right="99" w:firstLine="0"/>
        <w:jc w:val="right"/>
      </w:pPr>
      <w:r>
        <w:t xml:space="preserve"> </w:t>
      </w:r>
    </w:p>
    <w:p w14:paraId="4E277E23" w14:textId="77777777" w:rsidR="007E25F3" w:rsidRDefault="0047504F">
      <w:pPr>
        <w:spacing w:after="0" w:line="259" w:lineRule="auto"/>
        <w:ind w:left="566" w:right="0" w:firstLine="0"/>
        <w:jc w:val="left"/>
      </w:pPr>
      <w:r>
        <w:t xml:space="preserve"> </w:t>
      </w:r>
    </w:p>
    <w:p w14:paraId="5C1EF029" w14:textId="77777777" w:rsidR="007E25F3" w:rsidRDefault="0047504F">
      <w:pPr>
        <w:ind w:left="561" w:right="125"/>
      </w:pPr>
      <w:r>
        <w:t xml:space="preserve">Il a été établi que la sensibilité au PTC est parfaitement corrélée à la sensibilité à une substance naturelle, la l-5-vinyl-2-thio-oxazolidone, produite par les Brassicacées et responsable de goîtres en cas de surconsommation. La sensibilité à l’amertume permettrait donc d’éviter l’ingestion de toxines végétales, qui sont souvent amères (exemples : strychnine, quinine, ricine, caféine).  </w:t>
      </w:r>
    </w:p>
    <w:p w14:paraId="29F040DE" w14:textId="77777777" w:rsidR="007E25F3" w:rsidRDefault="0047504F">
      <w:pPr>
        <w:ind w:left="561" w:right="125"/>
      </w:pPr>
      <w:r>
        <w:t xml:space="preserve">L’allèle AVI, bien que ne permettant plus la sensibilité au PTC et aux molécules chimiquement proches, produirait un récepteur sensible à d’autres substances amères. Ceci expliquerait la persistance de l’allèle dans la population, car il conférerait un avantage aux hétérozygotes, leur permettant de détecter une plus grande variété de composés amers. </w:t>
      </w:r>
    </w:p>
    <w:p w14:paraId="00F554AD" w14:textId="77777777" w:rsidR="007E25F3" w:rsidRDefault="0047504F">
      <w:pPr>
        <w:spacing w:after="0" w:line="259" w:lineRule="auto"/>
        <w:ind w:left="566" w:right="0" w:firstLine="0"/>
        <w:jc w:val="left"/>
      </w:pPr>
      <w:r>
        <w:t xml:space="preserve"> </w:t>
      </w:r>
    </w:p>
    <w:p w14:paraId="5EBE2406" w14:textId="77777777" w:rsidR="007E25F3" w:rsidRDefault="0047504F">
      <w:pPr>
        <w:spacing w:after="0" w:line="259" w:lineRule="auto"/>
        <w:ind w:left="566" w:right="0" w:firstLine="0"/>
        <w:jc w:val="left"/>
      </w:pPr>
      <w:r>
        <w:t xml:space="preserve"> </w:t>
      </w:r>
    </w:p>
    <w:p w14:paraId="3F78D658" w14:textId="77777777" w:rsidR="007E25F3" w:rsidRDefault="0047504F">
      <w:pPr>
        <w:spacing w:after="0" w:line="259" w:lineRule="auto"/>
        <w:ind w:left="566" w:right="0" w:firstLine="0"/>
        <w:jc w:val="left"/>
      </w:pPr>
      <w:r>
        <w:lastRenderedPageBreak/>
        <w:t xml:space="preserve"> </w:t>
      </w:r>
    </w:p>
    <w:p w14:paraId="19C3BCF2" w14:textId="77777777" w:rsidR="007E25F3" w:rsidRDefault="0047504F">
      <w:pPr>
        <w:spacing w:after="0" w:line="259" w:lineRule="auto"/>
        <w:ind w:left="566" w:right="0" w:firstLine="0"/>
        <w:jc w:val="left"/>
      </w:pPr>
      <w:r>
        <w:t xml:space="preserve"> </w:t>
      </w:r>
    </w:p>
    <w:p w14:paraId="337E13E8" w14:textId="035780B0" w:rsidR="007E25F3" w:rsidRDefault="007E25F3">
      <w:pPr>
        <w:spacing w:after="0" w:line="259" w:lineRule="auto"/>
        <w:ind w:left="566" w:right="0" w:firstLine="0"/>
        <w:jc w:val="left"/>
      </w:pPr>
    </w:p>
    <w:sectPr w:rsidR="007E25F3" w:rsidSect="00442CC6">
      <w:headerReference w:type="even" r:id="rId11"/>
      <w:footerReference w:type="even" r:id="rId12"/>
      <w:headerReference w:type="first" r:id="rId13"/>
      <w:footerReference w:type="first" r:id="rId14"/>
      <w:pgSz w:w="11900" w:h="16840"/>
      <w:pgMar w:top="426" w:right="560" w:bottom="1138" w:left="142" w:header="756" w:footer="7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480D2" w14:textId="77777777" w:rsidR="00530557" w:rsidRDefault="00530557">
      <w:pPr>
        <w:spacing w:after="0" w:line="240" w:lineRule="auto"/>
      </w:pPr>
      <w:r>
        <w:separator/>
      </w:r>
    </w:p>
  </w:endnote>
  <w:endnote w:type="continuationSeparator" w:id="0">
    <w:p w14:paraId="360D447F" w14:textId="77777777" w:rsidR="00530557" w:rsidRDefault="0053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B953" w14:textId="77777777" w:rsidR="007E25F3" w:rsidRDefault="0047504F">
    <w:pPr>
      <w:spacing w:after="0" w:line="259" w:lineRule="auto"/>
      <w:ind w:left="0" w:right="142" w:firstLine="0"/>
      <w:jc w:val="right"/>
    </w:pPr>
    <w:r>
      <w:t xml:space="preserve">Vincent Guili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E149" w14:textId="77777777" w:rsidR="007E25F3" w:rsidRDefault="0047504F">
    <w:pPr>
      <w:spacing w:after="0" w:line="259" w:lineRule="auto"/>
      <w:ind w:left="0" w:right="142" w:firstLine="0"/>
      <w:jc w:val="right"/>
    </w:pPr>
    <w:r>
      <w:t xml:space="preserve">Vincent Guili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13C4C" w14:textId="77777777" w:rsidR="00530557" w:rsidRDefault="00530557">
      <w:pPr>
        <w:spacing w:after="0" w:line="240" w:lineRule="auto"/>
      </w:pPr>
      <w:r>
        <w:separator/>
      </w:r>
    </w:p>
  </w:footnote>
  <w:footnote w:type="continuationSeparator" w:id="0">
    <w:p w14:paraId="342EA538" w14:textId="77777777" w:rsidR="00530557" w:rsidRDefault="00530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00B2" w14:textId="77777777" w:rsidR="007E25F3" w:rsidRDefault="0047504F">
    <w:pPr>
      <w:spacing w:after="0" w:line="259" w:lineRule="auto"/>
      <w:ind w:left="0" w:right="141" w:firstLine="0"/>
      <w:jc w:val="right"/>
    </w:pPr>
    <w:r>
      <w:t xml:space="preserve">Fiche professeur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266A" w14:textId="77777777" w:rsidR="007E25F3" w:rsidRDefault="0047504F">
    <w:pPr>
      <w:spacing w:after="0" w:line="259" w:lineRule="auto"/>
      <w:ind w:left="0" w:right="141" w:firstLine="0"/>
      <w:jc w:val="right"/>
    </w:pPr>
    <w:r>
      <w:t xml:space="preserve">Fiche professeur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D5800"/>
    <w:multiLevelType w:val="hybridMultilevel"/>
    <w:tmpl w:val="796EFE60"/>
    <w:lvl w:ilvl="0" w:tplc="301C29E6">
      <w:start w:val="1"/>
      <w:numFmt w:val="bullet"/>
      <w:lvlText w:val="•"/>
      <w:lvlJc w:val="left"/>
      <w:pPr>
        <w:ind w:left="1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D490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A0CA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6034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76F8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29D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68C61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B81F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AA40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8B57F74"/>
    <w:multiLevelType w:val="hybridMultilevel"/>
    <w:tmpl w:val="B5D68328"/>
    <w:lvl w:ilvl="0" w:tplc="3E8E3154">
      <w:start w:val="1"/>
      <w:numFmt w:val="bullet"/>
      <w:lvlText w:val="-"/>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583964">
      <w:start w:val="1"/>
      <w:numFmt w:val="bullet"/>
      <w:lvlText w:val="o"/>
      <w:lvlJc w:val="left"/>
      <w:pPr>
        <w:ind w:left="1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A6BEBC">
      <w:start w:val="1"/>
      <w:numFmt w:val="bullet"/>
      <w:lvlText w:val="▪"/>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BEDEE2">
      <w:start w:val="1"/>
      <w:numFmt w:val="bullet"/>
      <w:lvlText w:val="•"/>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3DC606E">
      <w:start w:val="1"/>
      <w:numFmt w:val="bullet"/>
      <w:lvlText w:val="o"/>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12D310">
      <w:start w:val="1"/>
      <w:numFmt w:val="bullet"/>
      <w:lvlText w:val="▪"/>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AE32CE">
      <w:start w:val="1"/>
      <w:numFmt w:val="bullet"/>
      <w:lvlText w:val="•"/>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0A55D2">
      <w:start w:val="1"/>
      <w:numFmt w:val="bullet"/>
      <w:lvlText w:val="o"/>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7C5058">
      <w:start w:val="1"/>
      <w:numFmt w:val="bullet"/>
      <w:lvlText w:val="▪"/>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53193788">
    <w:abstractNumId w:val="1"/>
  </w:num>
  <w:num w:numId="2" w16cid:durableId="847595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5F3"/>
    <w:rsid w:val="003A19B3"/>
    <w:rsid w:val="00442CC6"/>
    <w:rsid w:val="0047504F"/>
    <w:rsid w:val="00530557"/>
    <w:rsid w:val="007E25F3"/>
    <w:rsid w:val="00D208DE"/>
    <w:rsid w:val="00DC25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37AF2"/>
  <w15:docId w15:val="{76B85AA7-82BA-4C76-8BB0-FCDDC117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576" w:right="140" w:hanging="10"/>
      <w:jc w:val="both"/>
    </w:pPr>
    <w:rPr>
      <w:rFonts w:ascii="Calibri" w:eastAsia="Calibri" w:hAnsi="Calibri" w:cs="Calibri"/>
      <w:color w:val="000000"/>
    </w:rPr>
  </w:style>
  <w:style w:type="paragraph" w:styleId="Titre1">
    <w:name w:val="heading 1"/>
    <w:next w:val="Normal"/>
    <w:link w:val="Titre1Car"/>
    <w:uiPriority w:val="9"/>
    <w:qFormat/>
    <w:pPr>
      <w:keepNext/>
      <w:keepLines/>
      <w:spacing w:after="5" w:line="249" w:lineRule="auto"/>
      <w:ind w:left="576" w:right="66" w:hanging="10"/>
      <w:outlineLvl w:val="0"/>
    </w:pPr>
    <w:rPr>
      <w:rFonts w:ascii="Calibri" w:eastAsia="Calibri" w:hAnsi="Calibri" w:cs="Calibri"/>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442CC6"/>
    <w:pPr>
      <w:tabs>
        <w:tab w:val="center" w:pos="4536"/>
        <w:tab w:val="right" w:pos="9072"/>
      </w:tabs>
      <w:spacing w:after="0" w:line="240" w:lineRule="auto"/>
    </w:pPr>
  </w:style>
  <w:style w:type="character" w:customStyle="1" w:styleId="En-tteCar">
    <w:name w:val="En-tête Car"/>
    <w:basedOn w:val="Policepardfaut"/>
    <w:link w:val="En-tte"/>
    <w:uiPriority w:val="99"/>
    <w:rsid w:val="00442CC6"/>
    <w:rPr>
      <w:rFonts w:ascii="Calibri" w:eastAsia="Calibri" w:hAnsi="Calibri" w:cs="Calibri"/>
      <w:color w:val="000000"/>
    </w:rPr>
  </w:style>
  <w:style w:type="paragraph" w:styleId="Pieddepage">
    <w:name w:val="footer"/>
    <w:basedOn w:val="Normal"/>
    <w:link w:val="PieddepageCar"/>
    <w:uiPriority w:val="99"/>
    <w:semiHidden/>
    <w:unhideWhenUsed/>
    <w:rsid w:val="00442CC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42CC6"/>
    <w:rPr>
      <w:rFonts w:ascii="Calibri" w:eastAsia="Calibri" w:hAnsi="Calibri" w:cs="Calibri"/>
      <w:color w:val="000000"/>
    </w:rPr>
  </w:style>
  <w:style w:type="paragraph" w:styleId="Textedebulles">
    <w:name w:val="Balloon Text"/>
    <w:basedOn w:val="Normal"/>
    <w:link w:val="TextedebullesCar"/>
    <w:uiPriority w:val="99"/>
    <w:semiHidden/>
    <w:unhideWhenUsed/>
    <w:rsid w:val="0047504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7504F"/>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681</Words>
  <Characters>3747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Fiche Technique Professeur-1</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Technique Professeur-1</dc:title>
  <dc:subject/>
  <dc:creator>Georges</dc:creator>
  <cp:keywords/>
  <cp:lastModifiedBy>jp HNN</cp:lastModifiedBy>
  <cp:revision>3</cp:revision>
  <cp:lastPrinted>2026-09-18T07:49:00Z</cp:lastPrinted>
  <dcterms:created xsi:type="dcterms:W3CDTF">2019-11-07T18:24:00Z</dcterms:created>
  <dcterms:modified xsi:type="dcterms:W3CDTF">2026-09-18T07:56:00Z</dcterms:modified>
</cp:coreProperties>
</file>