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52CA" w:rsidRPr="00C342A5" w:rsidRDefault="007D59C8" w:rsidP="00C342A5">
      <w:pPr>
        <w:spacing w:after="140" w:line="259" w:lineRule="auto"/>
        <w:ind w:left="0" w:firstLine="0"/>
        <w:jc w:val="center"/>
        <w:rPr>
          <w:rFonts w:ascii="Calibri" w:eastAsia="Calibri" w:hAnsi="Calibri" w:cs="Calibri"/>
          <w:b/>
          <w:color w:val="000000"/>
          <w:sz w:val="28"/>
          <w:szCs w:val="28"/>
        </w:rPr>
      </w:pPr>
      <w:r w:rsidRPr="00C342A5">
        <w:rPr>
          <w:rFonts w:ascii="Calibri" w:eastAsia="Calibri" w:hAnsi="Calibri" w:cs="Calibri"/>
          <w:b/>
          <w:color w:val="000000"/>
          <w:sz w:val="28"/>
          <w:szCs w:val="28"/>
        </w:rPr>
        <w:t xml:space="preserve">Objectif:  </w:t>
      </w:r>
      <w:r w:rsidR="00C342A5" w:rsidRPr="00C342A5">
        <w:rPr>
          <w:rFonts w:ascii="Calibri" w:eastAsia="Calibri" w:hAnsi="Calibri" w:cs="Calibri"/>
          <w:b/>
          <w:color w:val="000000"/>
          <w:sz w:val="28"/>
          <w:szCs w:val="28"/>
        </w:rPr>
        <w:t xml:space="preserve"> A l’aide des documents, m</w:t>
      </w:r>
      <w:r w:rsidRPr="00C342A5">
        <w:rPr>
          <w:rFonts w:ascii="Calibri" w:eastAsia="Calibri" w:hAnsi="Calibri" w:cs="Calibri"/>
          <w:b/>
          <w:color w:val="000000"/>
          <w:sz w:val="28"/>
          <w:szCs w:val="28"/>
        </w:rPr>
        <w:t>ontrer la présence d’une crise marquant la transition entre le Crétacé et le Paléocène.</w:t>
      </w:r>
    </w:p>
    <w:p w:rsidR="00C342A5" w:rsidRDefault="00C342A5">
      <w:pPr>
        <w:spacing w:after="140" w:line="259" w:lineRule="auto"/>
        <w:ind w:left="0" w:firstLine="0"/>
        <w:rPr>
          <w:rFonts w:ascii="Calibri" w:eastAsia="Calibri" w:hAnsi="Calibri" w:cs="Calibri"/>
          <w:b/>
          <w:color w:val="000000"/>
          <w:sz w:val="24"/>
        </w:rPr>
      </w:pPr>
    </w:p>
    <w:p w:rsidR="00C342A5" w:rsidRPr="00C342A5" w:rsidRDefault="00C342A5">
      <w:pPr>
        <w:spacing w:after="140" w:line="259" w:lineRule="auto"/>
        <w:ind w:left="0" w:firstLine="0"/>
        <w:rPr>
          <w:u w:val="single"/>
        </w:rPr>
      </w:pPr>
      <w:r>
        <w:rPr>
          <w:noProof/>
        </w:rPr>
        <w:drawing>
          <wp:anchor distT="0" distB="0" distL="114300" distR="114300" simplePos="0" relativeHeight="251658240" behindDoc="0" locked="0" layoutInCell="1" allowOverlap="0">
            <wp:simplePos x="0" y="0"/>
            <wp:positionH relativeFrom="margin">
              <wp:align>right</wp:align>
            </wp:positionH>
            <wp:positionV relativeFrom="paragraph">
              <wp:posOffset>10795</wp:posOffset>
            </wp:positionV>
            <wp:extent cx="2047875" cy="1009650"/>
            <wp:effectExtent l="0" t="0" r="9525" b="0"/>
            <wp:wrapSquare wrapText="bothSides"/>
            <wp:docPr id="164" name="Picture 164"/>
            <wp:cNvGraphicFramePr/>
            <a:graphic xmlns:a="http://schemas.openxmlformats.org/drawingml/2006/main">
              <a:graphicData uri="http://schemas.openxmlformats.org/drawingml/2006/picture">
                <pic:pic xmlns:pic="http://schemas.openxmlformats.org/drawingml/2006/picture">
                  <pic:nvPicPr>
                    <pic:cNvPr id="164" name="Picture 164"/>
                    <pic:cNvPicPr/>
                  </pic:nvPicPr>
                  <pic:blipFill rotWithShape="1">
                    <a:blip r:embed="rId6"/>
                    <a:srcRect r="14100"/>
                    <a:stretch/>
                  </pic:blipFill>
                  <pic:spPr bwMode="auto">
                    <a:xfrm>
                      <a:off x="0" y="0"/>
                      <a:ext cx="2047875"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342A5">
        <w:rPr>
          <w:rFonts w:ascii="Calibri" w:eastAsia="Calibri" w:hAnsi="Calibri" w:cs="Calibri"/>
          <w:b/>
          <w:color w:val="000000"/>
          <w:sz w:val="24"/>
          <w:u w:val="single"/>
        </w:rPr>
        <w:t xml:space="preserve">Document 1 : </w:t>
      </w:r>
      <w:r>
        <w:rPr>
          <w:rFonts w:ascii="Calibri" w:eastAsia="Calibri" w:hAnsi="Calibri" w:cs="Calibri"/>
          <w:b/>
          <w:color w:val="000000"/>
          <w:sz w:val="24"/>
          <w:u w:val="single"/>
        </w:rPr>
        <w:t>D</w:t>
      </w:r>
      <w:r w:rsidRPr="00C342A5">
        <w:rPr>
          <w:rFonts w:ascii="Calibri" w:eastAsia="Calibri" w:hAnsi="Calibri" w:cs="Calibri"/>
          <w:b/>
          <w:color w:val="000000"/>
          <w:sz w:val="24"/>
        </w:rPr>
        <w:t>ifférents types de Foraminifères</w:t>
      </w:r>
    </w:p>
    <w:p w:rsidR="001C52CA" w:rsidRDefault="007D59C8" w:rsidP="00C342A5">
      <w:pPr>
        <w:spacing w:after="38" w:line="241" w:lineRule="auto"/>
        <w:ind w:left="284" w:right="145" w:hanging="77"/>
      </w:pPr>
      <w:r>
        <w:rPr>
          <w:rFonts w:ascii="Calibri" w:eastAsia="Calibri" w:hAnsi="Calibri" w:cs="Calibri"/>
          <w:color w:val="000000"/>
        </w:rPr>
        <w:t>Les foraminifères sont des organismes unicellulaires très répandus dans les milieux marins. De petites tailles (de 10μm à quelques millimètres), ils sont logés dans une coquille calcaire appelée "test". Chaque espèce de foraminifère vit dans des conditions</w:t>
      </w:r>
      <w:r>
        <w:rPr>
          <w:rFonts w:ascii="Calibri" w:eastAsia="Calibri" w:hAnsi="Calibri" w:cs="Calibri"/>
          <w:color w:val="000000"/>
        </w:rPr>
        <w:t xml:space="preserve"> de température et de salinité précises. La classification des foraminifères se base principalement sur leur test. </w:t>
      </w:r>
      <w:r>
        <w:rPr>
          <w:color w:val="000000"/>
        </w:rPr>
        <w:t xml:space="preserve"> </w:t>
      </w:r>
    </w:p>
    <w:p w:rsidR="00C342A5" w:rsidRDefault="00C342A5">
      <w:pPr>
        <w:spacing w:after="0" w:line="259" w:lineRule="auto"/>
        <w:ind w:left="0" w:firstLine="0"/>
      </w:pPr>
    </w:p>
    <w:p w:rsidR="00C342A5" w:rsidRPr="00C342A5" w:rsidRDefault="00C342A5" w:rsidP="00C342A5">
      <w:pPr>
        <w:spacing w:after="140" w:line="259" w:lineRule="auto"/>
        <w:ind w:left="0" w:firstLine="0"/>
      </w:pPr>
      <w:r w:rsidRPr="00C342A5">
        <w:rPr>
          <w:rFonts w:ascii="Calibri" w:eastAsia="Calibri" w:hAnsi="Calibri" w:cs="Calibri"/>
          <w:b/>
          <w:color w:val="000000"/>
          <w:sz w:val="24"/>
          <w:u w:val="single"/>
        </w:rPr>
        <w:t xml:space="preserve">Document </w:t>
      </w:r>
      <w:r>
        <w:rPr>
          <w:rFonts w:ascii="Calibri" w:eastAsia="Calibri" w:hAnsi="Calibri" w:cs="Calibri"/>
          <w:b/>
          <w:color w:val="000000"/>
          <w:sz w:val="24"/>
          <w:u w:val="single"/>
        </w:rPr>
        <w:t>2</w:t>
      </w:r>
      <w:r w:rsidRPr="00C342A5">
        <w:rPr>
          <w:rFonts w:ascii="Calibri" w:eastAsia="Calibri" w:hAnsi="Calibri" w:cs="Calibri"/>
          <w:b/>
          <w:color w:val="000000"/>
          <w:sz w:val="24"/>
          <w:u w:val="single"/>
        </w:rPr>
        <w:t xml:space="preserve"> : </w:t>
      </w:r>
      <w:r w:rsidRPr="00C342A5">
        <w:rPr>
          <w:rFonts w:ascii="Calibri" w:eastAsia="Calibri" w:hAnsi="Calibri" w:cs="Calibri"/>
          <w:b/>
          <w:color w:val="000000"/>
          <w:sz w:val="24"/>
        </w:rPr>
        <w:t>Nombre de Foraminifères en fonction du temps</w:t>
      </w:r>
    </w:p>
    <w:p w:rsidR="00C342A5" w:rsidRPr="00C342A5" w:rsidRDefault="00C342A5">
      <w:pPr>
        <w:spacing w:after="0" w:line="259" w:lineRule="auto"/>
        <w:ind w:left="0" w:firstLine="0"/>
      </w:pPr>
    </w:p>
    <w:p w:rsidR="001C52CA" w:rsidRDefault="007D59C8">
      <w:pPr>
        <w:spacing w:after="0" w:line="259" w:lineRule="auto"/>
        <w:ind w:left="0" w:right="7" w:firstLine="0"/>
        <w:jc w:val="right"/>
      </w:pPr>
      <w:r>
        <w:rPr>
          <w:noProof/>
        </w:rPr>
        <w:drawing>
          <wp:inline distT="0" distB="0" distL="0" distR="0">
            <wp:extent cx="6638290" cy="967740"/>
            <wp:effectExtent l="0" t="0" r="0" b="0"/>
            <wp:docPr id="296" name="Picture 296"/>
            <wp:cNvGraphicFramePr/>
            <a:graphic xmlns:a="http://schemas.openxmlformats.org/drawingml/2006/main">
              <a:graphicData uri="http://schemas.openxmlformats.org/drawingml/2006/picture">
                <pic:pic xmlns:pic="http://schemas.openxmlformats.org/drawingml/2006/picture">
                  <pic:nvPicPr>
                    <pic:cNvPr id="296" name="Picture 296"/>
                    <pic:cNvPicPr/>
                  </pic:nvPicPr>
                  <pic:blipFill>
                    <a:blip r:embed="rId7"/>
                    <a:stretch>
                      <a:fillRect/>
                    </a:stretch>
                  </pic:blipFill>
                  <pic:spPr>
                    <a:xfrm>
                      <a:off x="0" y="0"/>
                      <a:ext cx="6638290" cy="967740"/>
                    </a:xfrm>
                    <a:prstGeom prst="rect">
                      <a:avLst/>
                    </a:prstGeom>
                  </pic:spPr>
                </pic:pic>
              </a:graphicData>
            </a:graphic>
          </wp:inline>
        </w:drawing>
      </w:r>
      <w:r>
        <w:t xml:space="preserve"> </w:t>
      </w:r>
    </w:p>
    <w:p w:rsidR="00C342A5" w:rsidRDefault="00C342A5">
      <w:pPr>
        <w:spacing w:after="0" w:line="259" w:lineRule="auto"/>
        <w:ind w:left="0" w:right="7" w:firstLine="0"/>
        <w:jc w:val="right"/>
      </w:pPr>
    </w:p>
    <w:p w:rsidR="00C342A5" w:rsidRPr="00C342A5" w:rsidRDefault="00C342A5" w:rsidP="00C342A5">
      <w:pPr>
        <w:spacing w:after="140" w:line="259" w:lineRule="auto"/>
        <w:ind w:left="0" w:firstLine="0"/>
      </w:pPr>
      <w:r w:rsidRPr="00C342A5">
        <w:rPr>
          <w:rFonts w:ascii="Calibri" w:eastAsia="Calibri" w:hAnsi="Calibri" w:cs="Calibri"/>
          <w:b/>
          <w:color w:val="000000"/>
          <w:sz w:val="24"/>
          <w:u w:val="single"/>
        </w:rPr>
        <w:t xml:space="preserve">Document </w:t>
      </w:r>
      <w:r>
        <w:rPr>
          <w:rFonts w:ascii="Calibri" w:eastAsia="Calibri" w:hAnsi="Calibri" w:cs="Calibri"/>
          <w:b/>
          <w:color w:val="000000"/>
          <w:sz w:val="24"/>
          <w:u w:val="single"/>
        </w:rPr>
        <w:t>3</w:t>
      </w:r>
      <w:r w:rsidRPr="00C342A5">
        <w:rPr>
          <w:rFonts w:ascii="Calibri" w:eastAsia="Calibri" w:hAnsi="Calibri" w:cs="Calibri"/>
          <w:b/>
          <w:color w:val="000000"/>
          <w:sz w:val="24"/>
          <w:u w:val="single"/>
        </w:rPr>
        <w:t xml:space="preserve"> : </w:t>
      </w:r>
      <w:r w:rsidRPr="00C342A5">
        <w:rPr>
          <w:rFonts w:ascii="Calibri" w:eastAsia="Calibri" w:hAnsi="Calibri" w:cs="Calibri"/>
          <w:b/>
          <w:color w:val="000000"/>
          <w:sz w:val="24"/>
        </w:rPr>
        <w:t>Présence de différents Foraminifères, en fonction des périodes</w:t>
      </w:r>
    </w:p>
    <w:p w:rsidR="001C52CA" w:rsidRDefault="007D59C8">
      <w:pPr>
        <w:spacing w:after="0" w:line="259" w:lineRule="auto"/>
        <w:ind w:left="0" w:firstLine="0"/>
        <w:jc w:val="right"/>
      </w:pPr>
      <w:r>
        <w:rPr>
          <w:noProof/>
        </w:rPr>
        <w:drawing>
          <wp:inline distT="0" distB="0" distL="0" distR="0">
            <wp:extent cx="6642100" cy="1949450"/>
            <wp:effectExtent l="0" t="0" r="0" b="0"/>
            <wp:docPr id="310" name="Picture 310"/>
            <wp:cNvGraphicFramePr/>
            <a:graphic xmlns:a="http://schemas.openxmlformats.org/drawingml/2006/main">
              <a:graphicData uri="http://schemas.openxmlformats.org/drawingml/2006/picture">
                <pic:pic xmlns:pic="http://schemas.openxmlformats.org/drawingml/2006/picture">
                  <pic:nvPicPr>
                    <pic:cNvPr id="310" name="Picture 310"/>
                    <pic:cNvPicPr/>
                  </pic:nvPicPr>
                  <pic:blipFill>
                    <a:blip r:embed="rId8"/>
                    <a:stretch>
                      <a:fillRect/>
                    </a:stretch>
                  </pic:blipFill>
                  <pic:spPr>
                    <a:xfrm>
                      <a:off x="0" y="0"/>
                      <a:ext cx="6642100" cy="1949450"/>
                    </a:xfrm>
                    <a:prstGeom prst="rect">
                      <a:avLst/>
                    </a:prstGeom>
                  </pic:spPr>
                </pic:pic>
              </a:graphicData>
            </a:graphic>
          </wp:inline>
        </w:drawing>
      </w:r>
      <w:r>
        <w:t xml:space="preserve"> </w:t>
      </w:r>
    </w:p>
    <w:p w:rsidR="00C342A5" w:rsidRDefault="00C342A5">
      <w:pPr>
        <w:spacing w:after="0" w:line="259" w:lineRule="auto"/>
        <w:ind w:left="0" w:firstLine="0"/>
      </w:pPr>
    </w:p>
    <w:p w:rsidR="00C342A5" w:rsidRDefault="00C342A5">
      <w:pPr>
        <w:spacing w:after="0" w:line="259" w:lineRule="auto"/>
        <w:ind w:left="0" w:firstLine="0"/>
      </w:pPr>
    </w:p>
    <w:p w:rsidR="001C52CA" w:rsidRPr="00C342A5" w:rsidRDefault="00C342A5">
      <w:pPr>
        <w:spacing w:after="0" w:line="259" w:lineRule="auto"/>
        <w:ind w:left="0" w:firstLine="0"/>
        <w:rPr>
          <w:color w:val="auto"/>
          <w:sz w:val="18"/>
          <w:szCs w:val="18"/>
        </w:rPr>
      </w:pPr>
      <w:r w:rsidRPr="00C342A5">
        <w:rPr>
          <w:color w:val="auto"/>
          <w:sz w:val="18"/>
          <w:szCs w:val="18"/>
        </w:rPr>
        <w:t xml:space="preserve">CORRECTION : </w:t>
      </w:r>
    </w:p>
    <w:p w:rsidR="00C342A5" w:rsidRPr="00C342A5" w:rsidRDefault="007D59C8" w:rsidP="00C342A5">
      <w:pPr>
        <w:spacing w:after="0" w:line="259" w:lineRule="auto"/>
        <w:ind w:left="0" w:firstLine="0"/>
        <w:rPr>
          <w:color w:val="auto"/>
          <w:sz w:val="18"/>
          <w:szCs w:val="18"/>
        </w:rPr>
      </w:pPr>
      <w:r w:rsidRPr="00C342A5">
        <w:rPr>
          <w:color w:val="auto"/>
          <w:sz w:val="18"/>
          <w:szCs w:val="18"/>
        </w:rPr>
        <w:t xml:space="preserve"> </w:t>
      </w:r>
      <w:r w:rsidR="00C342A5" w:rsidRPr="00C342A5">
        <w:rPr>
          <w:color w:val="auto"/>
          <w:sz w:val="18"/>
          <w:szCs w:val="18"/>
        </w:rPr>
        <w:t xml:space="preserve">L’une des plus connues, la crise Crétacé – Paléocène, qui a vu notamment la disparition d’une grande partie des dinosaures, est étudiable en classe grâce à des fossiles de micro-organismes marins : les foraminifères. Ceux-ci tombent sur le fond des océans quand ils meurent et leur squelette (appelé test) se retrouve piégé dans les roches qui se forment par l’accumulation de sédiments. Ces roches contenant les microfossiles ont été datées.  </w:t>
      </w:r>
    </w:p>
    <w:p w:rsidR="00C342A5" w:rsidRPr="00C342A5" w:rsidRDefault="00C342A5" w:rsidP="00C342A5">
      <w:pPr>
        <w:ind w:left="-5" w:right="52"/>
        <w:rPr>
          <w:color w:val="auto"/>
          <w:sz w:val="18"/>
          <w:szCs w:val="18"/>
        </w:rPr>
      </w:pPr>
      <w:r w:rsidRPr="00C342A5">
        <w:rPr>
          <w:color w:val="auto"/>
          <w:sz w:val="18"/>
          <w:szCs w:val="18"/>
        </w:rPr>
        <w:t xml:space="preserve">Elle peut être interprétée comme la conséquence d’un </w:t>
      </w:r>
      <w:r w:rsidRPr="00C342A5">
        <w:rPr>
          <w:b/>
          <w:color w:val="auto"/>
          <w:sz w:val="18"/>
          <w:szCs w:val="18"/>
        </w:rPr>
        <w:t xml:space="preserve">changement sans doute brutal des conditions de milieu de vie </w:t>
      </w:r>
      <w:r w:rsidRPr="00C342A5">
        <w:rPr>
          <w:color w:val="auto"/>
          <w:sz w:val="18"/>
          <w:szCs w:val="18"/>
        </w:rPr>
        <w:t>à cette époque : refroidissement général, baisse de l’intensité lumineuse</w:t>
      </w:r>
      <w:r w:rsidRPr="00C342A5">
        <w:rPr>
          <w:b/>
          <w:color w:val="auto"/>
          <w:sz w:val="18"/>
          <w:szCs w:val="18"/>
        </w:rPr>
        <w:t xml:space="preserve">. </w:t>
      </w:r>
      <w:r w:rsidRPr="00C342A5">
        <w:rPr>
          <w:color w:val="auto"/>
          <w:sz w:val="18"/>
          <w:szCs w:val="18"/>
        </w:rPr>
        <w:t xml:space="preserve">Les scientifiques s’accordent pour dire qu’il y aurait eu la conjugaison de 2 évènements catastrophiques : un </w:t>
      </w:r>
      <w:r w:rsidRPr="00C342A5">
        <w:rPr>
          <w:b/>
          <w:color w:val="auto"/>
          <w:sz w:val="18"/>
          <w:szCs w:val="18"/>
        </w:rPr>
        <w:t xml:space="preserve">choc météoritique </w:t>
      </w:r>
      <w:r w:rsidRPr="00C342A5">
        <w:rPr>
          <w:color w:val="auto"/>
          <w:sz w:val="18"/>
          <w:szCs w:val="18"/>
        </w:rPr>
        <w:t xml:space="preserve">et un </w:t>
      </w:r>
      <w:r w:rsidRPr="00C342A5">
        <w:rPr>
          <w:b/>
          <w:color w:val="auto"/>
          <w:sz w:val="18"/>
          <w:szCs w:val="18"/>
        </w:rPr>
        <w:t xml:space="preserve">épisode volcanique majeur </w:t>
      </w:r>
      <w:r w:rsidRPr="00C342A5">
        <w:rPr>
          <w:color w:val="auto"/>
          <w:sz w:val="18"/>
          <w:szCs w:val="18"/>
        </w:rPr>
        <w:t xml:space="preserve">qui auraient eu lieu il y a </w:t>
      </w:r>
      <w:r w:rsidRPr="00C342A5">
        <w:rPr>
          <w:b/>
          <w:color w:val="auto"/>
          <w:sz w:val="18"/>
          <w:szCs w:val="18"/>
        </w:rPr>
        <w:t>– 65,6 millions d’années</w:t>
      </w:r>
      <w:r w:rsidRPr="00C342A5">
        <w:rPr>
          <w:color w:val="auto"/>
          <w:sz w:val="18"/>
          <w:szCs w:val="18"/>
        </w:rPr>
        <w:t xml:space="preserve">. Ces événements auraient dispersé dans l’atmosphère des poussières responsables des changements brutaux cités ci-dessus.  </w:t>
      </w:r>
    </w:p>
    <w:p w:rsidR="00C342A5" w:rsidRPr="00C342A5" w:rsidRDefault="00C342A5" w:rsidP="00C342A5">
      <w:pPr>
        <w:spacing w:after="0" w:line="259" w:lineRule="auto"/>
        <w:ind w:left="0" w:firstLine="0"/>
        <w:rPr>
          <w:color w:val="auto"/>
          <w:sz w:val="18"/>
          <w:szCs w:val="18"/>
        </w:rPr>
      </w:pPr>
      <w:r w:rsidRPr="00C342A5">
        <w:rPr>
          <w:color w:val="auto"/>
          <w:sz w:val="18"/>
          <w:szCs w:val="18"/>
        </w:rPr>
        <w:t xml:space="preserve">L’étude des </w:t>
      </w:r>
      <w:r w:rsidRPr="00C342A5">
        <w:rPr>
          <w:b/>
          <w:color w:val="auto"/>
          <w:sz w:val="18"/>
          <w:szCs w:val="18"/>
        </w:rPr>
        <w:t xml:space="preserve">foraminifères planctoniques marins </w:t>
      </w:r>
      <w:r w:rsidRPr="00C342A5">
        <w:rPr>
          <w:color w:val="auto"/>
          <w:sz w:val="18"/>
          <w:szCs w:val="18"/>
        </w:rPr>
        <w:t xml:space="preserve">permet d’illustrer la notion de </w:t>
      </w:r>
      <w:r w:rsidRPr="00C342A5">
        <w:rPr>
          <w:b/>
          <w:color w:val="auto"/>
          <w:sz w:val="18"/>
          <w:szCs w:val="18"/>
        </w:rPr>
        <w:t>crise biologique</w:t>
      </w:r>
      <w:r w:rsidRPr="00C342A5">
        <w:rPr>
          <w:color w:val="auto"/>
          <w:sz w:val="18"/>
          <w:szCs w:val="18"/>
        </w:rPr>
        <w:t xml:space="preserve">.  </w:t>
      </w:r>
    </w:p>
    <w:p w:rsidR="00C342A5" w:rsidRPr="00C342A5" w:rsidRDefault="00C342A5" w:rsidP="00C342A5">
      <w:pPr>
        <w:spacing w:after="0" w:line="259" w:lineRule="auto"/>
        <w:ind w:left="0" w:firstLine="0"/>
        <w:rPr>
          <w:color w:val="auto"/>
          <w:sz w:val="18"/>
          <w:szCs w:val="18"/>
        </w:rPr>
      </w:pPr>
      <w:r w:rsidRPr="00C342A5">
        <w:rPr>
          <w:color w:val="auto"/>
          <w:sz w:val="18"/>
          <w:szCs w:val="18"/>
        </w:rPr>
        <w:t xml:space="preserve"> </w:t>
      </w:r>
    </w:p>
    <w:p w:rsidR="00C342A5" w:rsidRPr="00C342A5" w:rsidRDefault="00C342A5" w:rsidP="00C342A5">
      <w:pPr>
        <w:ind w:left="-5" w:right="52"/>
        <w:rPr>
          <w:color w:val="auto"/>
          <w:sz w:val="18"/>
          <w:szCs w:val="18"/>
        </w:rPr>
      </w:pPr>
      <w:r w:rsidRPr="00C342A5">
        <w:rPr>
          <w:color w:val="auto"/>
          <w:sz w:val="18"/>
          <w:szCs w:val="18"/>
        </w:rPr>
        <w:t xml:space="preserve">À la fin de l’ère secondaire les </w:t>
      </w:r>
      <w:r w:rsidRPr="00C342A5">
        <w:rPr>
          <w:b/>
          <w:color w:val="auto"/>
          <w:sz w:val="18"/>
          <w:szCs w:val="18"/>
        </w:rPr>
        <w:t xml:space="preserve">Globotruncanidés </w:t>
      </w:r>
      <w:r w:rsidRPr="00C342A5">
        <w:rPr>
          <w:color w:val="auto"/>
          <w:sz w:val="18"/>
          <w:szCs w:val="18"/>
        </w:rPr>
        <w:t xml:space="preserve">(dont Globotruncana) et les Hétérohélicidés sont présents dans les sédiments. Dans les sédiments du début de l’ère tertiaire (Paléocène – Danien) on retrouve des Hétérohélicidés mais les </w:t>
      </w:r>
      <w:r w:rsidRPr="00C342A5">
        <w:rPr>
          <w:b/>
          <w:color w:val="auto"/>
          <w:sz w:val="18"/>
          <w:szCs w:val="18"/>
        </w:rPr>
        <w:t xml:space="preserve">Globtruncanidés </w:t>
      </w:r>
      <w:r w:rsidRPr="00C342A5">
        <w:rPr>
          <w:color w:val="auto"/>
          <w:sz w:val="18"/>
          <w:szCs w:val="18"/>
        </w:rPr>
        <w:t xml:space="preserve">ont disparu. </w:t>
      </w:r>
      <w:bookmarkStart w:id="0" w:name="_GoBack"/>
      <w:bookmarkEnd w:id="0"/>
      <w:r w:rsidRPr="00C342A5">
        <w:rPr>
          <w:color w:val="auto"/>
          <w:sz w:val="18"/>
          <w:szCs w:val="18"/>
        </w:rPr>
        <w:t xml:space="preserve">En revanche, apparaissent de nouveaux genres parmi lesquels les </w:t>
      </w:r>
      <w:r w:rsidRPr="00C342A5">
        <w:rPr>
          <w:b/>
          <w:color w:val="auto"/>
          <w:sz w:val="18"/>
          <w:szCs w:val="18"/>
        </w:rPr>
        <w:t xml:space="preserve">Globigérinidés </w:t>
      </w:r>
      <w:r w:rsidRPr="00C342A5">
        <w:rPr>
          <w:color w:val="auto"/>
          <w:sz w:val="18"/>
          <w:szCs w:val="18"/>
        </w:rPr>
        <w:t xml:space="preserve">(dont les Globigérines). La biodiversité des foraminifères (= biodiversité des espèces de foraminifères = biodiversité spécifique) a donc été profondément modifiée.  Les foraminifères sont des espèces marines, on conclut donc que la crise biologique Crétacé-Tertiaire a aussi affecté les océans. </w:t>
      </w:r>
    </w:p>
    <w:p w:rsidR="00C342A5" w:rsidRPr="00C342A5" w:rsidRDefault="00C342A5" w:rsidP="00C342A5">
      <w:pPr>
        <w:spacing w:after="0" w:line="259" w:lineRule="auto"/>
        <w:ind w:left="0" w:firstLine="0"/>
        <w:rPr>
          <w:color w:val="auto"/>
          <w:sz w:val="18"/>
          <w:szCs w:val="18"/>
        </w:rPr>
      </w:pPr>
      <w:r w:rsidRPr="00C342A5">
        <w:rPr>
          <w:color w:val="auto"/>
          <w:sz w:val="18"/>
          <w:szCs w:val="18"/>
        </w:rPr>
        <w:t xml:space="preserve">  </w:t>
      </w:r>
    </w:p>
    <w:p w:rsidR="00C342A5" w:rsidRPr="00C342A5" w:rsidRDefault="00C342A5" w:rsidP="00C342A5">
      <w:pPr>
        <w:numPr>
          <w:ilvl w:val="0"/>
          <w:numId w:val="2"/>
        </w:numPr>
        <w:ind w:right="52" w:hanging="348"/>
        <w:rPr>
          <w:color w:val="auto"/>
          <w:sz w:val="18"/>
          <w:szCs w:val="18"/>
        </w:rPr>
      </w:pPr>
      <w:r w:rsidRPr="00C342A5">
        <w:rPr>
          <w:color w:val="auto"/>
          <w:sz w:val="18"/>
          <w:szCs w:val="18"/>
        </w:rPr>
        <w:t xml:space="preserve">Biodiversité juste avant la crise : seuls les groupes des Hétérohélicidés et des Globotruncanidés sont représentés.  </w:t>
      </w:r>
    </w:p>
    <w:p w:rsidR="00C342A5" w:rsidRPr="00C342A5" w:rsidRDefault="00C342A5" w:rsidP="00C342A5">
      <w:pPr>
        <w:numPr>
          <w:ilvl w:val="0"/>
          <w:numId w:val="2"/>
        </w:numPr>
        <w:ind w:right="52" w:hanging="348"/>
        <w:rPr>
          <w:color w:val="auto"/>
          <w:sz w:val="18"/>
          <w:szCs w:val="18"/>
        </w:rPr>
      </w:pPr>
      <w:r w:rsidRPr="00C342A5">
        <w:rPr>
          <w:color w:val="auto"/>
          <w:sz w:val="18"/>
          <w:szCs w:val="18"/>
        </w:rPr>
        <w:t xml:space="preserve">Biodiversité juste après la crise : seuls les groupes des Hétérohélicidés et des Globigérinidés sont représentés  </w:t>
      </w:r>
    </w:p>
    <w:p w:rsidR="00C342A5" w:rsidRPr="00C342A5" w:rsidRDefault="00C342A5" w:rsidP="007D59C8">
      <w:pPr>
        <w:spacing w:after="0" w:line="259" w:lineRule="auto"/>
        <w:ind w:left="0" w:firstLine="0"/>
        <w:rPr>
          <w:color w:val="auto"/>
          <w:sz w:val="18"/>
          <w:szCs w:val="18"/>
        </w:rPr>
      </w:pPr>
      <w:r w:rsidRPr="00C342A5">
        <w:rPr>
          <w:color w:val="auto"/>
          <w:sz w:val="18"/>
          <w:szCs w:val="18"/>
        </w:rPr>
        <w:t xml:space="preserve">  </w:t>
      </w:r>
    </w:p>
    <w:p w:rsidR="00C342A5" w:rsidRDefault="00C342A5" w:rsidP="00C342A5">
      <w:pPr>
        <w:ind w:left="-5" w:right="52"/>
        <w:rPr>
          <w:color w:val="auto"/>
          <w:sz w:val="18"/>
          <w:szCs w:val="18"/>
        </w:rPr>
      </w:pPr>
      <w:r w:rsidRPr="00C342A5">
        <w:rPr>
          <w:color w:val="auto"/>
          <w:sz w:val="18"/>
          <w:szCs w:val="18"/>
        </w:rPr>
        <w:t xml:space="preserve">Les critères de la crise Crétacé Tertiaire sont donc :  </w:t>
      </w:r>
      <w:r w:rsidR="007D59C8">
        <w:rPr>
          <w:color w:val="auto"/>
          <w:sz w:val="18"/>
          <w:szCs w:val="18"/>
        </w:rPr>
        <w:t>.</w:t>
      </w:r>
    </w:p>
    <w:p w:rsidR="007D59C8" w:rsidRPr="00C342A5" w:rsidRDefault="007D59C8" w:rsidP="007D59C8">
      <w:pPr>
        <w:numPr>
          <w:ilvl w:val="0"/>
          <w:numId w:val="2"/>
        </w:numPr>
        <w:ind w:right="52" w:hanging="348"/>
        <w:rPr>
          <w:color w:val="auto"/>
          <w:sz w:val="18"/>
          <w:szCs w:val="18"/>
        </w:rPr>
      </w:pPr>
      <w:r w:rsidRPr="007D59C8">
        <w:rPr>
          <w:b/>
          <w:color w:val="auto"/>
          <w:sz w:val="18"/>
          <w:szCs w:val="18"/>
        </w:rPr>
        <w:t>Extincttion</w:t>
      </w:r>
      <w:r>
        <w:rPr>
          <w:color w:val="auto"/>
          <w:sz w:val="18"/>
          <w:szCs w:val="18"/>
        </w:rPr>
        <w:t xml:space="preserve"> rapide d’un grand nombre d’espèces ( Foraminifères et Dinosaures pour cette crise)</w:t>
      </w:r>
      <w:r w:rsidRPr="00C342A5">
        <w:rPr>
          <w:color w:val="auto"/>
          <w:sz w:val="18"/>
          <w:szCs w:val="18"/>
        </w:rPr>
        <w:t xml:space="preserve">.  </w:t>
      </w:r>
    </w:p>
    <w:p w:rsidR="00C342A5" w:rsidRPr="007D59C8" w:rsidRDefault="007D59C8" w:rsidP="00C342A5">
      <w:pPr>
        <w:numPr>
          <w:ilvl w:val="0"/>
          <w:numId w:val="2"/>
        </w:numPr>
        <w:spacing w:after="4" w:line="259" w:lineRule="auto"/>
        <w:ind w:left="-5" w:right="52" w:firstLine="0"/>
        <w:rPr>
          <w:color w:val="auto"/>
          <w:sz w:val="18"/>
          <w:szCs w:val="18"/>
        </w:rPr>
      </w:pPr>
      <w:r w:rsidRPr="007D59C8">
        <w:rPr>
          <w:color w:val="auto"/>
          <w:sz w:val="18"/>
          <w:szCs w:val="18"/>
        </w:rPr>
        <w:t xml:space="preserve"> Diversification rapide ( = apparition et survie) des espèces</w:t>
      </w:r>
      <w:r>
        <w:rPr>
          <w:color w:val="auto"/>
          <w:sz w:val="18"/>
          <w:szCs w:val="18"/>
        </w:rPr>
        <w:t xml:space="preserve"> </w:t>
      </w:r>
      <w:r w:rsidRPr="007D59C8">
        <w:rPr>
          <w:color w:val="auto"/>
          <w:sz w:val="18"/>
          <w:szCs w:val="18"/>
        </w:rPr>
        <w:t>survivantes ( Foraminifères et Mammifères pour cette crise)</w:t>
      </w:r>
      <w:r w:rsidR="00C342A5" w:rsidRPr="007D59C8">
        <w:rPr>
          <w:color w:val="auto"/>
          <w:sz w:val="18"/>
          <w:szCs w:val="18"/>
        </w:rPr>
        <w:t xml:space="preserve">)  </w:t>
      </w:r>
    </w:p>
    <w:p w:rsidR="00C342A5" w:rsidRPr="00C342A5" w:rsidRDefault="00C342A5" w:rsidP="00C342A5">
      <w:pPr>
        <w:ind w:left="-5" w:right="52"/>
        <w:rPr>
          <w:color w:val="auto"/>
          <w:sz w:val="18"/>
          <w:szCs w:val="18"/>
        </w:rPr>
      </w:pPr>
    </w:p>
    <w:p w:rsidR="00C342A5" w:rsidRPr="00C342A5" w:rsidRDefault="00C342A5" w:rsidP="00C342A5">
      <w:pPr>
        <w:spacing w:after="0" w:line="259" w:lineRule="auto"/>
        <w:ind w:left="0" w:right="1161" w:firstLine="0"/>
        <w:jc w:val="right"/>
        <w:rPr>
          <w:color w:val="auto"/>
          <w:sz w:val="18"/>
          <w:szCs w:val="18"/>
        </w:rPr>
      </w:pPr>
      <w:r w:rsidRPr="00C342A5">
        <w:rPr>
          <w:b/>
          <w:color w:val="auto"/>
          <w:sz w:val="18"/>
          <w:szCs w:val="18"/>
          <w:u w:val="single" w:color="FF0000"/>
        </w:rPr>
        <w:t>Une crise biologique est une modification radicale de la biodiversité spécifique</w:t>
      </w:r>
      <w:r w:rsidRPr="00C342A5">
        <w:rPr>
          <w:b/>
          <w:color w:val="auto"/>
          <w:sz w:val="18"/>
          <w:szCs w:val="18"/>
        </w:rPr>
        <w:t xml:space="preserve"> </w:t>
      </w:r>
    </w:p>
    <w:p w:rsidR="001C52CA" w:rsidRDefault="00C342A5" w:rsidP="007D59C8">
      <w:pPr>
        <w:spacing w:after="0" w:line="259" w:lineRule="auto"/>
        <w:ind w:left="0" w:firstLine="0"/>
      </w:pPr>
      <w:r>
        <w:t xml:space="preserve"> </w:t>
      </w:r>
      <w:r w:rsidR="007D59C8">
        <w:rPr>
          <w:rFonts w:ascii="Calibri" w:eastAsia="Calibri" w:hAnsi="Calibri" w:cs="Calibri"/>
          <w:color w:val="000000"/>
        </w:rPr>
        <w:t xml:space="preserve"> </w:t>
      </w:r>
    </w:p>
    <w:sectPr w:rsidR="001C52CA" w:rsidSect="00C342A5">
      <w:pgSz w:w="11906" w:h="16838"/>
      <w:pgMar w:top="284" w:right="661" w:bottom="142" w:left="28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C2352D"/>
    <w:multiLevelType w:val="hybridMultilevel"/>
    <w:tmpl w:val="9B9E7402"/>
    <w:lvl w:ilvl="0" w:tplc="0BB207FA">
      <w:start w:val="1"/>
      <w:numFmt w:val="decimal"/>
      <w:lvlText w:val="%1."/>
      <w:lvlJc w:val="left"/>
      <w:pPr>
        <w:ind w:left="1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1" w:tplc="458ECEF8">
      <w:start w:val="1"/>
      <w:numFmt w:val="lowerLetter"/>
      <w:lvlText w:val="%2"/>
      <w:lvlJc w:val="left"/>
      <w:pPr>
        <w:ind w:left="108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2" w:tplc="C0A87A18">
      <w:start w:val="1"/>
      <w:numFmt w:val="lowerRoman"/>
      <w:lvlText w:val="%3"/>
      <w:lvlJc w:val="left"/>
      <w:pPr>
        <w:ind w:left="180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3" w:tplc="7490189E">
      <w:start w:val="1"/>
      <w:numFmt w:val="decimal"/>
      <w:lvlText w:val="%4"/>
      <w:lvlJc w:val="left"/>
      <w:pPr>
        <w:ind w:left="252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4" w:tplc="D2B4D330">
      <w:start w:val="1"/>
      <w:numFmt w:val="lowerLetter"/>
      <w:lvlText w:val="%5"/>
      <w:lvlJc w:val="left"/>
      <w:pPr>
        <w:ind w:left="324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5" w:tplc="7EB45A2C">
      <w:start w:val="1"/>
      <w:numFmt w:val="lowerRoman"/>
      <w:lvlText w:val="%6"/>
      <w:lvlJc w:val="left"/>
      <w:pPr>
        <w:ind w:left="396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6" w:tplc="B8541D22">
      <w:start w:val="1"/>
      <w:numFmt w:val="decimal"/>
      <w:lvlText w:val="%7"/>
      <w:lvlJc w:val="left"/>
      <w:pPr>
        <w:ind w:left="468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7" w:tplc="0E0AD00A">
      <w:start w:val="1"/>
      <w:numFmt w:val="lowerLetter"/>
      <w:lvlText w:val="%8"/>
      <w:lvlJc w:val="left"/>
      <w:pPr>
        <w:ind w:left="540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8" w:tplc="916C864E">
      <w:start w:val="1"/>
      <w:numFmt w:val="lowerRoman"/>
      <w:lvlText w:val="%9"/>
      <w:lvlJc w:val="left"/>
      <w:pPr>
        <w:ind w:left="612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abstractNum>
  <w:abstractNum w:abstractNumId="1" w15:restartNumberingAfterBreak="0">
    <w:nsid w:val="7C853DA7"/>
    <w:multiLevelType w:val="hybridMultilevel"/>
    <w:tmpl w:val="C7F6CACC"/>
    <w:lvl w:ilvl="0" w:tplc="83860E18">
      <w:start w:val="1"/>
      <w:numFmt w:val="bullet"/>
      <w:lvlText w:val=""/>
      <w:lvlJc w:val="left"/>
      <w:pPr>
        <w:ind w:left="708"/>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1" w:tplc="213C6CFE">
      <w:start w:val="1"/>
      <w:numFmt w:val="bullet"/>
      <w:lvlText w:val="o"/>
      <w:lvlJc w:val="left"/>
      <w:pPr>
        <w:ind w:left="144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2" w:tplc="B36834FE">
      <w:start w:val="1"/>
      <w:numFmt w:val="bullet"/>
      <w:lvlText w:val="▪"/>
      <w:lvlJc w:val="left"/>
      <w:pPr>
        <w:ind w:left="216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3" w:tplc="42180E40">
      <w:start w:val="1"/>
      <w:numFmt w:val="bullet"/>
      <w:lvlText w:val="•"/>
      <w:lvlJc w:val="left"/>
      <w:pPr>
        <w:ind w:left="288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4" w:tplc="2AA2F5B8">
      <w:start w:val="1"/>
      <w:numFmt w:val="bullet"/>
      <w:lvlText w:val="o"/>
      <w:lvlJc w:val="left"/>
      <w:pPr>
        <w:ind w:left="360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5" w:tplc="2222E40A">
      <w:start w:val="1"/>
      <w:numFmt w:val="bullet"/>
      <w:lvlText w:val="▪"/>
      <w:lvlJc w:val="left"/>
      <w:pPr>
        <w:ind w:left="432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6" w:tplc="0F08FE5E">
      <w:start w:val="1"/>
      <w:numFmt w:val="bullet"/>
      <w:lvlText w:val="•"/>
      <w:lvlJc w:val="left"/>
      <w:pPr>
        <w:ind w:left="504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7" w:tplc="07E2C890">
      <w:start w:val="1"/>
      <w:numFmt w:val="bullet"/>
      <w:lvlText w:val="o"/>
      <w:lvlJc w:val="left"/>
      <w:pPr>
        <w:ind w:left="576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8" w:tplc="E536FA50">
      <w:start w:val="1"/>
      <w:numFmt w:val="bullet"/>
      <w:lvlText w:val="▪"/>
      <w:lvlJc w:val="left"/>
      <w:pPr>
        <w:ind w:left="648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2CA"/>
    <w:rsid w:val="001C52CA"/>
    <w:rsid w:val="007D59C8"/>
    <w:rsid w:val="00C342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D3D3E3-CFDB-45F5-8EE2-E5CABDCC1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10" w:hanging="10"/>
    </w:pPr>
    <w:rPr>
      <w:rFonts w:ascii="Arial" w:eastAsia="Arial" w:hAnsi="Arial" w:cs="Arial"/>
      <w:color w:val="FF0000"/>
    </w:rPr>
  </w:style>
  <w:style w:type="paragraph" w:styleId="Titre1">
    <w:name w:val="heading 1"/>
    <w:next w:val="Normal"/>
    <w:link w:val="Titre1Car"/>
    <w:uiPriority w:val="9"/>
    <w:unhideWhenUsed/>
    <w:qFormat/>
    <w:pPr>
      <w:keepNext/>
      <w:keepLines/>
      <w:spacing w:after="0"/>
      <w:ind w:right="61"/>
      <w:jc w:val="center"/>
      <w:outlineLvl w:val="0"/>
    </w:pPr>
    <w:rPr>
      <w:rFonts w:ascii="Calibri" w:eastAsia="Calibri" w:hAnsi="Calibri" w:cs="Calibri"/>
      <w:color w:val="FF0000"/>
      <w:sz w:val="44"/>
    </w:rPr>
  </w:style>
  <w:style w:type="paragraph" w:styleId="Titre2">
    <w:name w:val="heading 2"/>
    <w:next w:val="Normal"/>
    <w:link w:val="Titre2Car"/>
    <w:uiPriority w:val="9"/>
    <w:unhideWhenUsed/>
    <w:qFormat/>
    <w:pPr>
      <w:keepNext/>
      <w:keepLines/>
      <w:spacing w:after="0"/>
      <w:ind w:left="10" w:right="57" w:hanging="10"/>
      <w:jc w:val="center"/>
      <w:outlineLvl w:val="1"/>
    </w:pPr>
    <w:rPr>
      <w:rFonts w:ascii="Arial" w:eastAsia="Arial" w:hAnsi="Arial" w:cs="Arial"/>
      <w:b/>
      <w:color w:val="000000"/>
      <w:sz w:val="28"/>
      <w:bdr w:val="single" w:sz="8" w:space="0"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rPr>
      <w:rFonts w:ascii="Arial" w:eastAsia="Arial" w:hAnsi="Arial" w:cs="Arial"/>
      <w:b/>
      <w:color w:val="000000"/>
      <w:sz w:val="28"/>
      <w:bdr w:val="single" w:sz="8" w:space="0" w:color="000000"/>
    </w:rPr>
  </w:style>
  <w:style w:type="character" w:customStyle="1" w:styleId="Titre1Car">
    <w:name w:val="Titre 1 Car"/>
    <w:link w:val="Titre1"/>
    <w:rPr>
      <w:rFonts w:ascii="Calibri" w:eastAsia="Calibri" w:hAnsi="Calibri" w:cs="Calibri"/>
      <w:color w:val="FF0000"/>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6E704-E68E-4EF2-8767-52B09ECAC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465</Words>
  <Characters>2561</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Lycée Marcel Dassault</Company>
  <LinksUpToDate>false</LinksUpToDate>
  <CharactersWithSpaces>3020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Sebastien</dc:creator>
  <cp:keywords/>
  <cp:lastModifiedBy>HENON JEAN-PIERRE</cp:lastModifiedBy>
  <cp:revision>2</cp:revision>
  <dcterms:created xsi:type="dcterms:W3CDTF">2025-10-13T11:46:00Z</dcterms:created>
  <dcterms:modified xsi:type="dcterms:W3CDTF">2025-10-13T11:46:00Z</dcterms:modified>
</cp:coreProperties>
</file>