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b/>
        </w:rPr>
        <w:t>Vulnerable Person Trusts — Technical Guide</w:t>
      </w:r>
    </w:p>
    <w:p>
      <w:pPr>
        <w:pStyle w:val="Subtitle"/>
        <w:jc w:val="center"/>
      </w:pPr>
      <w:r>
        <w:t>Client Edition</w:t>
      </w:r>
    </w:p>
    <w:p>
      <w:pPr>
        <w:jc w:val="center"/>
      </w:pPr>
      <w:r>
        <w:rPr>
          <w:i/>
        </w:rPr>
        <w:t>Clear guidance for families considering a Vulnerable Person Trust in a Will.</w:t>
      </w:r>
    </w:p>
    <w:p>
      <w:pPr>
        <w:spacing w:before="120" w:after="120"/>
        <w:shd w:fill="F2F2F2"/>
      </w:pPr>
      <w:r>
        <w:t>Important: This guide is general information only. It is designed to help families understand the broad issues, not to replace tailored legal, tax or financial advice. Fern Wills &amp; LPAs does not act as trustee, does not register trusts, and does not create standalone lifetime trusts. Where specialist input is needed, we can introduce an appropriate professional.</w:t>
      </w:r>
    </w:p>
    <w:p/>
    <w:p>
      <w:pPr>
        <w:pStyle w:val="Heading1"/>
      </w:pPr>
      <w:r>
        <w:t>Quick summary</w:t>
      </w:r>
    </w:p>
    <w:p>
      <w:pPr>
        <w:pStyle w:val="ListBullet"/>
      </w:pPr>
      <w:r>
        <w:t>A Vulnerable Person Trust is usually used in a Will to protect an inheritance for someone who may not be able to manage money safely.</w:t>
      </w:r>
    </w:p>
    <w:p>
      <w:pPr>
        <w:pStyle w:val="ListBullet"/>
      </w:pPr>
      <w:r>
        <w:t>The trustees control the fund and use it for the vulnerable person’s benefit.</w:t>
      </w:r>
    </w:p>
    <w:p>
      <w:pPr>
        <w:pStyle w:val="ListBullet"/>
      </w:pPr>
      <w:r>
        <w:t>In the right case, a trust may also qualify for special tax treatment.</w:t>
      </w:r>
    </w:p>
    <w:p>
      <w:pPr>
        <w:pStyle w:val="ListBullet"/>
      </w:pPr>
      <w:r>
        <w:t>Not every person described as vulnerable in everyday language will qualify for that special tax treatment.</w:t>
      </w:r>
    </w:p>
    <w:p>
      <w:pPr>
        <w:pStyle w:val="ListBullet"/>
      </w:pPr>
      <w:r>
        <w:t>A trust can still be useful even if the special tax treatment does not apply.</w:t>
      </w:r>
    </w:p>
    <w:p>
      <w:pPr>
        <w:pStyle w:val="ListBullet"/>
      </w:pPr>
      <w:r>
        <w:t>A Vulnerable Person Trust is often only one part of the wider plan. Lasting Powers of Attorney, benefits appointeeship, deputyship and a clear Letter of Wishes may also matter.</w:t>
      </w:r>
    </w:p>
    <w:p/>
    <w:p>
      <w:pPr>
        <w:pStyle w:val="Heading1"/>
      </w:pPr>
      <w:r>
        <w:t>What a Vulnerable Person Trust is</w:t>
      </w:r>
    </w:p>
    <w:p>
      <w:r>
        <w:t>A Vulnerable Person Trust is a protective trust structure often included in a Will for the benefit of a disabled or otherwise vulnerable loved one. Instead of leaving funds outright, the Will leaves them into trust. The trustees then manage and apply the fund for that person’s benefit.</w:t>
      </w:r>
    </w:p>
    <w:p>
      <w:r>
        <w:t>That can help with control, oversight and long-term protection. It may also reduce the risk of means-tested benefits or support being affected, but that is never guaranteed and depends on the exact circumstances and the rules in force at the time.</w:t>
      </w:r>
    </w:p>
    <w:p>
      <w:pPr>
        <w:pStyle w:val="Heading1"/>
      </w:pPr>
      <w:r>
        <w:t>How it usually works in practice</w:t>
      </w:r>
    </w:p>
    <w:p>
      <w:pPr>
        <w:pStyle w:val="ListBullet"/>
      </w:pPr>
      <w:r>
        <w:t>The trust is written into the Will now, but only comes into effect when assets pass into it after death.</w:t>
      </w:r>
    </w:p>
    <w:p>
      <w:pPr>
        <w:pStyle w:val="ListBullet"/>
      </w:pPr>
      <w:r>
        <w:t>The trustees hold and manage the trust fund.</w:t>
      </w:r>
    </w:p>
    <w:p>
      <w:pPr>
        <w:pStyle w:val="ListBullet"/>
      </w:pPr>
      <w:r>
        <w:t>The vulnerable person is the main beneficiary during their lifetime, or for as long as the trust terms provide.</w:t>
      </w:r>
    </w:p>
    <w:p>
      <w:pPr>
        <w:pStyle w:val="ListBullet"/>
      </w:pPr>
      <w:r>
        <w:t>Trustees can use funds to pay for housing, care, therapies, equipment, transport, holidays, education, services and other quality-of-life needs.</w:t>
      </w:r>
    </w:p>
    <w:p>
      <w:pPr>
        <w:pStyle w:val="ListBullet"/>
      </w:pPr>
      <w:r>
        <w:t>Support is often given by paying suppliers or buying items directly rather than handing over cash.</w:t>
      </w:r>
    </w:p>
    <w:p>
      <w:pPr>
        <w:pStyle w:val="Heading1"/>
      </w:pPr>
      <w:r>
        <w:t>Who may qualify for the special tax treatment</w:t>
      </w:r>
    </w:p>
    <w:p>
      <w:r>
        <w:t>There is an important difference between the everyday planning label and the statutory tax rules.</w:t>
      </w:r>
    </w:p>
    <w:p>
      <w:pPr>
        <w:pStyle w:val="ListBullet"/>
      </w:pPr>
      <w:r>
        <w:t>In everyday family language, people often use the term ‘vulnerable person’ quite broadly.</w:t>
      </w:r>
    </w:p>
    <w:p>
      <w:pPr>
        <w:pStyle w:val="ListBullet"/>
      </w:pPr>
      <w:r>
        <w:t>For tax purposes, the special regime is narrower. It generally applies where the beneficiary meets the statutory disabled-person or vulnerable-beneficiary conditions.</w:t>
      </w:r>
    </w:p>
    <w:p>
      <w:pPr>
        <w:pStyle w:val="ListBullet"/>
      </w:pPr>
      <w:r>
        <w:t>That commonly means the person is eligible for certain disability-related benefits, or is incapable of managing their own property or affairs for the relevant statutory reason.</w:t>
      </w:r>
    </w:p>
    <w:p>
      <w:r>
        <w:t>If the statutory conditions are met, the trustees and beneficiary may be able to make a Vulnerable Person Election using form VPE1. If the conditions are not met, the trust can still operate as a protective trust, but the special vulnerable-beneficiary tax treatment may not apply.</w:t>
      </w:r>
    </w:p>
    <w:p>
      <w:pPr>
        <w:pStyle w:val="Heading1"/>
      </w:pPr>
      <w:r>
        <w:t>Ring-fencing where there are other beneficiaries</w:t>
      </w:r>
    </w:p>
    <w:p>
      <w:r>
        <w:t>Sometimes parents want a vulnerable child to be protected first, while still leaving some flexibility for siblings or other family members. That needs care. Where special treatment is needed, the disabled person’s fund usually needs to be identified separately and used only for that person, subject to limited statutory exceptions.</w:t>
      </w:r>
    </w:p>
    <w:p>
      <w:pPr>
        <w:pStyle w:val="Heading1"/>
      </w:pPr>
      <w:r>
        <w:t>Trustees and their role</w:t>
      </w:r>
    </w:p>
    <w:p>
      <w:pPr>
        <w:pStyle w:val="ListBullet"/>
      </w:pPr>
      <w:r>
        <w:t>act in the beneficiary’s best interests</w:t>
      </w:r>
    </w:p>
    <w:p>
      <w:pPr>
        <w:pStyle w:val="ListBullet"/>
      </w:pPr>
      <w:r>
        <w:t>manage the trust fund responsibly</w:t>
      </w:r>
    </w:p>
    <w:p>
      <w:pPr>
        <w:pStyle w:val="ListBullet"/>
      </w:pPr>
      <w:r>
        <w:t>keep decisions and spending under review</w:t>
      </w:r>
    </w:p>
    <w:p>
      <w:pPr>
        <w:pStyle w:val="ListBullet"/>
      </w:pPr>
      <w:r>
        <w:t>keep records</w:t>
      </w:r>
    </w:p>
    <w:p>
      <w:pPr>
        <w:pStyle w:val="ListBullet"/>
      </w:pPr>
      <w:r>
        <w:t>take professional advice when needed</w:t>
      </w:r>
    </w:p>
    <w:p>
      <w:pPr>
        <w:pStyle w:val="ListBullet"/>
      </w:pPr>
      <w:r>
        <w:t>follow the spirit of the Will and any Letter of Wishes</w:t>
      </w:r>
    </w:p>
    <w:p>
      <w:r>
        <w:t>Good trustees are usually people who understand the beneficiary, can work calmly together, and are practical enough to deal with money, paperwork and occasional professional input.</w:t>
      </w:r>
    </w:p>
    <w:p>
      <w:pPr>
        <w:pStyle w:val="Heading1"/>
      </w:pPr>
      <w:r>
        <w:t>Examples of how trust funds may be used</w:t>
      </w:r>
    </w:p>
    <w:p>
      <w:pPr>
        <w:pStyle w:val="ListBullet"/>
      </w:pPr>
      <w:r>
        <w:t>paying rent, household costs or supported-living charges</w:t>
      </w:r>
    </w:p>
    <w:p>
      <w:pPr>
        <w:pStyle w:val="ListBullet"/>
      </w:pPr>
      <w:r>
        <w:t>funding therapies, equipment, mobility aids or specialist care</w:t>
      </w:r>
    </w:p>
    <w:p>
      <w:pPr>
        <w:pStyle w:val="ListBullet"/>
      </w:pPr>
      <w:r>
        <w:t>buying clothing, furniture or technology</w:t>
      </w:r>
    </w:p>
    <w:p>
      <w:pPr>
        <w:pStyle w:val="ListBullet"/>
      </w:pPr>
      <w:r>
        <w:t>paying for transport, holidays or meaningful life experiences</w:t>
      </w:r>
    </w:p>
    <w:p>
      <w:pPr>
        <w:pStyle w:val="ListBullet"/>
      </w:pPr>
      <w:r>
        <w:t>meeting costs that improve comfort, dignity, safety or independence</w:t>
      </w:r>
    </w:p>
    <w:p>
      <w:pPr>
        <w:pStyle w:val="Heading1"/>
      </w:pPr>
      <w:r>
        <w:t>Letter of Wishes</w:t>
      </w:r>
    </w:p>
    <w:p>
      <w:r>
        <w:t>A Letter of Wishes is not legally binding, but it is often extremely valuable. It helps trustees understand the person behind the trust and the family’s priorities. For example, it can explain routines, preferences, risks, support needs, communication style, living arrangements, values and the broad way you would like trustees to use their discretion.</w:t>
      </w:r>
    </w:p>
    <w:p>
      <w:pPr>
        <w:pStyle w:val="Heading1"/>
      </w:pPr>
      <w:r>
        <w:t>Trust Registration Service and reporting</w:t>
      </w:r>
    </w:p>
    <w:p>
      <w:r>
        <w:t>This area is technical, so families should not rely on rough rules of thumb.</w:t>
      </w:r>
    </w:p>
    <w:p>
      <w:pPr>
        <w:pStyle w:val="ListBullet"/>
      </w:pPr>
      <w:r>
        <w:t>Trusts for a disabled person are excluded from registration as registrable express trusts during that disabled person’s lifetime.</w:t>
      </w:r>
    </w:p>
    <w:p>
      <w:pPr>
        <w:pStyle w:val="ListBullet"/>
      </w:pPr>
      <w:r>
        <w:t>That does not mean there are never any trust-registration or tax-reporting obligations. Separate duties can still arise if the trust has a UK tax liability or the facts change.</w:t>
      </w:r>
    </w:p>
    <w:p>
      <w:pPr>
        <w:pStyle w:val="ListBullet"/>
      </w:pPr>
      <w:r>
        <w:t>If vulnerable-beneficiary status is later lost, trustees may need to tell HMRC.</w:t>
      </w:r>
    </w:p>
    <w:p>
      <w:r>
        <w:t>The practical point is simple: the trust should be reviewed properly at the relevant time, rather than assuming that all Will trusts register automatically or that none do.</w:t>
      </w:r>
    </w:p>
    <w:p>
      <w:pPr>
        <w:pStyle w:val="Heading1"/>
      </w:pPr>
      <w:r>
        <w:t>Lifetime trusts versus Will trusts</w:t>
      </w:r>
    </w:p>
    <w:p>
      <w:r>
        <w:t>For most families, the Will-based version is the sensible starting point. It keeps matters simpler while everyone is alive and avoids creating immediate administration and reporting duties.</w:t>
      </w:r>
    </w:p>
    <w:p>
      <w:r>
        <w:t>A lifetime trust can be appropriate in some cases, but it is specialist work and should not be treated as a routine option. Fern Wills &amp; LPAs does not create standalone lifetime trusts.</w:t>
      </w:r>
    </w:p>
    <w:p>
      <w:pPr>
        <w:pStyle w:val="Heading1"/>
      </w:pPr>
      <w:r>
        <w:t>The wider plan</w:t>
      </w:r>
    </w:p>
    <w:p>
      <w:r>
        <w:t>A Vulnerable Person Trust deals with inheritance. It does not, by itself, give family members authority to deal with doctors, care providers, banks or benefits agencies while the person is alive.</w:t>
      </w:r>
    </w:p>
    <w:p>
      <w:pPr>
        <w:pStyle w:val="ListBullet"/>
      </w:pPr>
      <w:r>
        <w:t>If the person has capacity, a Lasting Power of Attorney may be an important companion to the trust.</w:t>
      </w:r>
    </w:p>
    <w:p>
      <w:pPr>
        <w:pStyle w:val="ListBullet"/>
      </w:pPr>
      <w:r>
        <w:t>If they do not have capacity for an LPA, families may need to explore other routes such as appointeeship or deputyship.</w:t>
      </w:r>
    </w:p>
    <w:p>
      <w:pPr>
        <w:pStyle w:val="ListBullet"/>
      </w:pPr>
      <w:r>
        <w:t>In many families, the best outcome comes from looking at the Will, the trust, the Letter of Wishes and adult-capacity planning together.</w:t>
      </w:r>
    </w:p>
    <w:p>
      <w:pPr>
        <w:pStyle w:val="Heading1"/>
      </w:pPr>
      <w:r>
        <w:t>Simple example</w:t>
      </w:r>
    </w:p>
    <w:p>
      <w:r>
        <w:t>A couple have an adult daughter with significant vulnerabilities around money. They want her included, but do not want a direct inheritance to create avoidable risk. Their Wills leave her share into a Vulnerable Person Trust. Two reliable trustees manage the fund and use it to support housing, therapies, transport and quality of life. If the statutory conditions are met, specialist support is brought in at the appropriate time to consider the tax position and any reporting requirements.</w:t>
      </w:r>
    </w:p>
    <w:p>
      <w:pPr>
        <w:pStyle w:val="Heading1"/>
      </w:pPr>
      <w:r>
        <w:t>A practical annual review checklist for trustees</w:t>
      </w:r>
    </w:p>
    <w:p>
      <w:pPr>
        <w:pStyle w:val="ListBullet"/>
      </w:pPr>
      <w:r>
        <w:t>Review the beneficiary’s current needs and circumstances.</w:t>
      </w:r>
    </w:p>
    <w:p>
      <w:pPr>
        <w:pStyle w:val="ListBullet"/>
      </w:pPr>
      <w:r>
        <w:t>Check how the fund has been used and whether spending remains appropriate.</w:t>
      </w:r>
    </w:p>
    <w:p>
      <w:pPr>
        <w:pStyle w:val="ListBullet"/>
      </w:pPr>
      <w:r>
        <w:t>Make sure records, receipts and key decisions are kept safely.</w:t>
      </w:r>
    </w:p>
    <w:p>
      <w:pPr>
        <w:pStyle w:val="ListBullet"/>
      </w:pPr>
      <w:r>
        <w:t>Confirm whether any professional advice is needed.</w:t>
      </w:r>
    </w:p>
    <w:p>
      <w:pPr>
        <w:pStyle w:val="ListBullet"/>
      </w:pPr>
      <w:r>
        <w:t>Check whether the trust’s tax or registration position needs attention.</w:t>
      </w:r>
    </w:p>
    <w:p>
      <w:pPr>
        <w:pStyle w:val="Heading1"/>
      </w:pPr>
      <w:r>
        <w:t>Final note</w:t>
      </w:r>
    </w:p>
    <w:p>
      <w:r>
        <w:t>The best use of a Vulnerable Person Trust is usually careful, calm, joined-up planning. The legal structure matters, but so do the trustees, the family dynamics, the support needs and the wider plan around adulthood and decision-making.</w:t>
      </w:r>
    </w:p>
    <w:sectPr w:rsidR="00FC693F" w:rsidRPr="0006063C" w:rsidSect="00034616">
      <w:footerReference w:type="default" r:id="rId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i/>
        <w:sz w:val="16"/>
      </w:rPr>
      <w:t>Fern Wills &amp; LPAs | VPT Technical Guide | Client Edition | v4.4</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rial" w:hAnsi="Arial"/>
      <w:i/>
      <w:iCs/>
      <w:color w:val="4F81BD" w:themeColor="accent1"/>
      <w:spacing w:val="15"/>
      <w:sz w:val="22"/>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