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F00E0" w14:textId="0AE0D08E" w:rsidR="005D5884" w:rsidRPr="005D5884" w:rsidRDefault="005D5884" w:rsidP="005D5884">
      <w:pPr>
        <w:pStyle w:val="Heading1"/>
      </w:pPr>
      <w:r w:rsidRPr="005D5884">
        <w:t>Journal Assignment #2</w:t>
      </w:r>
      <w:r w:rsidR="00071F97">
        <w:t xml:space="preserve"> - </w:t>
      </w:r>
      <w:r w:rsidR="00071F97" w:rsidRPr="00071F97">
        <w:t>My Ability to Lead Groups</w:t>
      </w:r>
    </w:p>
    <w:p w14:paraId="118383DD" w14:textId="0A14C946" w:rsidR="005D5884" w:rsidRPr="005D5884" w:rsidRDefault="005D5884" w:rsidP="005D5884">
      <w:pPr>
        <w:pStyle w:val="Heading2"/>
      </w:pPr>
      <w:r>
        <w:t>W</w:t>
      </w:r>
      <w:r w:rsidRPr="005D5884">
        <w:t>hat I Used to Think</w:t>
      </w:r>
    </w:p>
    <w:p w14:paraId="5C845045" w14:textId="77777777" w:rsidR="00540B8A" w:rsidRDefault="00540B8A" w:rsidP="00046515">
      <w:pPr>
        <w:pStyle w:val="Heading2"/>
        <w:rPr>
          <w:b w:val="0"/>
          <w:bCs w:val="0"/>
        </w:rPr>
      </w:pPr>
      <w:r w:rsidRPr="00540B8A">
        <w:rPr>
          <w:b w:val="0"/>
          <w:bCs w:val="0"/>
        </w:rPr>
        <w:t>Early in my leadership career, I believed effective group leadership depended on strong governance and technical expertise. One experience at Novartis fundamentally changed that belief.</w:t>
      </w:r>
    </w:p>
    <w:p w14:paraId="71DD96DB" w14:textId="397CB60D" w:rsidR="00046515" w:rsidRDefault="00540B8A" w:rsidP="00046515">
      <w:pPr>
        <w:pStyle w:val="Heading2"/>
        <w:rPr>
          <w:b w:val="0"/>
          <w:bCs w:val="0"/>
        </w:rPr>
      </w:pPr>
      <w:r w:rsidRPr="00540B8A">
        <w:rPr>
          <w:b w:val="0"/>
          <w:bCs w:val="0"/>
        </w:rPr>
        <w:t>As Global IT Compliance Lead, I supported an audit programme covering more than 500 sites worldwide through regional teams and an outsourced managed service.</w:t>
      </w:r>
      <w:r w:rsidR="00046515" w:rsidRPr="00046515">
        <w:rPr>
          <w:b w:val="0"/>
          <w:bCs w:val="0"/>
        </w:rPr>
        <w:t xml:space="preserve"> </w:t>
      </w:r>
      <w:r w:rsidRPr="00540B8A">
        <w:rPr>
          <w:b w:val="0"/>
          <w:bCs w:val="0"/>
        </w:rPr>
        <w:t>I expected the greatest challenge to be regulatory compliance and technical complexity.</w:t>
      </w:r>
      <w:r w:rsidR="00046515" w:rsidRPr="00046515">
        <w:rPr>
          <w:b w:val="0"/>
          <w:bCs w:val="0"/>
        </w:rPr>
        <w:t xml:space="preserve"> Instead, </w:t>
      </w:r>
      <w:r w:rsidRPr="00540B8A">
        <w:rPr>
          <w:b w:val="0"/>
          <w:bCs w:val="0"/>
        </w:rPr>
        <w:t>the greatest obstacle was aligning geographically dispersed teams around a common objective</w:t>
      </w:r>
      <w:r w:rsidR="00046515" w:rsidRPr="00046515">
        <w:rPr>
          <w:b w:val="0"/>
          <w:bCs w:val="0"/>
        </w:rPr>
        <w:t>.</w:t>
      </w:r>
    </w:p>
    <w:p w14:paraId="4CC61E6A" w14:textId="5AE081BA" w:rsidR="005D5884" w:rsidRPr="005D5884" w:rsidRDefault="005D5884" w:rsidP="00046515">
      <w:pPr>
        <w:pStyle w:val="Heading2"/>
      </w:pPr>
      <w:r w:rsidRPr="005D5884">
        <w:t>What This Experience Taught Me</w:t>
      </w:r>
    </w:p>
    <w:p w14:paraId="678999CE" w14:textId="492C581F" w:rsidR="005D5884" w:rsidRPr="005D5884" w:rsidRDefault="005D5884" w:rsidP="005D5884">
      <w:pPr>
        <w:rPr>
          <w:rFonts w:ascii="Calibri" w:hAnsi="Calibri" w:cs="Calibri"/>
        </w:rPr>
      </w:pPr>
      <w:r w:rsidRPr="005D5884">
        <w:rPr>
          <w:rFonts w:ascii="Calibri" w:hAnsi="Calibri" w:cs="Calibri"/>
        </w:rPr>
        <w:t xml:space="preserve">Although the regional audit teams were highly capable, there was clear inconsistency in how the outsourced regional hubs interpreted and applied the audit programme. </w:t>
      </w:r>
      <w:r w:rsidR="00540B8A" w:rsidRPr="00540B8A">
        <w:rPr>
          <w:rFonts w:ascii="Calibri" w:hAnsi="Calibri" w:cs="Calibri"/>
        </w:rPr>
        <w:t>Whether caused by management practices, cultural differences or communication barriers was unclear. What became obvious was that the existing structure prevented knowledge flowing between the people performing the work</w:t>
      </w:r>
      <w:r w:rsidRPr="005D5884">
        <w:rPr>
          <w:rFonts w:ascii="Calibri" w:hAnsi="Calibri" w:cs="Calibri"/>
        </w:rPr>
        <w:t>. The issue was not competence. It was connection.</w:t>
      </w:r>
    </w:p>
    <w:p w14:paraId="24DE50C0" w14:textId="5597458D" w:rsidR="005D5884" w:rsidRPr="005D5884" w:rsidRDefault="00540B8A" w:rsidP="005D5884">
      <w:pPr>
        <w:rPr>
          <w:rFonts w:ascii="Calibri" w:hAnsi="Calibri" w:cs="Calibri"/>
        </w:rPr>
      </w:pPr>
      <w:r w:rsidRPr="00540B8A">
        <w:rPr>
          <w:rFonts w:ascii="Calibri" w:hAnsi="Calibri" w:cs="Calibri"/>
        </w:rPr>
        <w:t>Rather than impose tighter control, I temporarily stepped into a functional leadership role to restore consistency across the regional teams</w:t>
      </w:r>
      <w:r w:rsidR="005D5884" w:rsidRPr="005D5884">
        <w:rPr>
          <w:rFonts w:ascii="Calibri" w:hAnsi="Calibri" w:cs="Calibri"/>
        </w:rPr>
        <w:t xml:space="preserve">. I became the single point of contact for the regional teams, facilitating regular discussions, workshops, simplifying guidance </w:t>
      </w:r>
      <w:r w:rsidR="00423D32">
        <w:rPr>
          <w:rFonts w:ascii="Calibri" w:hAnsi="Calibri" w:cs="Calibri"/>
        </w:rPr>
        <w:t>while maintaining</w:t>
      </w:r>
      <w:r w:rsidR="005D5884" w:rsidRPr="005D5884">
        <w:rPr>
          <w:rFonts w:ascii="Calibri" w:hAnsi="Calibri" w:cs="Calibri"/>
        </w:rPr>
        <w:t xml:space="preserve"> a consistent interpretation of audit expectations across the programme. </w:t>
      </w:r>
      <w:r w:rsidR="00785E08" w:rsidRPr="00785E08">
        <w:rPr>
          <w:rFonts w:ascii="Calibri" w:hAnsi="Calibri" w:cs="Calibri"/>
        </w:rPr>
        <w:t>My focus was creating enough clarity and trust for the regional teams to operate consistently regardless of location</w:t>
      </w:r>
      <w:r w:rsidR="005D5884" w:rsidRPr="005D5884">
        <w:rPr>
          <w:rFonts w:ascii="Calibri" w:hAnsi="Calibri" w:cs="Calibri"/>
        </w:rPr>
        <w:t>.</w:t>
      </w:r>
    </w:p>
    <w:p w14:paraId="7FCC9237" w14:textId="776AC607" w:rsidR="005D5884" w:rsidRPr="005D5884" w:rsidRDefault="005D5884" w:rsidP="005D5884">
      <w:pPr>
        <w:rPr>
          <w:rFonts w:ascii="Calibri" w:hAnsi="Calibri" w:cs="Calibri"/>
        </w:rPr>
      </w:pPr>
      <w:r w:rsidRPr="005D5884">
        <w:rPr>
          <w:rFonts w:ascii="Calibri" w:hAnsi="Calibri" w:cs="Calibri"/>
        </w:rPr>
        <w:t xml:space="preserve">As consistency improved, the regional teams became increasingly </w:t>
      </w:r>
      <w:r w:rsidR="002455EB" w:rsidRPr="005D5884">
        <w:rPr>
          <w:rFonts w:ascii="Calibri" w:hAnsi="Calibri" w:cs="Calibri"/>
        </w:rPr>
        <w:t>self-sufficient</w:t>
      </w:r>
      <w:r w:rsidRPr="005D5884">
        <w:rPr>
          <w:rFonts w:ascii="Calibri" w:hAnsi="Calibri" w:cs="Calibri"/>
        </w:rPr>
        <w:t xml:space="preserve">. I was able to step back into my intended governance and subject matter expert role because the group no longer depended on my daily involvement. Looking back, I realised the success of the programme came less from improving audit processes than from improving the relationships and communication that allowed experienced professionals to work effectively together. </w:t>
      </w:r>
    </w:p>
    <w:p w14:paraId="6403C071" w14:textId="77777777" w:rsidR="005D5884" w:rsidRPr="005D5884" w:rsidRDefault="005D5884" w:rsidP="005D5884">
      <w:pPr>
        <w:pStyle w:val="Heading2"/>
      </w:pPr>
      <w:r w:rsidRPr="005D5884">
        <w:t>How I Lead Groups Today</w:t>
      </w:r>
    </w:p>
    <w:p w14:paraId="76C3A277" w14:textId="19DF2AF7" w:rsidR="0073352C" w:rsidRPr="0073352C" w:rsidRDefault="00540B8A" w:rsidP="0073352C">
      <w:r w:rsidRPr="00540B8A">
        <w:t xml:space="preserve">As I reflected on this experience while working through the module, I was struck by the similarities between my own leadership approach and Ancona et al.'s concept of the </w:t>
      </w:r>
      <w:r w:rsidRPr="00540B8A">
        <w:rPr>
          <w:i/>
          <w:iCs/>
        </w:rPr>
        <w:t>Incomplete Leader</w:t>
      </w:r>
      <w:sdt>
        <w:sdtPr>
          <w:rPr>
            <w:i/>
            <w:iCs/>
          </w:rPr>
          <w:id w:val="1691717409"/>
          <w:citation/>
        </w:sdtPr>
        <w:sdtContent>
          <w:r w:rsidR="00F16BB8">
            <w:rPr>
              <w:i/>
              <w:iCs/>
            </w:rPr>
            <w:fldChar w:fldCharType="begin"/>
          </w:r>
          <w:r w:rsidR="0073352C">
            <w:rPr>
              <w:i/>
              <w:iCs/>
            </w:rPr>
            <w:instrText xml:space="preserve">CITATION Anc07 \l 2057 </w:instrText>
          </w:r>
          <w:r w:rsidR="00F16BB8">
            <w:rPr>
              <w:i/>
              <w:iCs/>
            </w:rPr>
            <w:fldChar w:fldCharType="separate"/>
          </w:r>
          <w:r w:rsidR="0073352C">
            <w:rPr>
              <w:i/>
              <w:iCs/>
              <w:noProof/>
            </w:rPr>
            <w:t xml:space="preserve"> </w:t>
          </w:r>
          <w:r w:rsidR="0073352C" w:rsidRPr="0073352C">
            <w:rPr>
              <w:noProof/>
            </w:rPr>
            <w:t>(Ancona, et al., 2007)</w:t>
          </w:r>
          <w:r w:rsidR="00F16BB8">
            <w:rPr>
              <w:i/>
              <w:iCs/>
            </w:rPr>
            <w:fldChar w:fldCharType="end"/>
          </w:r>
        </w:sdtContent>
      </w:sdt>
      <w:r w:rsidRPr="00540B8A">
        <w:t xml:space="preserve">. </w:t>
      </w:r>
      <w:r w:rsidR="00423D32" w:rsidRPr="00423D32">
        <w:t>Although not a framework I consciously followed, it helped explain why the programme succeeded.</w:t>
      </w:r>
      <w:r w:rsidRPr="00540B8A">
        <w:t xml:space="preserve"> Rather than becoming another layer of management, I focused on creating the conditions for experienced professionals </w:t>
      </w:r>
      <w:r w:rsidRPr="00163E4A">
        <w:t xml:space="preserve">to </w:t>
      </w:r>
      <w:r w:rsidR="00163E4A" w:rsidRPr="00163E4A">
        <w:t>share their expertise, align around a common approach and operate with greater confidence and consistency</w:t>
      </w:r>
      <w:r w:rsidRPr="00163E4A">
        <w:t>. Looking back, I realise my contribution was not to provide every answer, but to simplify complexity, connect</w:t>
      </w:r>
      <w:r w:rsidRPr="00540B8A">
        <w:t xml:space="preserve"> people and enable the group to perform at its best. </w:t>
      </w:r>
      <w:r w:rsidR="0073352C" w:rsidRPr="0073352C">
        <w:t>This experience reinforced that effective leadership is not about becoming indispensable; it is about building the capability and confidence of others so that, when the time is right, the leader can step back and allow the group to succeed independently.</w:t>
      </w:r>
    </w:p>
    <w:p w14:paraId="4A9C9664" w14:textId="231E5F0D" w:rsidR="00046515" w:rsidRPr="00046515" w:rsidRDefault="0073352C" w:rsidP="0073352C">
      <w:r w:rsidRPr="0073352C">
        <w:t>More importantly, I realise I am most effective when I simplify complexity, create clarity and build trust. Once that environment exists, the most valuable thing I can do is step back, allowing the group to operate confidently rather than depend on me</w:t>
      </w:r>
      <w:r w:rsidRPr="0073352C">
        <w:rPr>
          <w:b/>
          <w:bCs/>
        </w:rPr>
        <w:t>.</w:t>
      </w:r>
    </w:p>
    <w:p w14:paraId="186C3021" w14:textId="3E023BEC" w:rsidR="005D5884" w:rsidRPr="005D5884" w:rsidRDefault="005D5884" w:rsidP="005D5884">
      <w:pPr>
        <w:pStyle w:val="Heading2"/>
      </w:pPr>
      <w:r w:rsidRPr="005D5884">
        <w:t>The Leader I'm Becoming</w:t>
      </w:r>
    </w:p>
    <w:p w14:paraId="097F3384" w14:textId="6CC7156B" w:rsidR="005D5884" w:rsidRDefault="005D5884" w:rsidP="005D5884">
      <w:pPr>
        <w:rPr>
          <w:rFonts w:ascii="Calibri" w:hAnsi="Calibri" w:cs="Calibri"/>
        </w:rPr>
      </w:pPr>
      <w:r w:rsidRPr="005D5884">
        <w:rPr>
          <w:rFonts w:ascii="Calibri" w:hAnsi="Calibri" w:cs="Calibri"/>
        </w:rPr>
        <w:t xml:space="preserve">Looking back, this experience marked an important stage in my leadership development. It taught me that leading groups requires understanding the relationships between people as much as understanding the work itself. </w:t>
      </w:r>
      <w:r w:rsidR="00423D32" w:rsidRPr="00423D32">
        <w:rPr>
          <w:rFonts w:ascii="Calibri" w:hAnsi="Calibri" w:cs="Calibri"/>
        </w:rPr>
        <w:t>Today, I focus on creating clarity, simplifying complexity and helping teams operate independently</w:t>
      </w:r>
      <w:r w:rsidRPr="005D5884">
        <w:rPr>
          <w:rFonts w:ascii="Calibri" w:hAnsi="Calibri" w:cs="Calibri"/>
        </w:rPr>
        <w:t xml:space="preserve">. As I continue through this module and prepare for future leadership roles, I hope to strengthen my ability to </w:t>
      </w:r>
      <w:r w:rsidRPr="005D5884">
        <w:rPr>
          <w:rFonts w:ascii="Calibri" w:hAnsi="Calibri" w:cs="Calibri"/>
        </w:rPr>
        <w:lastRenderedPageBreak/>
        <w:t>build collaborative environments where expertise is shared, leadership is distributed appropriately and groups achieve outcomes that no individual could accomplish alone.</w:t>
      </w:r>
    </w:p>
    <w:p w14:paraId="0D30E9FD" w14:textId="4E4C7993" w:rsidR="00F16BB8" w:rsidRDefault="00F16BB8" w:rsidP="00F16BB8">
      <w:pPr>
        <w:pStyle w:val="Heading2"/>
      </w:pPr>
      <w:r>
        <w:t>Reference</w:t>
      </w:r>
    </w:p>
    <w:sdt>
      <w:sdtPr>
        <w:rPr>
          <w:rFonts w:asciiTheme="minorHAnsi" w:hAnsiTheme="minorHAnsi" w:cstheme="minorBidi"/>
          <w:b w:val="0"/>
          <w:bCs w:val="0"/>
          <w:u w:val="none"/>
        </w:rPr>
        <w:id w:val="2134522090"/>
        <w:docPartObj>
          <w:docPartGallery w:val="Bibliographies"/>
          <w:docPartUnique/>
        </w:docPartObj>
      </w:sdtPr>
      <w:sdtContent>
        <w:sdt>
          <w:sdtPr>
            <w:rPr>
              <w:rFonts w:asciiTheme="minorHAnsi" w:hAnsiTheme="minorHAnsi" w:cstheme="minorBidi"/>
              <w:b w:val="0"/>
              <w:bCs w:val="0"/>
              <w:u w:val="none"/>
            </w:rPr>
            <w:id w:val="-573587230"/>
            <w:bibliography/>
          </w:sdtPr>
          <w:sdtContent>
            <w:p w14:paraId="54B755F4" w14:textId="41A5BF80" w:rsidR="00F16BB8" w:rsidRPr="00F16BB8" w:rsidRDefault="00F16BB8" w:rsidP="00F16BB8">
              <w:pPr>
                <w:pStyle w:val="Heading1"/>
                <w:rPr>
                  <w:b w:val="0"/>
                  <w:bCs w:val="0"/>
                  <w:noProof/>
                  <w:sz w:val="24"/>
                  <w:szCs w:val="24"/>
                </w:rPr>
              </w:pPr>
              <w:r w:rsidRPr="00F16BB8">
                <w:rPr>
                  <w:b w:val="0"/>
                  <w:bCs w:val="0"/>
                </w:rPr>
                <w:fldChar w:fldCharType="begin"/>
              </w:r>
              <w:r w:rsidRPr="00F16BB8">
                <w:rPr>
                  <w:b w:val="0"/>
                  <w:bCs w:val="0"/>
                </w:rPr>
                <w:instrText xml:space="preserve"> BIBLIOGRAPHY </w:instrText>
              </w:r>
              <w:r w:rsidRPr="00F16BB8">
                <w:rPr>
                  <w:b w:val="0"/>
                  <w:bCs w:val="0"/>
                </w:rPr>
                <w:fldChar w:fldCharType="separate"/>
              </w:r>
              <w:r w:rsidRPr="00F16BB8">
                <w:rPr>
                  <w:b w:val="0"/>
                  <w:bCs w:val="0"/>
                  <w:noProof/>
                </w:rPr>
                <w:t xml:space="preserve">Ancona, D., Malone, T. W., Orlikowski, W. J. &amp; Senge, P. M., 2007. In Praise of the Incomplete Leader. </w:t>
              </w:r>
              <w:r w:rsidRPr="00F16BB8">
                <w:rPr>
                  <w:b w:val="0"/>
                  <w:bCs w:val="0"/>
                  <w:i/>
                  <w:iCs/>
                  <w:noProof/>
                </w:rPr>
                <w:t xml:space="preserve">Harvard Business Review, </w:t>
              </w:r>
              <w:r w:rsidRPr="00F16BB8">
                <w:rPr>
                  <w:b w:val="0"/>
                  <w:bCs w:val="0"/>
                  <w:noProof/>
                </w:rPr>
                <w:t>85(2), p. pp. 92–100.</w:t>
              </w:r>
            </w:p>
            <w:p w14:paraId="165CF082" w14:textId="4B998CD3" w:rsidR="00F16BB8" w:rsidRDefault="00F16BB8" w:rsidP="00F16BB8">
              <w:r w:rsidRPr="00F16BB8">
                <w:rPr>
                  <w:noProof/>
                </w:rPr>
                <w:fldChar w:fldCharType="end"/>
              </w:r>
            </w:p>
          </w:sdtContent>
        </w:sdt>
      </w:sdtContent>
    </w:sdt>
    <w:p w14:paraId="380CA534" w14:textId="77777777" w:rsidR="00F16BB8" w:rsidRPr="00F16BB8" w:rsidRDefault="00F16BB8" w:rsidP="00F16BB8"/>
    <w:p w14:paraId="3ACB021D" w14:textId="77777777" w:rsidR="00EB4433" w:rsidRPr="00C553C9" w:rsidRDefault="00EB4433">
      <w:pPr>
        <w:rPr>
          <w:rFonts w:ascii="Calibri" w:hAnsi="Calibri" w:cs="Calibri"/>
          <w:lang w:val="en-US"/>
        </w:rPr>
      </w:pPr>
    </w:p>
    <w:sectPr w:rsidR="00EB4433" w:rsidRPr="00C553C9" w:rsidSect="00C52990">
      <w:pgSz w:w="11900" w:h="16840" w:code="9"/>
      <w:pgMar w:top="851" w:right="1077" w:bottom="1440" w:left="1077" w:header="142" w:footer="720"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15"/>
    <w:rsid w:val="00046515"/>
    <w:rsid w:val="00071F97"/>
    <w:rsid w:val="000B3E75"/>
    <w:rsid w:val="00163E4A"/>
    <w:rsid w:val="00193B28"/>
    <w:rsid w:val="001944D4"/>
    <w:rsid w:val="001B350C"/>
    <w:rsid w:val="001F7C10"/>
    <w:rsid w:val="002455EB"/>
    <w:rsid w:val="00262D74"/>
    <w:rsid w:val="002C25E7"/>
    <w:rsid w:val="00374DEF"/>
    <w:rsid w:val="00384EE1"/>
    <w:rsid w:val="004042C8"/>
    <w:rsid w:val="00410AF6"/>
    <w:rsid w:val="00423D32"/>
    <w:rsid w:val="00437477"/>
    <w:rsid w:val="004500A5"/>
    <w:rsid w:val="00496702"/>
    <w:rsid w:val="00497570"/>
    <w:rsid w:val="004F77C4"/>
    <w:rsid w:val="00540B8A"/>
    <w:rsid w:val="005D5884"/>
    <w:rsid w:val="006077F2"/>
    <w:rsid w:val="00622615"/>
    <w:rsid w:val="00685FEB"/>
    <w:rsid w:val="006E38DC"/>
    <w:rsid w:val="007147C9"/>
    <w:rsid w:val="0072418B"/>
    <w:rsid w:val="007242FB"/>
    <w:rsid w:val="0073352C"/>
    <w:rsid w:val="00785E08"/>
    <w:rsid w:val="007F0686"/>
    <w:rsid w:val="008F734E"/>
    <w:rsid w:val="00A42B46"/>
    <w:rsid w:val="00C365D3"/>
    <w:rsid w:val="00C52990"/>
    <w:rsid w:val="00C553C9"/>
    <w:rsid w:val="00C859CA"/>
    <w:rsid w:val="00DC4E9C"/>
    <w:rsid w:val="00E67DC7"/>
    <w:rsid w:val="00E83FCF"/>
    <w:rsid w:val="00E858BC"/>
    <w:rsid w:val="00EB4433"/>
    <w:rsid w:val="00ED38F0"/>
    <w:rsid w:val="00F16BB8"/>
    <w:rsid w:val="00F37228"/>
    <w:rsid w:val="00FC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AF2B"/>
  <w15:chartTrackingRefBased/>
  <w15:docId w15:val="{32EED1AE-1F2F-4128-B565-1236B000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7F2"/>
    <w:pPr>
      <w:outlineLvl w:val="0"/>
    </w:pPr>
    <w:rPr>
      <w:rFonts w:ascii="Calibri" w:hAnsi="Calibri" w:cs="Calibri"/>
      <w:b/>
      <w:bCs/>
      <w:u w:val="single"/>
    </w:rPr>
  </w:style>
  <w:style w:type="paragraph" w:styleId="Heading2">
    <w:name w:val="heading 2"/>
    <w:basedOn w:val="Normal"/>
    <w:next w:val="Normal"/>
    <w:link w:val="Heading2Char"/>
    <w:uiPriority w:val="9"/>
    <w:unhideWhenUsed/>
    <w:qFormat/>
    <w:rsid w:val="006077F2"/>
    <w:pPr>
      <w:outlineLvl w:val="1"/>
    </w:pPr>
    <w:rPr>
      <w:rFonts w:ascii="Calibri" w:hAnsi="Calibri" w:cs="Calibri"/>
      <w:b/>
      <w:bCs/>
    </w:rPr>
  </w:style>
  <w:style w:type="paragraph" w:styleId="Heading3">
    <w:name w:val="heading 3"/>
    <w:basedOn w:val="Normal"/>
    <w:next w:val="Normal"/>
    <w:link w:val="Heading3Char"/>
    <w:uiPriority w:val="9"/>
    <w:semiHidden/>
    <w:unhideWhenUsed/>
    <w:qFormat/>
    <w:rsid w:val="0062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F2"/>
    <w:rPr>
      <w:rFonts w:ascii="Calibri" w:hAnsi="Calibri" w:cs="Calibri"/>
      <w:b/>
      <w:bCs/>
      <w:u w:val="single"/>
    </w:rPr>
  </w:style>
  <w:style w:type="character" w:customStyle="1" w:styleId="Heading2Char">
    <w:name w:val="Heading 2 Char"/>
    <w:basedOn w:val="DefaultParagraphFont"/>
    <w:link w:val="Heading2"/>
    <w:uiPriority w:val="9"/>
    <w:rsid w:val="006077F2"/>
    <w:rPr>
      <w:rFonts w:ascii="Calibri" w:hAnsi="Calibri" w:cs="Calibri"/>
      <w:b/>
      <w:bCs/>
    </w:rPr>
  </w:style>
  <w:style w:type="character" w:customStyle="1" w:styleId="Heading3Char">
    <w:name w:val="Heading 3 Char"/>
    <w:basedOn w:val="DefaultParagraphFont"/>
    <w:link w:val="Heading3"/>
    <w:uiPriority w:val="9"/>
    <w:semiHidden/>
    <w:rsid w:val="00622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615"/>
    <w:rPr>
      <w:rFonts w:eastAsiaTheme="majorEastAsia" w:cstheme="majorBidi"/>
      <w:color w:val="272727" w:themeColor="text1" w:themeTint="D8"/>
    </w:rPr>
  </w:style>
  <w:style w:type="paragraph" w:styleId="Title">
    <w:name w:val="Title"/>
    <w:basedOn w:val="Normal"/>
    <w:next w:val="Normal"/>
    <w:link w:val="TitleChar"/>
    <w:uiPriority w:val="10"/>
    <w:qFormat/>
    <w:rsid w:val="0062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615"/>
    <w:pPr>
      <w:spacing w:before="160"/>
      <w:jc w:val="center"/>
    </w:pPr>
    <w:rPr>
      <w:i/>
      <w:iCs/>
      <w:color w:val="404040" w:themeColor="text1" w:themeTint="BF"/>
    </w:rPr>
  </w:style>
  <w:style w:type="character" w:customStyle="1" w:styleId="QuoteChar">
    <w:name w:val="Quote Char"/>
    <w:basedOn w:val="DefaultParagraphFont"/>
    <w:link w:val="Quote"/>
    <w:uiPriority w:val="29"/>
    <w:rsid w:val="00622615"/>
    <w:rPr>
      <w:i/>
      <w:iCs/>
      <w:color w:val="404040" w:themeColor="text1" w:themeTint="BF"/>
    </w:rPr>
  </w:style>
  <w:style w:type="paragraph" w:styleId="ListParagraph">
    <w:name w:val="List Paragraph"/>
    <w:basedOn w:val="Normal"/>
    <w:uiPriority w:val="34"/>
    <w:qFormat/>
    <w:rsid w:val="00622615"/>
    <w:pPr>
      <w:ind w:left="720"/>
      <w:contextualSpacing/>
    </w:pPr>
  </w:style>
  <w:style w:type="character" w:styleId="IntenseEmphasis">
    <w:name w:val="Intense Emphasis"/>
    <w:basedOn w:val="DefaultParagraphFont"/>
    <w:uiPriority w:val="21"/>
    <w:qFormat/>
    <w:rsid w:val="00622615"/>
    <w:rPr>
      <w:i/>
      <w:iCs/>
      <w:color w:val="0F4761" w:themeColor="accent1" w:themeShade="BF"/>
    </w:rPr>
  </w:style>
  <w:style w:type="paragraph" w:styleId="IntenseQuote">
    <w:name w:val="Intense Quote"/>
    <w:basedOn w:val="Normal"/>
    <w:next w:val="Normal"/>
    <w:link w:val="IntenseQuoteChar"/>
    <w:uiPriority w:val="30"/>
    <w:qFormat/>
    <w:rsid w:val="0062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615"/>
    <w:rPr>
      <w:i/>
      <w:iCs/>
      <w:color w:val="0F4761" w:themeColor="accent1" w:themeShade="BF"/>
    </w:rPr>
  </w:style>
  <w:style w:type="character" w:styleId="IntenseReference">
    <w:name w:val="Intense Reference"/>
    <w:basedOn w:val="DefaultParagraphFont"/>
    <w:uiPriority w:val="32"/>
    <w:qFormat/>
    <w:rsid w:val="00622615"/>
    <w:rPr>
      <w:b/>
      <w:bCs/>
      <w:smallCaps/>
      <w:color w:val="0F4761" w:themeColor="accent1" w:themeShade="BF"/>
      <w:spacing w:val="5"/>
    </w:rPr>
  </w:style>
  <w:style w:type="paragraph" w:styleId="Bibliography">
    <w:name w:val="Bibliography"/>
    <w:basedOn w:val="Normal"/>
    <w:next w:val="Normal"/>
    <w:uiPriority w:val="37"/>
    <w:unhideWhenUsed/>
    <w:rsid w:val="00F1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8918">
      <w:bodyDiv w:val="1"/>
      <w:marLeft w:val="0"/>
      <w:marRight w:val="0"/>
      <w:marTop w:val="0"/>
      <w:marBottom w:val="0"/>
      <w:divBdr>
        <w:top w:val="none" w:sz="0" w:space="0" w:color="auto"/>
        <w:left w:val="none" w:sz="0" w:space="0" w:color="auto"/>
        <w:bottom w:val="none" w:sz="0" w:space="0" w:color="auto"/>
        <w:right w:val="none" w:sz="0" w:space="0" w:color="auto"/>
      </w:divBdr>
    </w:div>
    <w:div w:id="271785621">
      <w:bodyDiv w:val="1"/>
      <w:marLeft w:val="0"/>
      <w:marRight w:val="0"/>
      <w:marTop w:val="0"/>
      <w:marBottom w:val="0"/>
      <w:divBdr>
        <w:top w:val="none" w:sz="0" w:space="0" w:color="auto"/>
        <w:left w:val="none" w:sz="0" w:space="0" w:color="auto"/>
        <w:bottom w:val="none" w:sz="0" w:space="0" w:color="auto"/>
        <w:right w:val="none" w:sz="0" w:space="0" w:color="auto"/>
      </w:divBdr>
    </w:div>
    <w:div w:id="629481130">
      <w:bodyDiv w:val="1"/>
      <w:marLeft w:val="0"/>
      <w:marRight w:val="0"/>
      <w:marTop w:val="0"/>
      <w:marBottom w:val="0"/>
      <w:divBdr>
        <w:top w:val="none" w:sz="0" w:space="0" w:color="auto"/>
        <w:left w:val="none" w:sz="0" w:space="0" w:color="auto"/>
        <w:bottom w:val="none" w:sz="0" w:space="0" w:color="auto"/>
        <w:right w:val="none" w:sz="0" w:space="0" w:color="auto"/>
      </w:divBdr>
    </w:div>
    <w:div w:id="698623664">
      <w:bodyDiv w:val="1"/>
      <w:marLeft w:val="0"/>
      <w:marRight w:val="0"/>
      <w:marTop w:val="0"/>
      <w:marBottom w:val="0"/>
      <w:divBdr>
        <w:top w:val="none" w:sz="0" w:space="0" w:color="auto"/>
        <w:left w:val="none" w:sz="0" w:space="0" w:color="auto"/>
        <w:bottom w:val="none" w:sz="0" w:space="0" w:color="auto"/>
        <w:right w:val="none" w:sz="0" w:space="0" w:color="auto"/>
      </w:divBdr>
    </w:div>
    <w:div w:id="174772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Anc07</b:Tag>
    <b:SourceType>JournalArticle</b:SourceType>
    <b:Guid>{A0CA9083-ED0E-429E-9DAA-70DC124A682D}</b:Guid>
    <b:Author>
      <b:Author>
        <b:NameList>
          <b:Person>
            <b:Last>Ancona</b:Last>
            <b:First>D</b:First>
          </b:Person>
          <b:Person>
            <b:Last>Malone</b:Last>
            <b:Middle>W</b:Middle>
            <b:First>T</b:First>
          </b:Person>
          <b:Person>
            <b:Last>Orikowski</b:Last>
            <b:Middle>J</b:Middle>
            <b:First>W</b:First>
          </b:Person>
          <b:Person>
            <b:Last>Senge</b:Last>
            <b:Middle>M</b:Middle>
            <b:First>P</b:First>
          </b:Person>
        </b:NameList>
      </b:Author>
    </b:Author>
    <b:Title>In Praise of the Incomplete Leader</b:Title>
    <b:JournalName>Harvard Business Review</b:JournalName>
    <b:Year>2007</b:Year>
    <b:Pages>pp. 92–100</b:Pages>
    <b:Volume>85</b:Volume>
    <b:Issue>2</b:Issue>
    <b:RefOrder>1</b:RefOrder>
  </b:Source>
</b:Sources>
</file>

<file path=customXml/itemProps1.xml><?xml version="1.0" encoding="utf-8"?>
<ds:datastoreItem xmlns:ds="http://schemas.openxmlformats.org/officeDocument/2006/customXml" ds:itemID="{0A0E8A4D-25A1-464B-B89A-EDE49155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Gillis</dc:creator>
  <cp:keywords/>
  <dc:description/>
  <cp:lastModifiedBy>Simon Gillis</cp:lastModifiedBy>
  <cp:revision>1</cp:revision>
  <cp:lastPrinted>2026-07-02T12:44:00Z</cp:lastPrinted>
  <dcterms:created xsi:type="dcterms:W3CDTF">2026-07-02T12:03:00Z</dcterms:created>
  <dcterms:modified xsi:type="dcterms:W3CDTF">2026-07-07T09:08:00Z</dcterms:modified>
</cp:coreProperties>
</file>